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4677"/>
        <w:gridCol w:w="4677"/>
      </w:tblGrid>
      <w:tr>
        <w:tc>
          <w:tcPr>
            <w:tcW w:type="dxa" w:w="3685"/>
          </w:tcPr>
          <w:p>
            <w:pPr>
              <w:keepNext w:val="0"/>
              <w:spacing w:before="0" w:after="0" w:line="240" w:lineRule="auto"/>
              <w:jc w:val="center"/>
            </w:pPr>
            <w:r>
              <w:rPr>
                <w:rFonts w:ascii="Times New Roman" w:hAnsi="Times New Roman" w:eastAsia="Times New Roman" w:cs="Times New Roman"/>
                <w:b w:val="0"/>
                <w:i w:val="0"/>
                <w:sz w:val="24"/>
              </w:rPr>
              <w:t>DỰ ÁN GREENTECH TOWER</w:t>
            </w:r>
          </w:p>
          <w:p>
            <w:pPr>
              <w:keepNext w:val="0"/>
              <w:spacing w:before="0" w:after="0" w:line="240" w:lineRule="auto"/>
              <w:jc w:val="center"/>
            </w:pPr>
            <w:r>
              <w:rPr>
                <w:rFonts w:ascii="Times New Roman" w:hAnsi="Times New Roman" w:eastAsia="Times New Roman" w:cs="Times New Roman"/>
                <w:b/>
                <w:i w:val="0"/>
                <w:sz w:val="24"/>
                <w:highlight w:val="yellow"/>
              </w:rPr>
              <w:t>[TÊN NHÀ THẦU THI CÔNG]</w:t>
            </w:r>
          </w:p>
          <w:p>
            <w:pPr>
              <w:keepNext w:val="0"/>
              <w:spacing w:before="0" w:after="120" w:line="240" w:lineRule="auto"/>
              <w:ind w:left="1134" w:right="1134"/>
              <w:jc w:val="center"/>
              <w:pBdr>
                <w:bottom w:val="single" w:sz="6" w:space="1" w:color="000000"/>
              </w:pBdr>
            </w:pPr>
          </w:p>
          <w:p>
            <w:pPr>
              <w:keepNext w:val="0"/>
              <w:spacing w:before="0" w:after="0" w:line="240" w:lineRule="auto"/>
              <w:jc w:val="center"/>
            </w:pPr>
            <w:r>
              <w:rPr>
                <w:rFonts w:ascii="Times New Roman" w:hAnsi="Times New Roman" w:eastAsia="Times New Roman" w:cs="Times New Roman"/>
                <w:b w:val="0"/>
                <w:i w:val="0"/>
                <w:sz w:val="26"/>
              </w:rPr>
              <w:t>Số: RFI-STR-001</w:t>
            </w:r>
          </w:p>
        </w:tc>
        <w:tc>
          <w:tcPr>
            <w:tcW w:type="dxa" w:w="5669"/>
          </w:tcPr>
          <w:p>
            <w:pPr>
              <w:keepNext w:val="0"/>
              <w:spacing w:before="0" w:after="0" w:line="240" w:lineRule="auto"/>
              <w:jc w:val="center"/>
            </w:pPr>
            <w:r>
              <w:rPr>
                <w:rFonts w:ascii="Times New Roman" w:hAnsi="Times New Roman" w:eastAsia="Times New Roman" w:cs="Times New Roman"/>
                <w:b/>
                <w:i w:val="0"/>
                <w:sz w:val="24"/>
              </w:rPr>
              <w:t>CỘNG HÒA XÃ HỘI CHỦ NGHĨA VIỆT NAM</w:t>
            </w:r>
          </w:p>
          <w:p>
            <w:pPr>
              <w:keepNext w:val="0"/>
              <w:spacing w:before="0" w:after="0" w:line="240" w:lineRule="auto"/>
              <w:jc w:val="center"/>
            </w:pPr>
            <w:r>
              <w:rPr>
                <w:rFonts w:ascii="Times New Roman" w:hAnsi="Times New Roman" w:eastAsia="Times New Roman" w:cs="Times New Roman"/>
                <w:b/>
                <w:i w:val="0"/>
                <w:sz w:val="26"/>
              </w:rPr>
              <w:t>Độc lập - Tự do - Hạnh phúc</w:t>
            </w:r>
          </w:p>
          <w:p>
            <w:pPr>
              <w:keepNext w:val="0"/>
              <w:spacing w:before="0" w:after="120" w:line="240" w:lineRule="auto"/>
              <w:ind w:left="1134" w:right="1134"/>
              <w:jc w:val="center"/>
              <w:pBdr>
                <w:bottom w:val="single" w:sz="6" w:space="1" w:color="000000"/>
              </w:pBdr>
            </w:pPr>
          </w:p>
          <w:p>
            <w:pPr>
              <w:keepNext w:val="0"/>
              <w:spacing w:before="0" w:after="0" w:line="240" w:lineRule="auto"/>
              <w:jc w:val="center"/>
            </w:pPr>
            <w:r>
              <w:rPr>
                <w:rFonts w:ascii="Times New Roman" w:hAnsi="Times New Roman" w:eastAsia="Times New Roman" w:cs="Times New Roman"/>
                <w:b w:val="0"/>
                <w:i/>
                <w:sz w:val="26"/>
                <w:highlight w:val="yellow"/>
              </w:rPr>
              <w:t>[Địa danh]</w:t>
            </w:r>
            <w:r>
              <w:rPr>
                <w:rFonts w:ascii="Times New Roman" w:hAnsi="Times New Roman" w:eastAsia="Times New Roman" w:cs="Times New Roman"/>
                <w:b w:val="0"/>
                <w:i/>
                <w:sz w:val="26"/>
              </w:rPr>
              <w:t>, ngày      tháng      năm 2026</w:t>
            </w:r>
          </w:p>
        </w:tc>
      </w:tr>
    </w:tbl>
    <w:p>
      <w:pPr>
        <w:keepNext w:val="0"/>
        <w:spacing w:before="360" w:after="0" w:line="276" w:lineRule="auto"/>
        <w:jc w:val="center"/>
      </w:pPr>
      <w:r>
        <w:rPr>
          <w:rFonts w:ascii="Times New Roman" w:hAnsi="Times New Roman" w:eastAsia="Times New Roman" w:cs="Times New Roman"/>
          <w:b/>
          <w:i w:val="0"/>
          <w:sz w:val="28"/>
        </w:rPr>
        <w:t>PHIẾU YÊU CẦU LÀM RÕ THÔNG TIN (RFI)</w:t>
      </w:r>
    </w:p>
    <w:p>
      <w:pPr>
        <w:keepNext w:val="0"/>
        <w:spacing w:before="0" w:after="0" w:line="276" w:lineRule="auto"/>
        <w:jc w:val="center"/>
      </w:pPr>
      <w:r>
        <w:rPr>
          <w:rFonts w:ascii="Times New Roman" w:hAnsi="Times New Roman" w:eastAsia="Times New Roman" w:cs="Times New Roman"/>
          <w:b/>
          <w:i w:val="0"/>
          <w:sz w:val="28"/>
        </w:rPr>
        <w:t>Về việc thống nhất giới hạn chịu lửa R 120 và chiều dày sơn chống cháy</w:t>
      </w:r>
    </w:p>
    <w:p>
      <w:pPr>
        <w:keepNext w:val="0"/>
        <w:spacing w:before="0" w:after="0" w:line="276" w:lineRule="auto"/>
        <w:jc w:val="center"/>
      </w:pPr>
      <w:r>
        <w:rPr>
          <w:rFonts w:ascii="Times New Roman" w:hAnsi="Times New Roman" w:eastAsia="Times New Roman" w:cs="Times New Roman"/>
          <w:b/>
          <w:i w:val="0"/>
          <w:sz w:val="28"/>
        </w:rPr>
        <w:t>cho hệ kết cấu thép sảnh chính tầng 1 (bản vẽ KC‑105)</w:t>
      </w:r>
    </w:p>
    <w:p>
      <w:pPr>
        <w:keepNext w:val="0"/>
        <w:spacing w:before="0" w:after="240" w:line="240" w:lineRule="auto"/>
        <w:ind w:left="3402" w:right="3402"/>
        <w:jc w:val="center"/>
        <w:pBdr>
          <w:bottom w:val="single" w:sz="6" w:space="1" w:color="000000"/>
        </w:pBdr>
      </w:pPr>
    </w:p>
    <w:p>
      <w:pPr>
        <w:keepNext w:val="0"/>
        <w:spacing w:before="0" w:after="0" w:line="276" w:lineRule="auto"/>
        <w:ind w:left="567"/>
        <w:jc w:val="left"/>
      </w:pPr>
      <w:r>
        <w:rPr>
          <w:rFonts w:ascii="Times New Roman" w:hAnsi="Times New Roman" w:eastAsia="Times New Roman" w:cs="Times New Roman"/>
          <w:b w:val="0"/>
          <w:i w:val="0"/>
          <w:sz w:val="26"/>
        </w:rPr>
        <w:t>Kính gửi:</w:t>
      </w:r>
    </w:p>
    <w:p>
      <w:pPr>
        <w:keepNext w:val="0"/>
        <w:spacing w:before="0" w:after="0" w:line="276" w:lineRule="auto"/>
        <w:ind w:left="1417"/>
        <w:jc w:val="left"/>
      </w:pPr>
      <w:r>
        <w:rPr>
          <w:rFonts w:ascii="Times New Roman" w:hAnsi="Times New Roman" w:eastAsia="Times New Roman" w:cs="Times New Roman"/>
          <w:b w:val="0"/>
          <w:i w:val="0"/>
          <w:sz w:val="26"/>
        </w:rPr>
        <w:t>- V‑Design Steel Engineering (đơn vị thiết kế bản vẽ KC‑105);</w:t>
      </w:r>
    </w:p>
    <w:p>
      <w:pPr>
        <w:keepNext w:val="0"/>
        <w:spacing w:before="0" w:after="240" w:line="276" w:lineRule="auto"/>
        <w:ind w:left="1417"/>
        <w:jc w:val="left"/>
      </w:pPr>
      <w:r>
        <w:rPr>
          <w:rFonts w:ascii="Times New Roman" w:hAnsi="Times New Roman" w:eastAsia="Times New Roman" w:cs="Times New Roman"/>
          <w:b w:val="0"/>
          <w:i w:val="0"/>
          <w:sz w:val="26"/>
        </w:rPr>
        <w:t>- Ban Quản lý dự án Tổ hợp GreenTech Tower.</w:t>
      </w:r>
    </w:p>
    <w:p>
      <w:pPr>
        <w:keepNext/>
        <w:spacing w:before="120" w:after="120" w:line="276" w:lineRule="auto"/>
        <w:jc w:val="left"/>
      </w:pPr>
      <w:r>
        <w:rPr>
          <w:rFonts w:ascii="Times New Roman" w:hAnsi="Times New Roman" w:eastAsia="Times New Roman" w:cs="Times New Roman"/>
          <w:b/>
          <w:i w:val="0"/>
          <w:sz w:val="26"/>
        </w:rPr>
        <w:t>I. THÔNG TIN CHUNG</w:t>
      </w:r>
    </w:p>
    <w:tbl>
      <w:tblPr>
        <w:tblStyle w:val="TableGrid"/>
        <w:tblW w:type="auto" w:w="0"/>
        <w:tblLayout w:type="fixed"/>
        <w:tblLook w:firstColumn="1" w:firstRow="1" w:lastColumn="0" w:lastRow="0" w:noHBand="0" w:noVBand="1" w:val="04A0"/>
        <w:tblLayout w:type="fixed"/>
      </w:tblPr>
      <w:tblGrid>
        <w:gridCol w:w="4677"/>
        <w:gridCol w:w="4677"/>
      </w:tblGrid>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Dự án</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rPr>
              <w:t>Tổ hợp GreenTech Tower</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Chủ đầu tư</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rPr>
              <w:t>Công ty Cổ phần Đầu tư Phát triển Công nghệ GreenTech (theo Chỉ dẫn kỹ thuật PCCC Tập 03)</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Đơn vị thiết kế</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rPr>
              <w:t>V‑Design Steel Engineering</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Gói thầu</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rPr>
              <w:t>Kết cấu thép</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Hạng mục</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rPr>
              <w:t xml:space="preserve">Sơn chống cháy hệ kết cấu thép sảnh chính tầng 1: cột </w:t>
            </w:r>
            <w:r>
              <w:rPr>
                <w:rFonts w:ascii="Times New Roman" w:hAnsi="Times New Roman" w:eastAsia="Times New Roman" w:cs="Times New Roman"/>
                <w:b/>
                <w:i w:val="0"/>
                <w:sz w:val="24"/>
              </w:rPr>
              <w:t>COL‑01, COL‑02</w:t>
            </w:r>
            <w:r>
              <w:rPr>
                <w:rFonts w:ascii="Times New Roman" w:hAnsi="Times New Roman" w:eastAsia="Times New Roman" w:cs="Times New Roman"/>
                <w:b w:val="0"/>
                <w:i w:val="0"/>
                <w:sz w:val="24"/>
              </w:rPr>
              <w:t xml:space="preserve">, dầm </w:t>
            </w:r>
            <w:r>
              <w:rPr>
                <w:rFonts w:ascii="Times New Roman" w:hAnsi="Times New Roman" w:eastAsia="Times New Roman" w:cs="Times New Roman"/>
                <w:b/>
                <w:i w:val="0"/>
                <w:sz w:val="24"/>
              </w:rPr>
              <w:t>BM‑01, BM‑02</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Tài liệu liên quan</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rPr>
              <w:t>- Chỉ dẫn kỹ thuật bảo vệ chống cháy kết cấu thép, Tập 04: Mục 3, Điều 3.1</w:t>
            </w:r>
          </w:p>
          <w:p>
            <w:pPr>
              <w:keepNext w:val="0"/>
              <w:spacing w:before="20" w:after="20" w:line="240" w:lineRule="auto"/>
              <w:jc w:val="left"/>
            </w:pPr>
            <w:r>
              <w:rPr>
                <w:rFonts w:ascii="Times New Roman" w:hAnsi="Times New Roman" w:eastAsia="Times New Roman" w:cs="Times New Roman"/>
                <w:b w:val="0"/>
                <w:i w:val="0"/>
                <w:sz w:val="24"/>
              </w:rPr>
              <w:t>- Bản vẽ KC‑105 Rev.01: Chi tiết kết cấu thép sảnh chính tầng 1</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Mức độ</w:t>
            </w:r>
          </w:p>
        </w:tc>
        <w:tc>
          <w:tcPr>
            <w:tcW w:type="dxa" w:w="6803"/>
            <w:vAlign w:val="center"/>
          </w:tcPr>
          <w:p>
            <w:pPr>
              <w:keepNext w:val="0"/>
              <w:spacing w:before="20" w:after="20" w:line="240" w:lineRule="auto"/>
              <w:jc w:val="left"/>
            </w:pPr>
            <w:r>
              <w:rPr>
                <w:rFonts w:ascii="Times New Roman" w:hAnsi="Times New Roman" w:eastAsia="Times New Roman" w:cs="Times New Roman"/>
                <w:b/>
                <w:i w:val="0"/>
                <w:sz w:val="24"/>
              </w:rPr>
              <w:t>Khẩn</w:t>
            </w:r>
            <w:r>
              <w:rPr>
                <w:rFonts w:ascii="Times New Roman" w:hAnsi="Times New Roman" w:eastAsia="Times New Roman" w:cs="Times New Roman"/>
                <w:b w:val="0"/>
                <w:i w:val="0"/>
                <w:sz w:val="24"/>
              </w:rPr>
              <w:t>: ảnh hưởng trực tiếp tới đặt mua sơn, thi công và nghiệm thu PCCC</w:t>
            </w:r>
          </w:p>
        </w:tc>
      </w:tr>
      <w:tr>
        <w:tc>
          <w:tcPr>
            <w:tcW w:type="dxa" w:w="2551"/>
            <w:vAlign w:val="center"/>
            <w:shd w:val="clear" w:color="auto" w:fill="F2F2F2"/>
          </w:tcPr>
          <w:p>
            <w:pPr>
              <w:keepNext w:val="0"/>
              <w:spacing w:before="20" w:after="20" w:line="240" w:lineRule="auto"/>
              <w:jc w:val="left"/>
            </w:pPr>
            <w:r>
              <w:rPr>
                <w:rFonts w:ascii="Times New Roman" w:hAnsi="Times New Roman" w:eastAsia="Times New Roman" w:cs="Times New Roman"/>
                <w:b/>
                <w:i w:val="0"/>
                <w:sz w:val="24"/>
              </w:rPr>
              <w:t>Đề nghị trả lời trước ngày</w:t>
            </w:r>
          </w:p>
        </w:tc>
        <w:tc>
          <w:tcPr>
            <w:tcW w:type="dxa" w:w="6803"/>
            <w:vAlign w:val="center"/>
          </w:tcPr>
          <w:p>
            <w:pPr>
              <w:keepNext w:val="0"/>
              <w:spacing w:before="20" w:after="20" w:line="240" w:lineRule="auto"/>
              <w:jc w:val="left"/>
            </w:pPr>
            <w:r>
              <w:rPr>
                <w:rFonts w:ascii="Times New Roman" w:hAnsi="Times New Roman" w:eastAsia="Times New Roman" w:cs="Times New Roman"/>
                <w:b w:val="0"/>
                <w:i w:val="0"/>
                <w:sz w:val="24"/>
                <w:highlight w:val="yellow"/>
              </w:rPr>
              <w:t>[Chờ bổ sung]</w:t>
            </w:r>
          </w:p>
        </w:tc>
      </w:tr>
    </w:tbl>
    <w:p>
      <w:pPr>
        <w:keepNext w:val="0"/>
        <w:spacing w:before="0" w:after="0" w:line="276" w:lineRule="auto"/>
        <w:jc w:val="both"/>
      </w:pPr>
    </w:p>
    <w:p>
      <w:pPr>
        <w:keepNext/>
        <w:spacing w:before="120" w:after="120" w:line="276" w:lineRule="auto"/>
        <w:jc w:val="left"/>
      </w:pPr>
      <w:r>
        <w:rPr>
          <w:rFonts w:ascii="Times New Roman" w:hAnsi="Times New Roman" w:eastAsia="Times New Roman" w:cs="Times New Roman"/>
          <w:b/>
          <w:i w:val="0"/>
          <w:sz w:val="26"/>
        </w:rPr>
        <w:t>II. CĂN CỨ</w:t>
      </w:r>
    </w:p>
    <w:p>
      <w:pPr>
        <w:keepNext w:val="0"/>
        <w:spacing w:before="0" w:after="60" w:line="276" w:lineRule="auto"/>
        <w:ind w:firstLine="567"/>
        <w:jc w:val="both"/>
      </w:pPr>
      <w:r>
        <w:rPr>
          <w:rFonts w:ascii="Times New Roman" w:hAnsi="Times New Roman" w:eastAsia="Times New Roman" w:cs="Times New Roman"/>
          <w:b w:val="0"/>
          <w:i w:val="0"/>
          <w:sz w:val="26"/>
        </w:rPr>
        <w:t>1. Chỉ dẫn kỹ thuật bảo vệ chống cháy kết cấu thép, hệ sơn phồng nở chống cháy cho hệ khung thép chịu lực, Tập 04: Mục 3, Điều 3.1 (khoản 1, 2, 3).</w:t>
      </w:r>
    </w:p>
    <w:p>
      <w:pPr>
        <w:keepNext w:val="0"/>
        <w:spacing w:before="0" w:after="60" w:line="276" w:lineRule="auto"/>
        <w:ind w:firstLine="567"/>
        <w:jc w:val="both"/>
      </w:pPr>
      <w:r>
        <w:rPr>
          <w:rFonts w:ascii="Times New Roman" w:hAnsi="Times New Roman" w:eastAsia="Times New Roman" w:cs="Times New Roman"/>
          <w:b w:val="0"/>
          <w:i w:val="0"/>
          <w:sz w:val="26"/>
        </w:rPr>
        <w:t>2. Bản vẽ KC‑105 Rev.01: Bảng thống kê cấu kiện thép hình, ghi chú sơn bảo vệ kết cấu thép và cảnh báo của bộ phận QS (QS Audit).</w:t>
      </w:r>
    </w:p>
    <w:p>
      <w:pPr>
        <w:keepNext w:val="0"/>
        <w:spacing w:before="0" w:after="60" w:line="276" w:lineRule="auto"/>
        <w:ind w:firstLine="567"/>
        <w:jc w:val="both"/>
      </w:pPr>
      <w:r>
        <w:rPr>
          <w:rFonts w:ascii="Times New Roman" w:hAnsi="Times New Roman" w:eastAsia="Times New Roman" w:cs="Times New Roman"/>
          <w:b w:val="0"/>
          <w:i w:val="0"/>
          <w:sz w:val="26"/>
        </w:rPr>
        <w:t>3. QCVN 06:2022/BXD và Sửa đổi 1:2023, Bảng 4, đối với nhà có bậc chịu lửa Bậc I, theo viện dẫn tại Điều 3.1 khoản 1 của Chỉ dẫn kỹ thuật Tập 04.</w:t>
      </w:r>
    </w:p>
    <w:p>
      <w:pPr>
        <w:keepNext/>
        <w:spacing w:before="120" w:after="120" w:line="276" w:lineRule="auto"/>
        <w:jc w:val="left"/>
      </w:pPr>
      <w:r>
        <w:rPr>
          <w:rFonts w:ascii="Times New Roman" w:hAnsi="Times New Roman" w:eastAsia="Times New Roman" w:cs="Times New Roman"/>
          <w:b/>
          <w:i w:val="0"/>
          <w:sz w:val="26"/>
        </w:rPr>
        <w:t>III. NỘI DUNG SAI KHÁC GIỮA BẢN VẼ VÀ CHỈ DẪN KỸ THUẬT</w:t>
      </w:r>
    </w:p>
    <w:p>
      <w:pPr>
        <w:keepNext w:val="0"/>
        <w:spacing w:before="0" w:after="120" w:line="276" w:lineRule="auto"/>
        <w:ind w:firstLine="567"/>
        <w:jc w:val="both"/>
      </w:pPr>
      <w:r>
        <w:rPr>
          <w:rFonts w:ascii="Times New Roman" w:hAnsi="Times New Roman" w:eastAsia="Times New Roman" w:cs="Times New Roman"/>
          <w:b w:val="0"/>
          <w:i w:val="0"/>
          <w:sz w:val="26"/>
        </w:rPr>
        <w:t>Qua đối chiếu, Nhà thầu nhận thấy yêu cầu bảo vệ chống cháy trên bản vẽ KC‑105 Rev.01 khác với Chỉ dẫn kỹ thuật Tập 04 tại các nội dung sau:</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rPr>
          <w:tblHeader w:val="true"/>
        </w:trPr>
        <w:tc>
          <w:tcPr>
            <w:tcW w:type="dxa" w:w="737"/>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2"/>
              </w:rPr>
              <w:t>STT</w:t>
            </w:r>
          </w:p>
        </w:tc>
        <w:tc>
          <w:tcPr>
            <w:tcW w:type="dxa" w:w="1474"/>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2"/>
              </w:rPr>
              <w:t>Chỉ tiêu</w:t>
            </w:r>
          </w:p>
        </w:tc>
        <w:tc>
          <w:tcPr>
            <w:tcW w:type="dxa" w:w="2608"/>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2"/>
              </w:rPr>
              <w:t>Chỉ dẫn kỹ thuật Tập 04</w:t>
            </w:r>
          </w:p>
          <w:p>
            <w:pPr>
              <w:keepNext w:val="0"/>
              <w:spacing w:before="20" w:after="20" w:line="240" w:lineRule="auto"/>
              <w:jc w:val="center"/>
            </w:pPr>
            <w:r>
              <w:rPr>
                <w:rFonts w:ascii="Times New Roman" w:hAnsi="Times New Roman" w:eastAsia="Times New Roman" w:cs="Times New Roman"/>
                <w:b/>
                <w:i w:val="0"/>
                <w:sz w:val="22"/>
              </w:rPr>
              <w:t>(Điều 3.1)</w:t>
            </w:r>
          </w:p>
        </w:tc>
        <w:tc>
          <w:tcPr>
            <w:tcW w:type="dxa" w:w="2268"/>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2"/>
              </w:rPr>
              <w:t>Bản vẽ KC‑105 Rev.01</w:t>
            </w:r>
          </w:p>
        </w:tc>
        <w:tc>
          <w:tcPr>
            <w:tcW w:type="dxa" w:w="2268"/>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2"/>
              </w:rPr>
              <w:t>Nhận xét</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1</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Giới hạn chịu lửa cột COL‑01, COL‑02</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 xml:space="preserve">Cấu kiện thép chịu lực chính, gồm hệ cột thép sảnh tầng 1: tối thiểu </w:t>
            </w:r>
            <w:r>
              <w:rPr>
                <w:rFonts w:ascii="Times New Roman" w:hAnsi="Times New Roman" w:eastAsia="Times New Roman" w:cs="Times New Roman"/>
                <w:b/>
                <w:i w:val="0"/>
                <w:sz w:val="22"/>
              </w:rPr>
              <w:t>R 120</w:t>
            </w:r>
          </w:p>
          <w:p>
            <w:pPr>
              <w:keepNext w:val="0"/>
              <w:spacing w:before="20" w:after="20" w:line="240" w:lineRule="auto"/>
              <w:jc w:val="left"/>
            </w:pPr>
            <w:r>
              <w:rPr>
                <w:rFonts w:ascii="Times New Roman" w:hAnsi="Times New Roman" w:eastAsia="Times New Roman" w:cs="Times New Roman"/>
                <w:b w:val="0"/>
                <w:i w:val="0"/>
                <w:sz w:val="22"/>
              </w:rPr>
              <w:t>(khoản 1)</w:t>
            </w:r>
          </w:p>
        </w:tc>
        <w:tc>
          <w:tcPr>
            <w:tcW w:type="dxa" w:w="2268"/>
            <w:vAlign w:val="center"/>
          </w:tcPr>
          <w:p>
            <w:pPr>
              <w:keepNext w:val="0"/>
              <w:spacing w:before="20" w:after="20" w:line="240" w:lineRule="auto"/>
              <w:jc w:val="left"/>
            </w:pPr>
            <w:r>
              <w:rPr>
                <w:rFonts w:ascii="Times New Roman" w:hAnsi="Times New Roman" w:eastAsia="Times New Roman" w:cs="Times New Roman"/>
                <w:b/>
                <w:i w:val="0"/>
                <w:sz w:val="22"/>
              </w:rPr>
              <w:t>R 60</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Thấp hơn yêu cầu 60 phút</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2</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Giới hạn chịu lửa dầm chính BM‑01</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 xml:space="preserve">Cấu kiện thép chịu lực chính: tối thiểu </w:t>
            </w:r>
            <w:r>
              <w:rPr>
                <w:rFonts w:ascii="Times New Roman" w:hAnsi="Times New Roman" w:eastAsia="Times New Roman" w:cs="Times New Roman"/>
                <w:b/>
                <w:i w:val="0"/>
                <w:sz w:val="22"/>
              </w:rPr>
              <w:t>R 120</w:t>
            </w:r>
          </w:p>
          <w:p>
            <w:pPr>
              <w:keepNext w:val="0"/>
              <w:spacing w:before="20" w:after="20" w:line="240" w:lineRule="auto"/>
              <w:jc w:val="left"/>
            </w:pPr>
            <w:r>
              <w:rPr>
                <w:rFonts w:ascii="Times New Roman" w:hAnsi="Times New Roman" w:eastAsia="Times New Roman" w:cs="Times New Roman"/>
                <w:b w:val="0"/>
                <w:i w:val="0"/>
                <w:sz w:val="22"/>
              </w:rPr>
              <w:t>(khoản 1)</w:t>
            </w:r>
          </w:p>
        </w:tc>
        <w:tc>
          <w:tcPr>
            <w:tcW w:type="dxa" w:w="2268"/>
            <w:vAlign w:val="center"/>
          </w:tcPr>
          <w:p>
            <w:pPr>
              <w:keepNext w:val="0"/>
              <w:spacing w:before="20" w:after="20" w:line="240" w:lineRule="auto"/>
              <w:jc w:val="left"/>
            </w:pPr>
            <w:r>
              <w:rPr>
                <w:rFonts w:ascii="Times New Roman" w:hAnsi="Times New Roman" w:eastAsia="Times New Roman" w:cs="Times New Roman"/>
                <w:b/>
                <w:i w:val="0"/>
                <w:sz w:val="22"/>
              </w:rPr>
              <w:t>R 60</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Thấp hơn yêu cầu 60 phút</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3</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Giới hạn chịu lửa dầm phụ BM‑02</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R 60 hoặc R 45 chỉ áp cho xà gồ phụ và giằng mái; cấu kiện chịu lực chính R 120</w:t>
            </w:r>
          </w:p>
          <w:p>
            <w:pPr>
              <w:keepNext w:val="0"/>
              <w:spacing w:before="20" w:after="20" w:line="240" w:lineRule="auto"/>
              <w:jc w:val="left"/>
            </w:pPr>
            <w:r>
              <w:rPr>
                <w:rFonts w:ascii="Times New Roman" w:hAnsi="Times New Roman" w:eastAsia="Times New Roman" w:cs="Times New Roman"/>
                <w:b w:val="0"/>
                <w:i w:val="0"/>
                <w:sz w:val="22"/>
              </w:rPr>
              <w:t>(khoản 1)</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R 45; DFT 0.8 mm</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Cần xác nhận BM‑02 thuộc nhóm nào</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4</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Chiều dày màng sơn khô (DFT)</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 xml:space="preserve">Theo kết quả đốt mẫu thực tế; thông thường </w:t>
            </w:r>
            <w:r>
              <w:rPr>
                <w:rFonts w:ascii="Times New Roman" w:hAnsi="Times New Roman" w:eastAsia="Times New Roman" w:cs="Times New Roman"/>
                <w:b/>
                <w:i w:val="0"/>
                <w:sz w:val="22"/>
              </w:rPr>
              <w:t>3.2 mm đến 3.8 mm</w:t>
            </w:r>
            <w:r>
              <w:rPr>
                <w:rFonts w:ascii="Times New Roman" w:hAnsi="Times New Roman" w:eastAsia="Times New Roman" w:cs="Times New Roman"/>
                <w:b w:val="0"/>
                <w:i w:val="0"/>
                <w:sz w:val="22"/>
              </w:rPr>
              <w:t xml:space="preserve"> để đạt R 120; không chấp thuận giảm DFT</w:t>
            </w:r>
          </w:p>
          <w:p>
            <w:pPr>
              <w:keepNext w:val="0"/>
              <w:spacing w:before="20" w:after="20" w:line="240" w:lineRule="auto"/>
              <w:jc w:val="left"/>
            </w:pPr>
            <w:r>
              <w:rPr>
                <w:rFonts w:ascii="Times New Roman" w:hAnsi="Times New Roman" w:eastAsia="Times New Roman" w:cs="Times New Roman"/>
                <w:b w:val="0"/>
                <w:i w:val="0"/>
                <w:sz w:val="22"/>
              </w:rPr>
              <w:t>(khoản 2, 3)</w:t>
            </w:r>
          </w:p>
        </w:tc>
        <w:tc>
          <w:tcPr>
            <w:tcW w:type="dxa" w:w="2268"/>
            <w:vAlign w:val="center"/>
          </w:tcPr>
          <w:p>
            <w:pPr>
              <w:keepNext w:val="0"/>
              <w:spacing w:before="20" w:after="20" w:line="240" w:lineRule="auto"/>
              <w:jc w:val="left"/>
            </w:pPr>
            <w:r>
              <w:rPr>
                <w:rFonts w:ascii="Times New Roman" w:hAnsi="Times New Roman" w:eastAsia="Times New Roman" w:cs="Times New Roman"/>
                <w:b/>
                <w:i w:val="0"/>
                <w:sz w:val="22"/>
              </w:rPr>
              <w:t>1.2 mm</w:t>
            </w:r>
            <w:r>
              <w:rPr>
                <w:rFonts w:ascii="Times New Roman" w:hAnsi="Times New Roman" w:eastAsia="Times New Roman" w:cs="Times New Roman"/>
                <w:b w:val="0"/>
                <w:i w:val="0"/>
                <w:sz w:val="22"/>
              </w:rPr>
              <w:t xml:space="preserve"> (COL‑01, COL‑02, BM‑01); 0.8 mm (BM‑02)</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Thấp hơn khoảng thông thường 2.0 mm đến 2.6 mm</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5</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Chuẩn bị bề mặt</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 xml:space="preserve">Phun cát đạt </w:t>
            </w:r>
            <w:r>
              <w:rPr>
                <w:rFonts w:ascii="Times New Roman" w:hAnsi="Times New Roman" w:eastAsia="Times New Roman" w:cs="Times New Roman"/>
                <w:b/>
                <w:i w:val="0"/>
                <w:sz w:val="22"/>
              </w:rPr>
              <w:t>Sa 2.5</w:t>
            </w:r>
            <w:r>
              <w:rPr>
                <w:rFonts w:ascii="Times New Roman" w:hAnsi="Times New Roman" w:eastAsia="Times New Roman" w:cs="Times New Roman"/>
                <w:b w:val="0"/>
                <w:i w:val="0"/>
                <w:sz w:val="22"/>
              </w:rPr>
              <w:t xml:space="preserve"> trước khi sơn lót</w:t>
            </w:r>
          </w:p>
          <w:p>
            <w:pPr>
              <w:keepNext w:val="0"/>
              <w:spacing w:before="20" w:after="20" w:line="240" w:lineRule="auto"/>
              <w:jc w:val="left"/>
            </w:pPr>
            <w:r>
              <w:rPr>
                <w:rFonts w:ascii="Times New Roman" w:hAnsi="Times New Roman" w:eastAsia="Times New Roman" w:cs="Times New Roman"/>
                <w:b w:val="0"/>
                <w:i w:val="0"/>
                <w:sz w:val="22"/>
              </w:rPr>
              <w:t>(khoản 2)</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Không thể hiện</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Cần bổ sung trên bản vẽ</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6</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Sơn lót</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Không quy định chiều dày, loại sơn lót</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Epoxy 2 thành phần, 60 micron</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Cần xác nhận áp dụng cùng hệ sơn R 120</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7</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Phạm vi cấu kiện</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Gồm cả dầm thép chuyển sảnh thông tầng và hệ vì kèo thép đỡ mái kính: R 120</w:t>
            </w:r>
          </w:p>
          <w:p>
            <w:pPr>
              <w:keepNext w:val="0"/>
              <w:spacing w:before="20" w:after="20" w:line="240" w:lineRule="auto"/>
              <w:jc w:val="left"/>
            </w:pPr>
            <w:r>
              <w:rPr>
                <w:rFonts w:ascii="Times New Roman" w:hAnsi="Times New Roman" w:eastAsia="Times New Roman" w:cs="Times New Roman"/>
                <w:b w:val="0"/>
                <w:i w:val="0"/>
                <w:sz w:val="22"/>
              </w:rPr>
              <w:t>(khoản 1)</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Chỉ thống kê COL‑01, COL‑02, BM‑01, BM‑02</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Cần xác nhận bản vẽ thể hiện dầm chuyển, vì kèo mái</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2"/>
              </w:rPr>
              <w:t>8</w:t>
            </w:r>
          </w:p>
        </w:tc>
        <w:tc>
          <w:tcPr>
            <w:tcW w:type="dxa" w:w="1474"/>
            <w:vAlign w:val="center"/>
          </w:tcPr>
          <w:p>
            <w:pPr>
              <w:keepNext w:val="0"/>
              <w:spacing w:before="20" w:after="20" w:line="240" w:lineRule="auto"/>
              <w:jc w:val="left"/>
            </w:pPr>
            <w:r>
              <w:rPr>
                <w:rFonts w:ascii="Times New Roman" w:hAnsi="Times New Roman" w:eastAsia="Times New Roman" w:cs="Times New Roman"/>
                <w:b w:val="0"/>
                <w:i w:val="0"/>
                <w:sz w:val="22"/>
              </w:rPr>
              <w:t>Tiêu chuẩn thử chịu lửa</w:t>
            </w:r>
          </w:p>
        </w:tc>
        <w:tc>
          <w:tcPr>
            <w:tcW w:type="dxa" w:w="2608"/>
            <w:vAlign w:val="center"/>
          </w:tcPr>
          <w:p>
            <w:pPr>
              <w:keepNext w:val="0"/>
              <w:spacing w:before="20" w:after="20" w:line="240" w:lineRule="auto"/>
              <w:jc w:val="left"/>
            </w:pPr>
            <w:r>
              <w:rPr>
                <w:rFonts w:ascii="Times New Roman" w:hAnsi="Times New Roman" w:eastAsia="Times New Roman" w:cs="Times New Roman"/>
                <w:b w:val="0"/>
                <w:i w:val="0"/>
                <w:sz w:val="22"/>
              </w:rPr>
              <w:t>"TCVN 9383 / ISO 834", không ghi năm ban hành</w:t>
            </w:r>
          </w:p>
          <w:p>
            <w:pPr>
              <w:keepNext w:val="0"/>
              <w:spacing w:before="20" w:after="20" w:line="240" w:lineRule="auto"/>
              <w:jc w:val="left"/>
            </w:pPr>
            <w:r>
              <w:rPr>
                <w:rFonts w:ascii="Times New Roman" w:hAnsi="Times New Roman" w:eastAsia="Times New Roman" w:cs="Times New Roman"/>
                <w:b w:val="0"/>
                <w:i w:val="0"/>
                <w:sz w:val="22"/>
              </w:rPr>
              <w:t>(khoản 3)</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Không thể hiện</w:t>
            </w:r>
          </w:p>
        </w:tc>
        <w:tc>
          <w:tcPr>
            <w:tcW w:type="dxa" w:w="2268"/>
            <w:vAlign w:val="center"/>
          </w:tcPr>
          <w:p>
            <w:pPr>
              <w:keepNext w:val="0"/>
              <w:spacing w:before="20" w:after="20" w:line="240" w:lineRule="auto"/>
              <w:jc w:val="left"/>
            </w:pPr>
            <w:r>
              <w:rPr>
                <w:rFonts w:ascii="Times New Roman" w:hAnsi="Times New Roman" w:eastAsia="Times New Roman" w:cs="Times New Roman"/>
                <w:b w:val="0"/>
                <w:i w:val="0"/>
                <w:sz w:val="22"/>
              </w:rPr>
              <w:t>Cần xác nhận tiêu chuẩn và năm ban hành áp dụng cho kết cấu thép</w:t>
            </w:r>
          </w:p>
        </w:tc>
      </w:tr>
    </w:tbl>
    <w:p>
      <w:pPr>
        <w:keepNext w:val="0"/>
        <w:spacing w:before="0" w:after="0" w:line="276" w:lineRule="auto"/>
        <w:jc w:val="both"/>
      </w:pPr>
    </w:p>
    <w:p>
      <w:pPr>
        <w:keepNext w:val="0"/>
        <w:spacing w:before="0" w:after="120" w:line="276" w:lineRule="auto"/>
        <w:ind w:firstLine="567"/>
        <w:jc w:val="both"/>
      </w:pPr>
      <w:r>
        <w:rPr>
          <w:rFonts w:ascii="Times New Roman" w:hAnsi="Times New Roman" w:eastAsia="Times New Roman" w:cs="Times New Roman"/>
          <w:b w:val="0"/>
          <w:i w:val="0"/>
          <w:sz w:val="26"/>
        </w:rPr>
        <w:t>Cảnh báo của bộ phận QS trên bản vẽ KC‑105 Rev.01 (mục 1, 2) cũng đã nêu sai lệch giữa giới hạn chịu lửa R 60 trên bản vẽ và yêu cầu R 120 của Chỉ dẫn kỹ thuật Tập 04.</w:t>
      </w:r>
    </w:p>
    <w:p>
      <w:pPr>
        <w:keepNext/>
        <w:spacing w:before="120" w:after="120" w:line="276" w:lineRule="auto"/>
        <w:jc w:val="left"/>
      </w:pPr>
      <w:r>
        <w:rPr>
          <w:rFonts w:ascii="Times New Roman" w:hAnsi="Times New Roman" w:eastAsia="Times New Roman" w:cs="Times New Roman"/>
          <w:b/>
          <w:i w:val="0"/>
          <w:sz w:val="26"/>
        </w:rPr>
        <w:t>IV. ẢNH HƯỞNG NẾU THI CÔNG THEO BẢN VẼ KC‑105 REV.01</w:t>
      </w:r>
    </w:p>
    <w:p>
      <w:pPr>
        <w:keepNext w:val="0"/>
        <w:spacing w:before="0" w:after="120" w:line="276" w:lineRule="auto"/>
        <w:ind w:firstLine="567"/>
        <w:jc w:val="both"/>
      </w:pPr>
      <w:r>
        <w:rPr>
          <w:rFonts w:ascii="Times New Roman" w:hAnsi="Times New Roman" w:eastAsia="Times New Roman" w:cs="Times New Roman"/>
          <w:b/>
          <w:i w:val="0"/>
          <w:sz w:val="26"/>
        </w:rPr>
        <w:t>1. Về nghiệm thu PCCC:</w:t>
      </w:r>
    </w:p>
    <w:p>
      <w:pPr>
        <w:keepNext w:val="0"/>
        <w:spacing w:before="0" w:after="60" w:line="276" w:lineRule="auto"/>
        <w:ind w:firstLine="567"/>
        <w:jc w:val="both"/>
      </w:pPr>
      <w:r>
        <w:rPr>
          <w:rFonts w:ascii="Times New Roman" w:hAnsi="Times New Roman" w:eastAsia="Times New Roman" w:cs="Times New Roman"/>
          <w:b w:val="0"/>
          <w:i w:val="0"/>
          <w:sz w:val="26"/>
        </w:rPr>
        <w:t>- Theo Điều 3.1 khoản 1 Chỉ dẫn kỹ thuật Tập 04, toàn bộ cấu kiện thép chịu lực chính bắt buộc phải được bảo vệ chống cháy đạt giới hạn chịu lửa tối thiểu R 120.</w:t>
      </w:r>
    </w:p>
    <w:p>
      <w:pPr>
        <w:keepNext w:val="0"/>
        <w:spacing w:before="0" w:after="60" w:line="276" w:lineRule="auto"/>
        <w:ind w:firstLine="567"/>
        <w:jc w:val="both"/>
      </w:pPr>
      <w:r>
        <w:rPr>
          <w:rFonts w:ascii="Times New Roman" w:hAnsi="Times New Roman" w:eastAsia="Times New Roman" w:cs="Times New Roman"/>
          <w:b w:val="0"/>
          <w:i w:val="0"/>
          <w:sz w:val="26"/>
        </w:rPr>
        <w:t>- Theo Điều 3.1 khoản 3, bắt buộc phải có Giấy chứng nhận kiểm định phương tiện PCCC do Cục Cảnh sát PCCC &amp; CNCH cấp và Báo cáo kết quả thử nghiệm chịu lửa mẫu đốt đạt chuẩn R 120. Hệ sơn thiết kế R 60 không đáp ứng điều kiện này.</w:t>
      </w:r>
    </w:p>
    <w:p>
      <w:pPr>
        <w:keepNext w:val="0"/>
        <w:spacing w:before="0" w:after="60" w:line="276" w:lineRule="auto"/>
        <w:ind w:firstLine="567"/>
        <w:jc w:val="both"/>
      </w:pPr>
      <w:r>
        <w:rPr>
          <w:rFonts w:ascii="Times New Roman" w:hAnsi="Times New Roman" w:eastAsia="Times New Roman" w:cs="Times New Roman"/>
          <w:b w:val="0"/>
          <w:i w:val="0"/>
          <w:sz w:val="26"/>
        </w:rPr>
        <w:t>- Theo Điều 3.1 khoản 3, chiều dày màng sơn được đo kiểm tra tại hiện trường bằng máy đo độ dày siêu âm có hiệu chuẩn định kỳ.</w:t>
      </w:r>
    </w:p>
    <w:p>
      <w:pPr>
        <w:keepNext w:val="0"/>
        <w:spacing w:before="0" w:after="60" w:line="276" w:lineRule="auto"/>
        <w:ind w:firstLine="567"/>
        <w:jc w:val="both"/>
      </w:pPr>
      <w:r>
        <w:rPr>
          <w:rFonts w:ascii="Times New Roman" w:hAnsi="Times New Roman" w:eastAsia="Times New Roman" w:cs="Times New Roman"/>
          <w:b w:val="0"/>
          <w:i w:val="0"/>
          <w:sz w:val="26"/>
        </w:rPr>
        <w:t>- Theo Điều 3.1 khoản 3, mọi đề xuất giảm chiều dày màng sơn hoặc hạ cấp chịu lửa xuống R 60 đều bị từ chối nghiệm thu.</w:t>
      </w:r>
    </w:p>
    <w:p>
      <w:pPr>
        <w:keepNext w:val="0"/>
        <w:spacing w:before="0" w:after="120" w:line="276" w:lineRule="auto"/>
        <w:ind w:firstLine="567"/>
        <w:jc w:val="both"/>
      </w:pPr>
      <w:r>
        <w:rPr>
          <w:rFonts w:ascii="Times New Roman" w:hAnsi="Times New Roman" w:eastAsia="Times New Roman" w:cs="Times New Roman"/>
          <w:b/>
          <w:i w:val="0"/>
          <w:sz w:val="26"/>
        </w:rPr>
        <w:t>2. Về chi phí</w:t>
      </w:r>
      <w:r>
        <w:rPr>
          <w:rFonts w:ascii="Times New Roman" w:hAnsi="Times New Roman" w:eastAsia="Times New Roman" w:cs="Times New Roman"/>
          <w:b w:val="0"/>
          <w:i w:val="0"/>
          <w:sz w:val="26"/>
        </w:rPr>
        <w:t xml:space="preserve"> (theo số liệu cảnh báo QS trên bản vẽ KC‑105 Rev.01, diện tích bề mặt thép sảnh chính 1.450 m²):</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rPr>
          <w:tblHeader w:val="true"/>
        </w:trPr>
        <w:tc>
          <w:tcPr>
            <w:tcW w:type="dxa" w:w="3685"/>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Phương án</w:t>
            </w:r>
          </w:p>
        </w:tc>
        <w:tc>
          <w:tcPr>
            <w:tcW w:type="dxa" w:w="1871"/>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Đơn giá</w:t>
            </w:r>
          </w:p>
          <w:p>
            <w:pPr>
              <w:keepNext w:val="0"/>
              <w:spacing w:before="20" w:after="20" w:line="240" w:lineRule="auto"/>
              <w:jc w:val="center"/>
            </w:pPr>
            <w:r>
              <w:rPr>
                <w:rFonts w:ascii="Times New Roman" w:hAnsi="Times New Roman" w:eastAsia="Times New Roman" w:cs="Times New Roman"/>
                <w:b/>
                <w:i w:val="0"/>
                <w:sz w:val="24"/>
              </w:rPr>
              <w:t>(đồng/m²)</w:t>
            </w:r>
          </w:p>
        </w:tc>
        <w:tc>
          <w:tcPr>
            <w:tcW w:type="dxa" w:w="1531"/>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Diện tích</w:t>
            </w:r>
          </w:p>
          <w:p>
            <w:pPr>
              <w:keepNext w:val="0"/>
              <w:spacing w:before="20" w:after="20" w:line="240" w:lineRule="auto"/>
              <w:jc w:val="center"/>
            </w:pPr>
            <w:r>
              <w:rPr>
                <w:rFonts w:ascii="Times New Roman" w:hAnsi="Times New Roman" w:eastAsia="Times New Roman" w:cs="Times New Roman"/>
                <w:b/>
                <w:i w:val="0"/>
                <w:sz w:val="24"/>
              </w:rPr>
              <w:t>(m²)</w:t>
            </w:r>
          </w:p>
        </w:tc>
        <w:tc>
          <w:tcPr>
            <w:tcW w:type="dxa" w:w="2268"/>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Thành tiền</w:t>
            </w:r>
          </w:p>
          <w:p>
            <w:pPr>
              <w:keepNext w:val="0"/>
              <w:spacing w:before="20" w:after="20" w:line="240" w:lineRule="auto"/>
              <w:jc w:val="center"/>
            </w:pPr>
            <w:r>
              <w:rPr>
                <w:rFonts w:ascii="Times New Roman" w:hAnsi="Times New Roman" w:eastAsia="Times New Roman" w:cs="Times New Roman"/>
                <w:b/>
                <w:i w:val="0"/>
                <w:sz w:val="24"/>
              </w:rPr>
              <w:t>(đồng)</w:t>
            </w:r>
          </w:p>
        </w:tc>
      </w:tr>
      <w:tr>
        <w:tc>
          <w:tcPr>
            <w:tcW w:type="dxa" w:w="3685"/>
            <w:vAlign w:val="center"/>
          </w:tcPr>
          <w:p>
            <w:pPr>
              <w:keepNext w:val="0"/>
              <w:spacing w:before="20" w:after="20" w:line="240" w:lineRule="auto"/>
              <w:jc w:val="left"/>
            </w:pPr>
            <w:r>
              <w:rPr>
                <w:rFonts w:ascii="Times New Roman" w:hAnsi="Times New Roman" w:eastAsia="Times New Roman" w:cs="Times New Roman"/>
                <w:b w:val="0"/>
                <w:i w:val="0"/>
                <w:sz w:val="24"/>
              </w:rPr>
              <w:t>R 60 (theo bản vẽ KC‑105 Rev.01)</w:t>
            </w:r>
          </w:p>
        </w:tc>
        <w:tc>
          <w:tcPr>
            <w:tcW w:type="dxa" w:w="1871"/>
            <w:vAlign w:val="center"/>
          </w:tcPr>
          <w:p>
            <w:pPr>
              <w:keepNext w:val="0"/>
              <w:spacing w:before="20" w:after="20" w:line="240" w:lineRule="auto"/>
              <w:jc w:val="center"/>
            </w:pPr>
            <w:r>
              <w:rPr>
                <w:rFonts w:ascii="Times New Roman" w:hAnsi="Times New Roman" w:eastAsia="Times New Roman" w:cs="Times New Roman"/>
                <w:b w:val="0"/>
                <w:i w:val="0"/>
                <w:sz w:val="24"/>
              </w:rPr>
              <w:t>480.000</w:t>
            </w:r>
          </w:p>
        </w:tc>
        <w:tc>
          <w:tcPr>
            <w:tcW w:type="dxa" w:w="1531"/>
            <w:vAlign w:val="center"/>
          </w:tcPr>
          <w:p>
            <w:pPr>
              <w:keepNext w:val="0"/>
              <w:spacing w:before="20" w:after="20" w:line="240" w:lineRule="auto"/>
              <w:jc w:val="center"/>
            </w:pPr>
            <w:r>
              <w:rPr>
                <w:rFonts w:ascii="Times New Roman" w:hAnsi="Times New Roman" w:eastAsia="Times New Roman" w:cs="Times New Roman"/>
                <w:b w:val="0"/>
                <w:i w:val="0"/>
                <w:sz w:val="24"/>
              </w:rPr>
              <w:t>1.450</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696.000.000</w:t>
            </w:r>
          </w:p>
        </w:tc>
      </w:tr>
      <w:tr>
        <w:tc>
          <w:tcPr>
            <w:tcW w:type="dxa" w:w="3685"/>
            <w:vAlign w:val="center"/>
          </w:tcPr>
          <w:p>
            <w:pPr>
              <w:keepNext w:val="0"/>
              <w:spacing w:before="20" w:after="20" w:line="240" w:lineRule="auto"/>
              <w:jc w:val="left"/>
            </w:pPr>
            <w:r>
              <w:rPr>
                <w:rFonts w:ascii="Times New Roman" w:hAnsi="Times New Roman" w:eastAsia="Times New Roman" w:cs="Times New Roman"/>
                <w:b w:val="0"/>
                <w:i w:val="0"/>
                <w:sz w:val="24"/>
              </w:rPr>
              <w:t>R 120 (theo Chỉ dẫn kỹ thuật Tập 04)</w:t>
            </w:r>
          </w:p>
        </w:tc>
        <w:tc>
          <w:tcPr>
            <w:tcW w:type="dxa" w:w="1871"/>
            <w:vAlign w:val="center"/>
          </w:tcPr>
          <w:p>
            <w:pPr>
              <w:keepNext w:val="0"/>
              <w:spacing w:before="20" w:after="20" w:line="240" w:lineRule="auto"/>
              <w:jc w:val="center"/>
            </w:pPr>
            <w:r>
              <w:rPr>
                <w:rFonts w:ascii="Times New Roman" w:hAnsi="Times New Roman" w:eastAsia="Times New Roman" w:cs="Times New Roman"/>
                <w:b w:val="0"/>
                <w:i w:val="0"/>
                <w:sz w:val="24"/>
              </w:rPr>
              <w:t>1.250.000</w:t>
            </w:r>
          </w:p>
        </w:tc>
        <w:tc>
          <w:tcPr>
            <w:tcW w:type="dxa" w:w="1531"/>
            <w:vAlign w:val="center"/>
          </w:tcPr>
          <w:p>
            <w:pPr>
              <w:keepNext w:val="0"/>
              <w:spacing w:before="20" w:after="20" w:line="240" w:lineRule="auto"/>
              <w:jc w:val="center"/>
            </w:pPr>
            <w:r>
              <w:rPr>
                <w:rFonts w:ascii="Times New Roman" w:hAnsi="Times New Roman" w:eastAsia="Times New Roman" w:cs="Times New Roman"/>
                <w:b w:val="0"/>
                <w:i w:val="0"/>
                <w:sz w:val="24"/>
              </w:rPr>
              <w:t>1.450</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1.812.500.000</w:t>
            </w:r>
          </w:p>
        </w:tc>
      </w:tr>
      <w:tr>
        <w:tc>
          <w:tcPr>
            <w:tcW w:type="dxa" w:w="3685"/>
            <w:vAlign w:val="center"/>
          </w:tcPr>
          <w:p>
            <w:pPr>
              <w:keepNext w:val="0"/>
              <w:spacing w:before="20" w:after="20" w:line="240" w:lineRule="auto"/>
              <w:jc w:val="left"/>
            </w:pPr>
            <w:r>
              <w:rPr>
                <w:rFonts w:ascii="Times New Roman" w:hAnsi="Times New Roman" w:eastAsia="Times New Roman" w:cs="Times New Roman"/>
                <w:b/>
                <w:i w:val="0"/>
                <w:sz w:val="24"/>
              </w:rPr>
              <w:t>Chênh lệch</w:t>
            </w:r>
          </w:p>
        </w:tc>
        <w:tc>
          <w:tcPr>
            <w:tcW w:type="dxa" w:w="1871"/>
            <w:vAlign w:val="center"/>
          </w:tcPr>
          <w:p>
            <w:pPr>
              <w:keepNext w:val="0"/>
              <w:spacing w:before="20" w:after="20" w:line="240" w:lineRule="auto"/>
              <w:jc w:val="center"/>
            </w:pPr>
            <w:r>
              <w:rPr>
                <w:rFonts w:ascii="Times New Roman" w:hAnsi="Times New Roman" w:eastAsia="Times New Roman" w:cs="Times New Roman"/>
                <w:b/>
                <w:i w:val="0"/>
                <w:sz w:val="24"/>
              </w:rPr>
              <w:t>770.000</w:t>
            </w:r>
          </w:p>
        </w:tc>
        <w:tc>
          <w:tcPr>
            <w:tcW w:type="dxa" w:w="1531"/>
            <w:vAlign w:val="center"/>
          </w:tcPr>
          <w:p>
            <w:pPr>
              <w:keepNext w:val="0"/>
              <w:spacing w:before="20" w:after="20" w:line="240" w:lineRule="auto"/>
              <w:jc w:val="center"/>
            </w:pPr>
          </w:p>
        </w:tc>
        <w:tc>
          <w:tcPr>
            <w:tcW w:type="dxa" w:w="2268"/>
            <w:vAlign w:val="center"/>
          </w:tcPr>
          <w:p>
            <w:pPr>
              <w:keepNext w:val="0"/>
              <w:spacing w:before="20" w:after="20" w:line="240" w:lineRule="auto"/>
              <w:jc w:val="center"/>
            </w:pPr>
            <w:r>
              <w:rPr>
                <w:rFonts w:ascii="Times New Roman" w:hAnsi="Times New Roman" w:eastAsia="Times New Roman" w:cs="Times New Roman"/>
                <w:b/>
                <w:i w:val="0"/>
                <w:sz w:val="24"/>
              </w:rPr>
              <w:t>1.116.500.000</w:t>
            </w:r>
          </w:p>
        </w:tc>
      </w:tr>
    </w:tbl>
    <w:p>
      <w:pPr>
        <w:keepNext w:val="0"/>
        <w:spacing w:before="0" w:after="0" w:line="276" w:lineRule="auto"/>
        <w:jc w:val="both"/>
      </w:pPr>
    </w:p>
    <w:p>
      <w:pPr>
        <w:keepNext w:val="0"/>
        <w:spacing w:before="0" w:after="120" w:line="276" w:lineRule="auto"/>
        <w:ind w:firstLine="567"/>
        <w:jc w:val="both"/>
      </w:pPr>
      <w:r>
        <w:rPr>
          <w:rFonts w:ascii="Times New Roman" w:hAnsi="Times New Roman" w:eastAsia="Times New Roman" w:cs="Times New Roman"/>
          <w:b w:val="0"/>
          <w:i/>
          <w:sz w:val="24"/>
        </w:rPr>
        <w:t>Đơn giá R 120 là số "thực tế khoảng" do bộ phận QS nêu trên bản vẽ KC‑105, ứng với chiều dày khoảng 3.5 mm. Thành tiền từng phương án do Nhà thầu tính: đơn giá × 1.450 m²; chênh lệch khớp số QS đã nêu. Cần xác nhận diện tích 1.450 m² gồm những cấu kiện nào.</w:t>
      </w:r>
    </w:p>
    <w:p>
      <w:pPr>
        <w:keepNext/>
        <w:spacing w:before="120" w:after="120" w:line="276" w:lineRule="auto"/>
        <w:jc w:val="left"/>
      </w:pPr>
      <w:r>
        <w:rPr>
          <w:rFonts w:ascii="Times New Roman" w:hAnsi="Times New Roman" w:eastAsia="Times New Roman" w:cs="Times New Roman"/>
          <w:b/>
          <w:i w:val="0"/>
          <w:sz w:val="26"/>
        </w:rPr>
        <w:t>V. ĐỀ XUẤT PHƯƠNG ÁN XỬ LÝ</w:t>
      </w:r>
    </w:p>
    <w:p>
      <w:pPr>
        <w:keepNext w:val="0"/>
        <w:spacing w:before="0" w:after="120" w:line="276" w:lineRule="auto"/>
        <w:ind w:firstLine="567"/>
        <w:jc w:val="both"/>
      </w:pPr>
      <w:r>
        <w:rPr>
          <w:rFonts w:ascii="Times New Roman" w:hAnsi="Times New Roman" w:eastAsia="Times New Roman" w:cs="Times New Roman"/>
          <w:b w:val="0"/>
          <w:i w:val="0"/>
          <w:sz w:val="26"/>
        </w:rPr>
        <w:t>Để bảo đảm nghiệm thu PCCC công trình, Nhà thầu đề xuất áp dụng Điều 3.1 Chỉ dẫn kỹ thuật Tập 04 cho hệ kết cấu thép sảnh chính, cụ thể:</w:t>
      </w:r>
    </w:p>
    <w:p>
      <w:pPr>
        <w:keepNext w:val="0"/>
        <w:spacing w:before="0" w:after="60" w:line="276" w:lineRule="auto"/>
        <w:ind w:firstLine="567"/>
        <w:jc w:val="both"/>
      </w:pPr>
      <w:r>
        <w:rPr>
          <w:rFonts w:ascii="Times New Roman" w:hAnsi="Times New Roman" w:eastAsia="Times New Roman" w:cs="Times New Roman"/>
          <w:b w:val="0"/>
          <w:i w:val="0"/>
          <w:sz w:val="26"/>
        </w:rPr>
        <w:t xml:space="preserve">a) Cột COL‑01, COL‑02 và dầm chính BM‑01: giới hạn chịu lửa tối thiểu </w:t>
      </w:r>
      <w:r>
        <w:rPr>
          <w:rFonts w:ascii="Times New Roman" w:hAnsi="Times New Roman" w:eastAsia="Times New Roman" w:cs="Times New Roman"/>
          <w:b/>
          <w:i w:val="0"/>
          <w:sz w:val="26"/>
        </w:rPr>
        <w:t>R 120</w:t>
      </w:r>
      <w:r>
        <w:rPr>
          <w:rFonts w:ascii="Times New Roman" w:hAnsi="Times New Roman" w:eastAsia="Times New Roman" w:cs="Times New Roman"/>
          <w:b w:val="0"/>
          <w:i w:val="0"/>
          <w:sz w:val="26"/>
        </w:rPr>
        <w:t>.</w:t>
      </w:r>
    </w:p>
    <w:p>
      <w:pPr>
        <w:keepNext w:val="0"/>
        <w:spacing w:before="0" w:after="60" w:line="276" w:lineRule="auto"/>
        <w:ind w:firstLine="567"/>
        <w:jc w:val="both"/>
      </w:pPr>
      <w:r>
        <w:rPr>
          <w:rFonts w:ascii="Times New Roman" w:hAnsi="Times New Roman" w:eastAsia="Times New Roman" w:cs="Times New Roman"/>
          <w:b w:val="0"/>
          <w:i w:val="0"/>
          <w:sz w:val="26"/>
        </w:rPr>
        <w:t>b) Dầm phụ BM‑02: áp dụng theo phân loại do Đơn vị thiết kế xác nhận (mục VI, câu 2).</w:t>
      </w:r>
    </w:p>
    <w:p>
      <w:pPr>
        <w:keepNext w:val="0"/>
        <w:spacing w:before="0" w:after="60" w:line="276" w:lineRule="auto"/>
        <w:ind w:firstLine="567"/>
        <w:jc w:val="both"/>
      </w:pPr>
      <w:r>
        <w:rPr>
          <w:rFonts w:ascii="Times New Roman" w:hAnsi="Times New Roman" w:eastAsia="Times New Roman" w:cs="Times New Roman"/>
          <w:b w:val="0"/>
          <w:i w:val="0"/>
          <w:sz w:val="26"/>
        </w:rPr>
        <w:t>c) Sơn chống cháy hệ phồng nở gốc nước hoặc gốc dung môi, đã được kiểm định thử nghiệm đốt mẫu thành công.</w:t>
      </w:r>
    </w:p>
    <w:p>
      <w:pPr>
        <w:keepNext w:val="0"/>
        <w:spacing w:before="0" w:after="60" w:line="276" w:lineRule="auto"/>
        <w:ind w:firstLine="567"/>
        <w:jc w:val="both"/>
      </w:pPr>
      <w:r>
        <w:rPr>
          <w:rFonts w:ascii="Times New Roman" w:hAnsi="Times New Roman" w:eastAsia="Times New Roman" w:cs="Times New Roman"/>
          <w:b w:val="0"/>
          <w:i w:val="0"/>
          <w:sz w:val="26"/>
        </w:rPr>
        <w:t>d) Chiều dày màng sơn khô theo đúng báo cáo kết quả đốt mẫu của hệ sơn được chọn cho từng tiết diện; không thấp hơn giá trị trong báo cáo.</w:t>
      </w:r>
    </w:p>
    <w:p>
      <w:pPr>
        <w:keepNext w:val="0"/>
        <w:spacing w:before="0" w:after="60" w:line="276" w:lineRule="auto"/>
        <w:ind w:firstLine="567"/>
        <w:jc w:val="both"/>
      </w:pPr>
      <w:r>
        <w:rPr>
          <w:rFonts w:ascii="Times New Roman" w:hAnsi="Times New Roman" w:eastAsia="Times New Roman" w:cs="Times New Roman"/>
          <w:b w:val="0"/>
          <w:i w:val="0"/>
          <w:sz w:val="26"/>
        </w:rPr>
        <w:t>đ) Bề mặt thép phun cát đạt Sa 2.5 trước khi sơn lót.</w:t>
      </w:r>
    </w:p>
    <w:p>
      <w:pPr>
        <w:keepNext w:val="0"/>
        <w:spacing w:before="0" w:after="60" w:line="276" w:lineRule="auto"/>
        <w:ind w:firstLine="567"/>
        <w:jc w:val="both"/>
      </w:pPr>
      <w:r>
        <w:rPr>
          <w:rFonts w:ascii="Times New Roman" w:hAnsi="Times New Roman" w:eastAsia="Times New Roman" w:cs="Times New Roman"/>
          <w:b w:val="0"/>
          <w:i w:val="0"/>
          <w:sz w:val="26"/>
        </w:rPr>
        <w:t>e) Hồ sơ: Giấy chứng nhận kiểm định phương tiện PCCC do Cục Cảnh sát PCCC &amp; CNCH cấp; báo cáo thử nghiệm chịu lửa mẫu đốt đạt R 120; biên bản đo chiều dày màng sơn tại hiện trường bằng máy đo siêu âm có hiệu chuẩn.</w:t>
      </w:r>
    </w:p>
    <w:p>
      <w:pPr>
        <w:keepNext w:val="0"/>
        <w:spacing w:before="0" w:after="120" w:line="276" w:lineRule="auto"/>
        <w:ind w:firstLine="567"/>
        <w:jc w:val="both"/>
      </w:pPr>
      <w:r>
        <w:rPr>
          <w:rFonts w:ascii="Times New Roman" w:hAnsi="Times New Roman" w:eastAsia="Times New Roman" w:cs="Times New Roman"/>
          <w:b w:val="0"/>
          <w:i w:val="0"/>
          <w:sz w:val="26"/>
        </w:rPr>
        <w:t>Đồng thời, Nhà thầu kính đề nghị:</w:t>
      </w:r>
    </w:p>
    <w:p>
      <w:pPr>
        <w:keepNext w:val="0"/>
        <w:spacing w:before="0" w:after="60" w:line="276" w:lineRule="auto"/>
        <w:ind w:firstLine="567"/>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Đơn vị thiết kế</w:t>
      </w:r>
      <w:r>
        <w:rPr>
          <w:rFonts w:ascii="Times New Roman" w:hAnsi="Times New Roman" w:eastAsia="Times New Roman" w:cs="Times New Roman"/>
          <w:b w:val="0"/>
          <w:i w:val="0"/>
          <w:sz w:val="26"/>
        </w:rPr>
        <w:t xml:space="preserve"> điều chỉnh bảng thống kê và ghi chú sơn bảo vệ trên bản vẽ KC‑105, phát hành phiên bản mới; bổ sung bản vẽ hoặc chỉ dẫn cho dầm chuyển sảnh thông tầng và hệ vì kèo thép đỡ mái kính.</w:t>
      </w:r>
    </w:p>
    <w:p>
      <w:pPr>
        <w:keepNext w:val="0"/>
        <w:spacing w:before="0" w:after="60" w:line="276" w:lineRule="auto"/>
        <w:ind w:firstLine="567"/>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Ban Quản lý dự án</w:t>
      </w:r>
      <w:r>
        <w:rPr>
          <w:rFonts w:ascii="Times New Roman" w:hAnsi="Times New Roman" w:eastAsia="Times New Roman" w:cs="Times New Roman"/>
          <w:b w:val="0"/>
          <w:i w:val="0"/>
          <w:sz w:val="26"/>
        </w:rPr>
        <w:t xml:space="preserve"> xem xét, chấp thuận phương án và hướng xử lý phần chi phí chênh lệch so với dự toán mời thầu.</w:t>
      </w:r>
    </w:p>
    <w:p>
      <w:pPr>
        <w:keepNext w:val="0"/>
        <w:spacing w:before="0" w:after="60" w:line="276" w:lineRule="auto"/>
        <w:ind w:firstLine="567"/>
        <w:jc w:val="both"/>
      </w:pPr>
      <w:r>
        <w:rPr>
          <w:rFonts w:ascii="Times New Roman" w:hAnsi="Times New Roman" w:eastAsia="Times New Roman" w:cs="Times New Roman"/>
          <w:b w:val="0"/>
          <w:i w:val="0"/>
          <w:sz w:val="26"/>
        </w:rPr>
        <w:t xml:space="preserve">- Trong thời gian chờ ý kiến, Nhà thầu </w:t>
      </w:r>
      <w:r>
        <w:rPr>
          <w:rFonts w:ascii="Times New Roman" w:hAnsi="Times New Roman" w:eastAsia="Times New Roman" w:cs="Times New Roman"/>
          <w:b/>
          <w:i w:val="0"/>
          <w:sz w:val="26"/>
        </w:rPr>
        <w:t>tạm chưa đặt mua sơn chống cháy và chưa thi công</w:t>
      </w:r>
      <w:r>
        <w:rPr>
          <w:rFonts w:ascii="Times New Roman" w:hAnsi="Times New Roman" w:eastAsia="Times New Roman" w:cs="Times New Roman"/>
          <w:b w:val="0"/>
          <w:i w:val="0"/>
          <w:sz w:val="26"/>
        </w:rPr>
        <w:t xml:space="preserve"> lớp sơn chống cháy cho các cấu kiện nêu trên.</w:t>
      </w:r>
    </w:p>
    <w:p>
      <w:pPr>
        <w:keepNext/>
        <w:spacing w:before="120" w:after="120" w:line="276" w:lineRule="auto"/>
        <w:jc w:val="left"/>
      </w:pPr>
      <w:r>
        <w:rPr>
          <w:rFonts w:ascii="Times New Roman" w:hAnsi="Times New Roman" w:eastAsia="Times New Roman" w:cs="Times New Roman"/>
          <w:b/>
          <w:i w:val="0"/>
          <w:sz w:val="26"/>
        </w:rPr>
        <w:t>VI. NỘI DUNG ĐỀ NGHỊ XÁC NHẬN</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rPr>
          <w:tblHeader w:val="true"/>
        </w:trPr>
        <w:tc>
          <w:tcPr>
            <w:tcW w:type="dxa" w:w="737"/>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STT</w:t>
            </w:r>
          </w:p>
        </w:tc>
        <w:tc>
          <w:tcPr>
            <w:tcW w:type="dxa" w:w="6350"/>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Nội dung đề nghị làm rõ</w:t>
            </w:r>
          </w:p>
        </w:tc>
        <w:tc>
          <w:tcPr>
            <w:tcW w:type="dxa" w:w="2268"/>
            <w:vAlign w:val="center"/>
            <w:shd w:val="clear" w:color="auto" w:fill="D9D9D9"/>
          </w:tcPr>
          <w:p>
            <w:pPr>
              <w:keepNext w:val="0"/>
              <w:spacing w:before="20" w:after="20" w:line="240" w:lineRule="auto"/>
              <w:jc w:val="center"/>
            </w:pPr>
            <w:r>
              <w:rPr>
                <w:rFonts w:ascii="Times New Roman" w:hAnsi="Times New Roman" w:eastAsia="Times New Roman" w:cs="Times New Roman"/>
                <w:b/>
                <w:i w:val="0"/>
                <w:sz w:val="24"/>
              </w:rPr>
              <w:t>Đơn vị trả lời</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1</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Xác nhận cột COL‑01, COL‑02 và dầm BM‑01 áp dụng giới hạn chịu lửa R 120 theo Điều 3.1 khoản 1, thay cho R 60 trên bản vẽ KC‑105 Rev.01.</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Đơn vị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2</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Dầm phụ BM‑02 (I 300x150x6.5x9 mm) thuộc nhóm cấu kiện chịu lực chính (R 120) hay nhóm xà gồ phụ, giằng mái (R 60 hoặc R 45).</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Đơn vị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3</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Chiều dày màng sơn khô yêu cầu cho từng tiết diện, hoặc xác nhận Nhà thầu đề xuất DFT theo báo cáo đốt mẫu của hệ sơn được chọn.</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Đơn vị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4</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Bổ sung yêu cầu làm sạch bề mặt Sa 2.5 trên bản vẽ; xác nhận sơn lót epoxy 2 thành phần 60 micron áp dụng cùng hệ sơn R 120.</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Đơn vị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5</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Tiêu chuẩn và năm ban hành áp dụng cho thử nghiệm chịu lửa kết cấu thép (Điều 3.1 khoản 3 ghi "TCVN 9383 / ISO 834", không ghi năm).</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Đơn vị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6</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Bản vẽ thể hiện dầm thép chuyển sảnh thông tầng và hệ vì kèo thép đỡ mái kính, kèm yêu cầu chống cháy.</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Đơn vị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7</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Diện tích bề mặt thép 1.450 m² nêu trong cảnh báo QS gồm những cấu kiện nào, có bao gồm BM‑02 không.</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Đơn vị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8</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Cung cấp trang 2/2 của Chỉ dẫn kỹ thuật Tập 04 và của bản vẽ KC‑105 (bản Nhà thầu nhận được có ghi "Trang 1 / 2").</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Đơn vị thiết kế</w:t>
            </w:r>
          </w:p>
        </w:tc>
      </w:tr>
      <w:tr>
        <w:tc>
          <w:tcPr>
            <w:tcW w:type="dxa" w:w="737"/>
            <w:vAlign w:val="center"/>
          </w:tcPr>
          <w:p>
            <w:pPr>
              <w:keepNext w:val="0"/>
              <w:spacing w:before="20" w:after="20" w:line="240" w:lineRule="auto"/>
              <w:jc w:val="center"/>
            </w:pPr>
            <w:r>
              <w:rPr>
                <w:rFonts w:ascii="Times New Roman" w:hAnsi="Times New Roman" w:eastAsia="Times New Roman" w:cs="Times New Roman"/>
                <w:b w:val="0"/>
                <w:i w:val="0"/>
                <w:sz w:val="24"/>
              </w:rPr>
              <w:t>9</w:t>
            </w:r>
          </w:p>
        </w:tc>
        <w:tc>
          <w:tcPr>
            <w:tcW w:type="dxa" w:w="6350"/>
            <w:vAlign w:val="center"/>
          </w:tcPr>
          <w:p>
            <w:pPr>
              <w:keepNext w:val="0"/>
              <w:spacing w:before="20" w:after="20" w:line="240" w:lineRule="auto"/>
              <w:jc w:val="left"/>
            </w:pPr>
            <w:r>
              <w:rPr>
                <w:rFonts w:ascii="Times New Roman" w:hAnsi="Times New Roman" w:eastAsia="Times New Roman" w:cs="Times New Roman"/>
                <w:b w:val="0"/>
                <w:i w:val="0"/>
                <w:sz w:val="24"/>
              </w:rPr>
              <w:t>Hướng xử lý chi phí chênh lệch giữa đơn giá sơn R 60 và R 120 so với dự toán mời thầu.</w:t>
            </w:r>
          </w:p>
        </w:tc>
        <w:tc>
          <w:tcPr>
            <w:tcW w:type="dxa" w:w="2268"/>
            <w:vAlign w:val="center"/>
          </w:tcPr>
          <w:p>
            <w:pPr>
              <w:keepNext w:val="0"/>
              <w:spacing w:before="20" w:after="20" w:line="240" w:lineRule="auto"/>
              <w:jc w:val="center"/>
            </w:pPr>
            <w:r>
              <w:rPr>
                <w:rFonts w:ascii="Times New Roman" w:hAnsi="Times New Roman" w:eastAsia="Times New Roman" w:cs="Times New Roman"/>
                <w:b w:val="0"/>
                <w:i w:val="0"/>
                <w:sz w:val="24"/>
              </w:rPr>
              <w:t>Ban QLDA</w:t>
            </w:r>
          </w:p>
        </w:tc>
      </w:tr>
    </w:tbl>
    <w:p>
      <w:pPr>
        <w:keepNext w:val="0"/>
        <w:spacing w:before="0" w:after="0" w:line="276" w:lineRule="auto"/>
        <w:jc w:val="both"/>
      </w:pPr>
    </w:p>
    <w:p>
      <w:pPr>
        <w:keepNext w:val="0"/>
        <w:spacing w:before="120" w:after="120" w:line="276" w:lineRule="auto"/>
        <w:ind w:firstLine="567"/>
        <w:jc w:val="both"/>
      </w:pPr>
      <w:r>
        <w:rPr>
          <w:rFonts w:ascii="Times New Roman" w:hAnsi="Times New Roman" w:eastAsia="Times New Roman" w:cs="Times New Roman"/>
          <w:b w:val="0"/>
          <w:i w:val="0"/>
          <w:sz w:val="26"/>
        </w:rPr>
        <w:t xml:space="preserve">Kính đề nghị Quý Đơn vị và Ban Quản lý dự án xem xét, phản hồi bằng văn bản trước ngày </w:t>
      </w:r>
      <w:r>
        <w:rPr>
          <w:rFonts w:ascii="Times New Roman" w:hAnsi="Times New Roman" w:eastAsia="Times New Roman" w:cs="Times New Roman"/>
          <w:b w:val="0"/>
          <w:i w:val="0"/>
          <w:sz w:val="26"/>
          <w:highlight w:val="yellow"/>
        </w:rPr>
        <w:t>[Chờ bổ sung]</w:t>
      </w:r>
      <w:r>
        <w:rPr>
          <w:rFonts w:ascii="Times New Roman" w:hAnsi="Times New Roman" w:eastAsia="Times New Roman" w:cs="Times New Roman"/>
          <w:b w:val="0"/>
          <w:i w:val="0"/>
          <w:sz w:val="26"/>
        </w:rPr>
        <w:t xml:space="preserve"> để Nhà thầu có cơ sở đặt mua vật tư và thi công sơn chống cháy đúng yêu cầu kỹ thuật, bảo đảm tiến độ và nghiệm thu PCCC công trình./.</w:t>
      </w:r>
    </w:p>
    <w:p>
      <w:pPr>
        <w:keepNext w:val="0"/>
        <w:spacing w:before="0" w:after="120" w:line="276" w:lineRule="auto"/>
        <w:ind w:firstLine="567"/>
        <w:jc w:val="both"/>
      </w:pPr>
      <w:r>
        <w:rPr>
          <w:rFonts w:ascii="Times New Roman" w:hAnsi="Times New Roman" w:eastAsia="Times New Roman" w:cs="Times New Roman"/>
          <w:b/>
          <w:i/>
          <w:sz w:val="24"/>
        </w:rPr>
        <w:t>Tài liệu kèm theo:</w:t>
      </w:r>
      <w:r>
        <w:rPr>
          <w:rFonts w:ascii="Times New Roman" w:hAnsi="Times New Roman" w:eastAsia="Times New Roman" w:cs="Times New Roman"/>
          <w:b w:val="0"/>
          <w:i/>
          <w:sz w:val="24"/>
        </w:rPr>
        <w:t xml:space="preserve"> (1) Trích Chỉ dẫn kỹ thuật bảo vệ chống cháy kết cấu thép Tập 04, Điều 3.1; (2) Trích bản vẽ KC‑105 Rev.01.</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4677"/>
        <w:gridCol w:w="4677"/>
      </w:tblGrid>
      <w:tr>
        <w:tc>
          <w:tcPr>
            <w:tcW w:type="dxa" w:w="4252"/>
          </w:tcPr>
          <w:p>
            <w:pPr>
              <w:keepNext w:val="0"/>
              <w:spacing w:before="240" w:after="0" w:line="240" w:lineRule="auto"/>
              <w:jc w:val="left"/>
            </w:pPr>
            <w:r>
              <w:rPr>
                <w:rFonts w:ascii="Times New Roman" w:hAnsi="Times New Roman" w:eastAsia="Times New Roman" w:cs="Times New Roman"/>
                <w:b/>
                <w:i/>
                <w:sz w:val="24"/>
              </w:rPr>
              <w:t>Nơi nhận:</w:t>
            </w:r>
          </w:p>
          <w:p>
            <w:pPr>
              <w:keepNext w:val="0"/>
              <w:spacing w:before="0" w:after="0" w:line="240" w:lineRule="auto"/>
              <w:jc w:val="left"/>
            </w:pPr>
            <w:r>
              <w:rPr>
                <w:rFonts w:ascii="Times New Roman" w:hAnsi="Times New Roman" w:eastAsia="Times New Roman" w:cs="Times New Roman"/>
                <w:b w:val="0"/>
                <w:i w:val="0"/>
                <w:sz w:val="22"/>
              </w:rPr>
              <w:t>- Như trên;</w:t>
            </w:r>
          </w:p>
          <w:p>
            <w:pPr>
              <w:keepNext w:val="0"/>
              <w:spacing w:before="0" w:after="0" w:line="240" w:lineRule="auto"/>
              <w:jc w:val="left"/>
            </w:pPr>
            <w:r>
              <w:rPr>
                <w:rFonts w:ascii="Times New Roman" w:hAnsi="Times New Roman" w:eastAsia="Times New Roman" w:cs="Times New Roman"/>
                <w:b w:val="0"/>
                <w:i w:val="0"/>
                <w:sz w:val="22"/>
              </w:rPr>
              <w:t>- Tư vấn giám sát (để biết);</w:t>
            </w:r>
          </w:p>
          <w:p>
            <w:pPr>
              <w:keepNext w:val="0"/>
              <w:spacing w:before="0" w:after="0" w:line="240" w:lineRule="auto"/>
              <w:jc w:val="left"/>
            </w:pPr>
            <w:r>
              <w:rPr>
                <w:rFonts w:ascii="Times New Roman" w:hAnsi="Times New Roman" w:eastAsia="Times New Roman" w:cs="Times New Roman"/>
                <w:b w:val="0"/>
                <w:i w:val="0"/>
                <w:sz w:val="22"/>
              </w:rPr>
              <w:t xml:space="preserve">- Lưu: VT, </w:t>
            </w:r>
            <w:r>
              <w:rPr>
                <w:rFonts w:ascii="Times New Roman" w:hAnsi="Times New Roman" w:eastAsia="Times New Roman" w:cs="Times New Roman"/>
                <w:b w:val="0"/>
                <w:i w:val="0"/>
                <w:sz w:val="22"/>
                <w:highlight w:val="yellow"/>
              </w:rPr>
              <w:t>[bộ phận lưu]</w:t>
            </w:r>
            <w:r>
              <w:rPr>
                <w:rFonts w:ascii="Times New Roman" w:hAnsi="Times New Roman" w:eastAsia="Times New Roman" w:cs="Times New Roman"/>
                <w:b w:val="0"/>
                <w:i w:val="0"/>
                <w:sz w:val="22"/>
              </w:rPr>
              <w:t>.</w:t>
            </w:r>
          </w:p>
        </w:tc>
        <w:tc>
          <w:tcPr>
            <w:tcW w:type="dxa" w:w="5102"/>
          </w:tcPr>
          <w:p>
            <w:pPr>
              <w:keepNext w:val="0"/>
              <w:spacing w:before="240" w:after="0" w:line="240" w:lineRule="auto"/>
              <w:jc w:val="center"/>
            </w:pPr>
            <w:r>
              <w:rPr>
                <w:rFonts w:ascii="Times New Roman" w:hAnsi="Times New Roman" w:eastAsia="Times New Roman" w:cs="Times New Roman"/>
                <w:b/>
                <w:i w:val="0"/>
                <w:sz w:val="26"/>
              </w:rPr>
              <w:t>ĐẠI DIỆN NHÀ THẦU</w:t>
            </w:r>
          </w:p>
          <w:p>
            <w:pPr>
              <w:keepNext w:val="0"/>
              <w:spacing w:before="0" w:after="0" w:line="240" w:lineRule="auto"/>
              <w:jc w:val="center"/>
            </w:pPr>
            <w:r>
              <w:rPr>
                <w:rFonts w:ascii="Times New Roman" w:hAnsi="Times New Roman" w:eastAsia="Times New Roman" w:cs="Times New Roman"/>
                <w:b/>
                <w:i w:val="0"/>
                <w:sz w:val="26"/>
              </w:rPr>
              <w:t>CHỈ HUY TRƯỞNG CÔNG TRƯỜNG</w:t>
            </w:r>
          </w:p>
          <w:p>
            <w:pPr>
              <w:keepNext w:val="0"/>
              <w:spacing w:before="0" w:after="0" w:line="240" w:lineRule="auto"/>
              <w:jc w:val="center"/>
            </w:pPr>
            <w:r>
              <w:rPr>
                <w:rFonts w:ascii="Times New Roman" w:hAnsi="Times New Roman" w:eastAsia="Times New Roman" w:cs="Times New Roman"/>
                <w:b w:val="0"/>
                <w:i/>
                <w:sz w:val="26"/>
              </w:rPr>
              <w:t>(Ký, ghi rõ họ tên, đóng dấu)</w:t>
            </w:r>
          </w:p>
          <w:p>
            <w:pPr>
              <w:keepNext w:val="0"/>
              <w:spacing w:before="0" w:after="0" w:line="240" w:lineRule="auto"/>
              <w:jc w:val="center"/>
            </w:pPr>
          </w:p>
          <w:p>
            <w:pPr>
              <w:keepNext w:val="0"/>
              <w:spacing w:before="0" w:after="0" w:line="240" w:lineRule="auto"/>
              <w:jc w:val="center"/>
            </w:pPr>
          </w:p>
          <w:p>
            <w:pPr>
              <w:keepNext w:val="0"/>
              <w:spacing w:before="0" w:after="0" w:line="240" w:lineRule="auto"/>
              <w:jc w:val="center"/>
            </w:pPr>
          </w:p>
          <w:p>
            <w:pPr>
              <w:keepNext w:val="0"/>
              <w:spacing w:before="240" w:after="0" w:line="240" w:lineRule="auto"/>
              <w:jc w:val="center"/>
            </w:pPr>
            <w:r>
              <w:rPr>
                <w:rFonts w:ascii="Times New Roman" w:hAnsi="Times New Roman" w:eastAsia="Times New Roman" w:cs="Times New Roman"/>
                <w:b/>
                <w:i w:val="0"/>
                <w:sz w:val="26"/>
                <w:highlight w:val="yellow"/>
              </w:rPr>
              <w:t>[Họ và tên]</w:t>
            </w:r>
          </w:p>
        </w:tc>
      </w:tr>
    </w:tbl>
    <w:p>
      <w:r>
        <w:br w:type="page"/>
      </w:r>
    </w:p>
    <w:p>
      <w:pPr>
        <w:keepNext w:val="0"/>
        <w:spacing w:before="0" w:after="240" w:line="276" w:lineRule="auto"/>
        <w:jc w:val="center"/>
      </w:pPr>
      <w:r>
        <w:rPr>
          <w:rFonts w:ascii="Times New Roman" w:hAnsi="Times New Roman" w:eastAsia="Times New Roman" w:cs="Times New Roman"/>
          <w:b/>
          <w:i w:val="0"/>
          <w:sz w:val="28"/>
        </w:rPr>
        <w:t>PHẦN Ý KIẾN TRẢ LỜI</w:t>
      </w:r>
    </w:p>
    <w:p>
      <w:pPr>
        <w:keepNext/>
        <w:spacing w:before="120" w:after="120" w:line="276" w:lineRule="auto"/>
        <w:jc w:val="left"/>
      </w:pPr>
      <w:r>
        <w:rPr>
          <w:rFonts w:ascii="Times New Roman" w:hAnsi="Times New Roman" w:eastAsia="Times New Roman" w:cs="Times New Roman"/>
          <w:b/>
          <w:i w:val="0"/>
          <w:sz w:val="26"/>
        </w:rPr>
        <w:t>VII. Ý KIẾN CỦA ĐƠN VỊ THIẾT KẾ</w:t>
      </w:r>
    </w:p>
    <w:tbl>
      <w:tblPr>
        <w:tblStyle w:val="TableGrid"/>
        <w:tblW w:type="auto" w:w="0"/>
        <w:tblLayout w:type="fixed"/>
        <w:tblLook w:firstColumn="1" w:firstRow="1" w:lastColumn="0" w:lastRow="0" w:noHBand="0" w:noVBand="1" w:val="04A0"/>
        <w:tblLayout w:type="fixed"/>
      </w:tblPr>
      <w:tblGrid>
        <w:gridCol w:w="9355"/>
      </w:tblGrid>
      <w:tr>
        <w:tc>
          <w:tcPr>
            <w:tcW w:type="dxa" w:w="9354"/>
          </w:tcPr>
          <w:p>
            <w:pPr>
              <w:keepNext w:val="0"/>
              <w:spacing w:before="120" w:after="120" w:line="240" w:lineRule="auto"/>
              <w:jc w:val="left"/>
            </w:pPr>
            <w:r>
              <w:rPr>
                <w:rFonts w:ascii="Times New Roman" w:hAnsi="Times New Roman" w:eastAsia="Times New Roman" w:cs="Times New Roman"/>
                <w:b w:val="0"/>
                <w:i w:val="0"/>
                <w:sz w:val="24"/>
              </w:rPr>
              <w:t>☐ Chấp thuận đề xuất     ☐ Chấp thuận có điều chỉnh     ☐ Không chấp thuận</w:t>
            </w:r>
          </w:p>
          <w:p>
            <w:pPr>
              <w:keepNext w:val="0"/>
              <w:spacing w:before="120" w:after="0" w:line="240" w:lineRule="auto"/>
              <w:jc w:val="left"/>
            </w:pPr>
            <w:r>
              <w:rPr>
                <w:rFonts w:ascii="Times New Roman" w:hAnsi="Times New Roman" w:eastAsia="Times New Roman" w:cs="Times New Roman"/>
                <w:b/>
                <w:i w:val="0"/>
                <w:sz w:val="24"/>
              </w:rPr>
              <w:t>Nội dung trả lời:</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240" w:after="0" w:line="240" w:lineRule="auto"/>
              <w:jc w:val="right"/>
            </w:pPr>
            <w:r>
              <w:rPr>
                <w:rFonts w:ascii="Times New Roman" w:hAnsi="Times New Roman" w:eastAsia="Times New Roman" w:cs="Times New Roman"/>
                <w:b w:val="0"/>
                <w:i/>
                <w:sz w:val="24"/>
              </w:rPr>
              <w:t>Ngày      tháng      năm 2026</w:t>
            </w:r>
          </w:p>
          <w:p>
            <w:pPr>
              <w:keepNext w:val="0"/>
              <w:spacing w:before="0" w:after="0" w:line="240" w:lineRule="auto"/>
              <w:jc w:val="right"/>
            </w:pPr>
            <w:r>
              <w:rPr>
                <w:rFonts w:ascii="Times New Roman" w:hAnsi="Times New Roman" w:eastAsia="Times New Roman" w:cs="Times New Roman"/>
                <w:b/>
                <w:i w:val="0"/>
                <w:sz w:val="24"/>
              </w:rPr>
              <w:t>ĐẠI DIỆN ĐƠN VỊ THIẾT KẾ</w:t>
            </w:r>
          </w:p>
          <w:p>
            <w:pPr>
              <w:keepNext w:val="0"/>
              <w:spacing w:before="0" w:after="720" w:line="240" w:lineRule="auto"/>
              <w:jc w:val="right"/>
            </w:pPr>
            <w:r>
              <w:rPr>
                <w:rFonts w:ascii="Times New Roman" w:hAnsi="Times New Roman" w:eastAsia="Times New Roman" w:cs="Times New Roman"/>
                <w:b w:val="0"/>
                <w:i/>
                <w:sz w:val="24"/>
              </w:rPr>
              <w:t>(Ký, ghi rõ họ tên)</w:t>
            </w:r>
          </w:p>
        </w:tc>
      </w:tr>
    </w:tbl>
    <w:p>
      <w:pPr>
        <w:keepNext w:val="0"/>
        <w:spacing w:before="0" w:after="120" w:line="276" w:lineRule="auto"/>
        <w:jc w:val="both"/>
      </w:pPr>
    </w:p>
    <w:p>
      <w:pPr>
        <w:keepNext/>
        <w:spacing w:before="120" w:after="120" w:line="276" w:lineRule="auto"/>
        <w:jc w:val="left"/>
      </w:pPr>
      <w:r>
        <w:rPr>
          <w:rFonts w:ascii="Times New Roman" w:hAnsi="Times New Roman" w:eastAsia="Times New Roman" w:cs="Times New Roman"/>
          <w:b/>
          <w:i w:val="0"/>
          <w:sz w:val="26"/>
        </w:rPr>
        <w:t>VIII. Ý KIẾN CỦA BAN QUẢN LÝ DỰ ÁN</w:t>
      </w:r>
    </w:p>
    <w:tbl>
      <w:tblPr>
        <w:tblStyle w:val="TableGrid"/>
        <w:tblW w:type="auto" w:w="0"/>
        <w:tblLayout w:type="fixed"/>
        <w:tblLook w:firstColumn="1" w:firstRow="1" w:lastColumn="0" w:lastRow="0" w:noHBand="0" w:noVBand="1" w:val="04A0"/>
        <w:tblLayout w:type="fixed"/>
      </w:tblPr>
      <w:tblGrid>
        <w:gridCol w:w="9355"/>
      </w:tblGrid>
      <w:tr>
        <w:tc>
          <w:tcPr>
            <w:tcW w:type="dxa" w:w="9354"/>
          </w:tcPr>
          <w:p>
            <w:pPr>
              <w:keepNext w:val="0"/>
              <w:spacing w:before="120" w:after="120" w:line="240" w:lineRule="auto"/>
              <w:jc w:val="left"/>
            </w:pPr>
            <w:r>
              <w:rPr>
                <w:rFonts w:ascii="Times New Roman" w:hAnsi="Times New Roman" w:eastAsia="Times New Roman" w:cs="Times New Roman"/>
                <w:b w:val="0"/>
                <w:i w:val="0"/>
                <w:sz w:val="24"/>
              </w:rPr>
              <w:t>☐ Chấp thuận đề xuất     ☐ Chấp thuận có điều chỉnh     ☐ Không chấp thuận</w:t>
            </w:r>
          </w:p>
          <w:p>
            <w:pPr>
              <w:keepNext w:val="0"/>
              <w:spacing w:before="120" w:after="0" w:line="240" w:lineRule="auto"/>
              <w:jc w:val="left"/>
            </w:pPr>
            <w:r>
              <w:rPr>
                <w:rFonts w:ascii="Times New Roman" w:hAnsi="Times New Roman" w:eastAsia="Times New Roman" w:cs="Times New Roman"/>
                <w:b/>
                <w:i w:val="0"/>
                <w:sz w:val="24"/>
              </w:rPr>
              <w:t>Nội dung trả lời:</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60" w:after="60" w:line="240" w:lineRule="auto"/>
              <w:jc w:val="left"/>
            </w:pPr>
            <w:r>
              <w:rPr>
                <w:rFonts w:ascii="Times New Roman" w:hAnsi="Times New Roman" w:eastAsia="Times New Roman" w:cs="Times New Roman"/>
                <w:b w:val="0"/>
                <w:i w:val="0"/>
                <w:sz w:val="24"/>
              </w:rPr>
              <w:t>......................................................................................................................................................</w:t>
            </w:r>
          </w:p>
          <w:p>
            <w:pPr>
              <w:keepNext w:val="0"/>
              <w:spacing w:before="240" w:after="0" w:line="240" w:lineRule="auto"/>
              <w:jc w:val="right"/>
            </w:pPr>
            <w:r>
              <w:rPr>
                <w:rFonts w:ascii="Times New Roman" w:hAnsi="Times New Roman" w:eastAsia="Times New Roman" w:cs="Times New Roman"/>
                <w:b w:val="0"/>
                <w:i/>
                <w:sz w:val="24"/>
              </w:rPr>
              <w:t>Ngày      tháng      năm 2026</w:t>
            </w:r>
          </w:p>
          <w:p>
            <w:pPr>
              <w:keepNext w:val="0"/>
              <w:spacing w:before="0" w:after="0" w:line="240" w:lineRule="auto"/>
              <w:jc w:val="right"/>
            </w:pPr>
            <w:r>
              <w:rPr>
                <w:rFonts w:ascii="Times New Roman" w:hAnsi="Times New Roman" w:eastAsia="Times New Roman" w:cs="Times New Roman"/>
                <w:b/>
                <w:i w:val="0"/>
                <w:sz w:val="24"/>
              </w:rPr>
              <w:t>ĐẠI DIỆN BAN QUẢN LÝ DỰ ÁN</w:t>
            </w:r>
          </w:p>
          <w:p>
            <w:pPr>
              <w:keepNext w:val="0"/>
              <w:spacing w:before="0" w:after="720" w:line="240" w:lineRule="auto"/>
              <w:jc w:val="right"/>
            </w:pPr>
            <w:r>
              <w:rPr>
                <w:rFonts w:ascii="Times New Roman" w:hAnsi="Times New Roman" w:eastAsia="Times New Roman" w:cs="Times New Roman"/>
                <w:b w:val="0"/>
                <w:i/>
                <w:sz w:val="24"/>
              </w:rPr>
              <w:t>(Ký, ghi rõ họ tên)</w:t>
            </w:r>
          </w:p>
        </w:tc>
      </w:tr>
    </w:tbl>
    <w:p>
      <w:pPr>
        <w:keepNext w:val="0"/>
        <w:spacing w:before="0" w:after="120" w:line="276" w:lineRule="auto"/>
        <w:jc w:val="both"/>
      </w:pPr>
    </w:p>
    <w:sectPr w:rsidR="00FC693F" w:rsidRPr="0006063C" w:rsidSect="00034616">
      <w:headerReference w:type="default" r:id="rId9"/>
      <w:pgSz w:w="11906" w:h="16838"/>
      <w:pgMar w:top="1134" w:right="850" w:bottom="1134" w:left="1701" w:header="567"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b w:val="0"/>
        <w:i w:val="0"/>
        <w:sz w:val="26"/>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