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br/>
        <w:t>Độc lập - Tự do - Hạnh phúc</w:t>
        <w:br/>
        <w:t>--------------------</w:t>
        <w:br/>
      </w:r>
    </w:p>
    <w:p>
      <w:pPr>
        <w:jc w:val="center"/>
      </w:pPr>
      <w:r>
        <w:rPr>
          <w:b/>
          <w:sz w:val="28"/>
        </w:rPr>
        <w:t>HỢP ĐỒNG CUNG CẤP DỊCH VỤ CÔNG NGHỆ VÀ PHẦN MỀM QUẢN TRỊ</w:t>
        <w:br/>
      </w:r>
      <w:r>
        <w:rPr>
          <w:i/>
        </w:rPr>
        <w:t>Số: 88/2026/HĐKT-NAMHAI | Dự thảo ngày: 20/02/2026</w:t>
        <w:br/>
        <w:br/>
      </w:r>
    </w:p>
    <w:p>
      <w:r>
        <w:t>Căn cứ Bộ luật Dân sự số 91/2015/QH13 và Luật Thương mại số 36/2005/QH11;</w:t>
        <w:br/>
        <w:t>Hôm nay, ngày 20 tháng 02 năm 2026, chúng tôi gồm các bên:</w:t>
      </w:r>
    </w:p>
    <w:p>
      <w:r>
        <w:rPr>
          <w:b/>
        </w:rPr>
        <w:t>BÊN SỬ DỤNG DỊCH VỤ (BÊN A): CÔNG TY CỔ PHẦN THƯƠNG MẠI DỊCH VỤ NAM HẢI</w:t>
        <w:br/>
      </w:r>
      <w:r>
        <w:t>Mã số thuế: 0315789123</w:t>
        <w:br/>
        <w:t>Địa chỉ: Số 124 Điện Biên Phủ, Phường 25, Quận Bình Thạnh, TP. Hồ Chí Minh</w:t>
        <w:br/>
        <w:t>Đại diện bởi: Ông HOÀNG MINH ĐỨC - Chức vụ: Tổng Giám đốc</w:t>
      </w:r>
    </w:p>
    <w:p>
      <w:r>
        <w:rPr>
          <w:b/>
        </w:rPr>
        <w:t>BÊN CUNG CẤP DỊCH VỤ (BÊN B): CÔNG TY CỔ PHẦN GIẢI PHÁP SỐ NOVATECH</w:t>
        <w:br/>
      </w:r>
      <w:r>
        <w:t>Mã số thuế: 0316892345</w:t>
        <w:br/>
        <w:t>Địa chỉ: Tầng 18, Bitexco Financial Tower, Số 2 Hải Triều, P. Bến Nghé, Quận 1, TP.HCM</w:t>
        <w:br/>
        <w:t>Đại diện bởi: Ông TRẦN HẢI ĐĂNG - Chức vụ: Tổng Giám đốc Điều hành</w:t>
      </w:r>
    </w:p>
    <w:p>
      <w:pPr>
        <w:pStyle w:val="Heading2"/>
      </w:pPr>
      <w:r>
        <w:t>Điều 1. Nội dung dịch vụ và phạm vi cung cấp</w:t>
      </w:r>
    </w:p>
    <w:p>
      <w:r>
        <w:t>Bên B cung cấp cho Bên A quyền sử dụng hệ sinh thái phần mềm NovaERP &amp; NovaCRM quy mô 75 người dùng, kèm theo hạ tầng Cloud và dịch vụ đào tạo tại trụ sở Bên A.</w:t>
      </w:r>
    </w:p>
    <w:p>
      <w:pPr>
        <w:pStyle w:val="Heading2"/>
      </w:pPr>
      <w:r>
        <w:t>Điều 2. Thời gian triển khai và thời hạn hợp đồng</w:t>
      </w:r>
    </w:p>
    <w:p>
      <w:r>
        <w:t>Thời hạn hợp đồng là 12 tháng kể từ ngày ký. Thời gian hoàn tất khởi tạo và bàn giao hệ thống là 45 ngày làm việc.</w:t>
      </w:r>
    </w:p>
    <w:p>
      <w:pPr>
        <w:pStyle w:val="Heading2"/>
      </w:pPr>
      <w:r>
        <w:t>Điều 3. Giá trị hợp đồng</w:t>
      </w:r>
    </w:p>
    <w:p>
      <w:r>
        <w:t>Tổng giá trị hợp đồng trọn gói là: **145.000.000 VNĐ** (Bằng chữ: Một trăm bốn mươi lăm triệu đồng chẵn). Đơn giá chưa bao gồm thuế GTGT 10%.</w:t>
      </w:r>
    </w:p>
    <w:p>
      <w:pPr>
        <w:pStyle w:val="Heading2"/>
      </w:pPr>
      <w:r>
        <w:t>Điều 4. Trách nhiệm và quyền hạn của Bên A</w:t>
      </w:r>
    </w:p>
    <w:p>
      <w:r>
        <w:t>Bên A cung cấp danh sách nhân sự, bố trí phòng đào tạo và phối hợp nghiệm thu hệ thống theo tiến độ.</w:t>
      </w:r>
    </w:p>
    <w:p>
      <w:pPr>
        <w:pStyle w:val="Heading2"/>
      </w:pPr>
      <w:r>
        <w:t>Điều 5. Trách nhiệm và quyền hạn của Bên B</w:t>
      </w:r>
    </w:p>
    <w:p>
      <w:r>
        <w:t>Bên B bảo đảm hệ thống vận hành đúng đặc tả kỹ thuật, bảo hành kỹ thuật trong suốt thời hạn hợp đồng.</w:t>
      </w:r>
    </w:p>
    <w:p>
      <w:pPr>
        <w:pStyle w:val="Heading2"/>
      </w:pPr>
      <w:r>
        <w:t>Điều 6. Tiến độ và điều kiện thanh toán (Dự thảo do Bên A soạn)</w:t>
      </w:r>
    </w:p>
    <w:p>
      <w:r>
        <w:t>1. Đợt 1: Bên A tạm ứng 20% giá trị hợp đồng sau khi Bên B hoàn thành việc đào tạo và khởi tạo tài khoản cho 75 nhân sự của Bên A.</w:t>
        <w:br/>
        <w:t>2. Đợt 2: Bên A thanh toán 80% còn lại trong vòng **60 ngày làm việc** kể từ ngày hai bên ký Biên bản nghiệm thu toàn diện và hệ thống vận hành thực tế không phát sinh bất kỳ lỗi kỹ thuật nào.</w:t>
        <w:br/>
        <w:t>3. Điều kiện thanh toán: Trường hợp hồ sơ đề nghị thanh toán của Bên B có bất kỳ sai lệch nào về nội dung, con số hoặc lỗi chính tả dù là nhỏ nhất, thời hạn thanh toán nêu trên sẽ được tự động lùi lại cho đến khi Bên B hoàn thiện lại hồ sơ, và Bên A hoàn toàn không phải chịu bất kỳ khoản lãi chậm trả nào.</w:t>
      </w:r>
    </w:p>
    <w:p>
      <w:pPr>
        <w:pStyle w:val="Heading2"/>
      </w:pPr>
      <w:r>
        <w:t>Điều 7. Quyền sở hữu trí tuệ và bảo mật dữ liệu (Dự thảo do Bên A soạn)</w:t>
      </w:r>
    </w:p>
    <w:p>
      <w:r>
        <w:t>1. Bên B có nghĩa vụ bàn giao toàn bộ **Mã nguồn gốc (Full Source Code)**, tài liệu thiết kế cơ sở dữ liệu và công cụ quản trị của hệ thống cho Bên A ngay sau khi hoàn thành triển khai.</w:t>
        <w:br/>
        <w:t>2. **Toàn bộ quyền sở hữu trí tuệ**, quyền tác giả đối với hệ sinh thái phần mềm, các giải pháp số hóa và quy trình vận hành được tạo ra hoặc áp dụng trong hợp đồng này sẽ **thuộc quyền sở hữu toàn diện và độc quyền của Bên A**.</w:t>
        <w:br/>
        <w:t>3. Bên B cam kết không được sử dụng lại các giải pháp, cấu trúc dữ liệu hoặc tài liệu đào tạo tương tự để cung cấp cho bất kỳ khách hàng nào khác hoạt động trong cùng lĩnh vực kinh doanh với Bên A.</w:t>
      </w:r>
    </w:p>
    <w:p>
      <w:pPr>
        <w:pStyle w:val="Heading2"/>
      </w:pPr>
      <w:r>
        <w:t>Điều 8. Bảo hành và hỗ trợ kỹ thuật</w:t>
      </w:r>
    </w:p>
    <w:p>
      <w:r>
        <w:t>Bên B chịu trách nhiệm bảo hành kỹ thuật miễn phí trong vòng 12 tháng kể từ ngày nghiệm thu.</w:t>
      </w:r>
    </w:p>
    <w:p>
      <w:pPr>
        <w:pStyle w:val="Heading2"/>
      </w:pPr>
      <w:r>
        <w:t>Điều 9. Phạt vi phạm hợp đồng và Bồi thường thiệt hại (Dự thảo do Bên A soạn)</w:t>
      </w:r>
    </w:p>
    <w:p>
      <w:r>
        <w:t>1. Nếu Bên B chậm tiến độ bàn giao hệ thống hoặc hệ thống phần mềm bị gián đoạn hoạt động quá 02 giờ trong tháng, Bên B phải chịu mức phạt vi phạm hợp đồng là **20% tổng giá trị hợp đồng** cho mỗi lần xảy ra sự cố.</w:t>
        <w:br/>
        <w:t>2. Ngoài tiền phạt vi phạm nêu trên, Bên B phải bồi thường toàn bộ thiệt hại thực tế phát sinh cho Bên A, bao gồm cả các khoản doanh thu bị giảm sút, chi phí nhân sự phát sinh và tổn thất uy tín kinh doanh của Bên A do sự cố phần mềm gây ra mà không bị giới hạn mức trần bồi thường.</w:t>
      </w:r>
    </w:p>
    <w:p>
      <w:pPr>
        <w:pStyle w:val="Heading2"/>
      </w:pPr>
      <w:r>
        <w:t>Điều 10. Bất khả kháng</w:t>
      </w:r>
    </w:p>
    <w:p>
      <w:r>
        <w:t>Các sự kiện bất khả kháng như thiên tai, hỏa hoạn, dịch bệnh hoặc thay đổi chính sách pháp luật của Nhà nước làm gián đoạn hợp đồng được xử lý theo quy định chung của pháp luật Việt Nam.</w:t>
      </w:r>
    </w:p>
    <w:p>
      <w:pPr>
        <w:pStyle w:val="Heading2"/>
      </w:pPr>
      <w:r>
        <w:t>Điều 11. Luật áp dụng và Giải quyết tranh chấp (Dự thảo do Bên A soạn)</w:t>
      </w:r>
    </w:p>
    <w:p>
      <w:r>
        <w:t>1. Hợp đồng này được điều chỉnh và giải thích theo quy định của pháp luật nước Cộng hòa Xã hội Chủ nghĩa Việt Nam.</w:t>
        <w:br/>
        <w:t>2. Trường hợp phát sinh tranh chấp, khiếu nại giữa hai bên mà không thể tự hòa giải thành công, tranh chấp đó bắt buộc phải đưa ra giải quyết độc quyền tại **Tòa án nhân dân Quận Bình Thạnh, TP. Hồ Chí Minh** (nơi Bên A đặt trụ sở chính). Bản án của Tòa án nhân dân Quận Bình Thạnh là quyết định cuối cùng, toàn bộ án phí và chi phí thuê luật sư do Bên B gánh chịu.</w:t>
      </w:r>
    </w:p>
    <w:p>
      <w:pPr>
        <w:pStyle w:val="Heading2"/>
      </w:pPr>
      <w:r>
        <w:t>Điều 12. Điều khoản thi hành</w:t>
      </w:r>
    </w:p>
    <w:p>
      <w:r>
        <w:t>Hợp đồng này có hiệu lực kể từ ngày đại diện có thẩm quyền của hai bên ký tên và đóng dấu. Hợp đồng được lập thành 04 bản có giá trị pháp lý như nhau, mỗi bên giữ 02 bản để thực hiện.</w:t>
      </w:r>
    </w:p>
    <w:p>
      <w:pPr>
        <w:spacing w:before="500"/>
      </w:pPr>
    </w:p>
    <w:tbl>
      <w:tblPr>
        <w:tblW w:type="auto" w:w="0"/>
        <w:jc w:val="center"/>
        <w:tblLook w:firstColumn="1" w:firstRow="1" w:lastColumn="0" w:lastRow="0" w:noHBand="0" w:noVBand="1" w:val="04A0"/>
      </w:tblPr>
      <w:tblGrid>
        <w:gridCol w:w="4824"/>
        <w:gridCol w:w="4824"/>
      </w:tblGrid>
      <w:tr>
        <w:tc>
          <w:tcPr>
            <w:tcW w:type="dxa" w:w="4608"/>
          </w:tcPr>
          <w:p>
            <w:pPr>
              <w:jc w:val="center"/>
            </w:pPr>
            <w:r>
              <w:rPr>
                <w:b/>
              </w:rPr>
              <w:t>ĐẠI DIỆN BÊN A - NAM HẢI CORP</w:t>
              <w:br/>
              <w:t>TỔNG GIÁM ĐỐC</w:t>
              <w:br/>
              <w:br/>
              <w:br/>
              <w:br/>
              <w:br/>
              <w:t>HOÀNG MINH ĐỨC</w:t>
            </w:r>
          </w:p>
        </w:tc>
        <w:tc>
          <w:tcPr>
            <w:tcW w:type="dxa" w:w="4608"/>
          </w:tcPr>
          <w:p>
            <w:pPr>
              <w:jc w:val="center"/>
            </w:pPr>
            <w:r>
              <w:rPr>
                <w:b/>
              </w:rPr>
              <w:t>ĐẠI DIỆN BÊN B - NOVATECH</w:t>
              <w:br/>
              <w:t>TỔNG GIÁM ĐỐC ĐIỀU HÀNH</w:t>
              <w:br/>
              <w:br/>
              <w:br/>
              <w:br/>
              <w:br/>
              <w:t>TRẦN HẢI ĐĂNG</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