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br/>
        <w:t>Độc lập - Tự do - Hạnh phúc</w:t>
        <w:br/>
        <w:t>--------------------</w:t>
        <w:br/>
      </w:r>
    </w:p>
    <w:p>
      <w:pPr>
        <w:jc w:val="center"/>
      </w:pPr>
      <w:r>
        <w:rPr>
          <w:b/>
          <w:sz w:val="28"/>
        </w:rPr>
        <w:t>HỢP ĐỒNG CUNG CẤP DỊCH VỤ PHẦN MỀM VÀ GIẢI PHÁP SỐ</w:t>
        <w:br/>
      </w:r>
      <w:r>
        <w:rPr>
          <w:i/>
        </w:rPr>
        <w:t>Số: ....../2026/HĐDV-NOVATECH</w:t>
        <w:br/>
        <w:br/>
      </w:r>
    </w:p>
    <w:p>
      <w:r>
        <w:t>Hôm nay, ngày ...... tháng ...... năm 2026, tại trụ sở Công ty Cổ phần Giải pháp Số NovaTech, chúng tôi gồm các bên sau:</w:t>
      </w:r>
    </w:p>
    <w:p>
      <w:r>
        <w:rPr>
          <w:b/>
        </w:rPr>
        <w:t>BÊN SỬ DỤNG DỊCH VỤ (BÊN A): [TÊN DOANH NGHIỆP KHÁCH HÀNG]</w:t>
        <w:br/>
      </w:r>
      <w:r>
        <w:t>Mã số thuế: [Mã số thuế Bên A]</w:t>
        <w:br/>
        <w:t>Địa chỉ trụ sở: [Địa chỉ theo đăng ký kinh doanh Bên A]</w:t>
        <w:br/>
        <w:t>Đại diện bởi: [Họ và tên người đại diện] - Chức vụ: [Tổng Giám đốc / Giám đốc]</w:t>
        <w:br/>
        <w:t>Điện thoại: [Số điện thoại] - Email: [Email doanh nghiệp]</w:t>
      </w:r>
    </w:p>
    <w:p>
      <w:r>
        <w:rPr>
          <w:b/>
        </w:rPr>
        <w:t>BÊN CUNG CẤP DỊCH VỤ (BÊN B): CÔNG TY CỔ PHẦN GIẢI PHÁP SỐ NOVATECH</w:t>
        <w:br/>
      </w:r>
      <w:r>
        <w:t>Mã số thuế: 0316892345</w:t>
        <w:br/>
        <w:t>Địa chỉ trụ sở: Tầng 18, Bitexco Financial Tower, Số 2 Hải Triều, P. Bến Nghé, Quận 1, TP.HCM</w:t>
        <w:br/>
        <w:t>Đại diện bởi: Ông TRẦN HẢI ĐĂNG - Chức vụ: Tổng Giám đốc Điều hành</w:t>
        <w:br/>
        <w:t>Tài khoản ngân hàng: 0071001234567 tại Ngân hàng TMCP Ngoại thương Việt Nam (Vietcombank) - Chi nhánh TP.HCM.</w:t>
      </w:r>
    </w:p>
    <w:p>
      <w:r>
        <w:t>Hai bên thỏa thuận ký kết hợp đồng dịch vụ với các điều khoản chuẩn mực sau đây:</w:t>
      </w:r>
    </w:p>
    <w:p>
      <w:pPr>
        <w:pStyle w:val="Heading2"/>
      </w:pPr>
      <w:r>
        <w:t>Điều 1. Đối tượng hợp đồng và phạm vi dịch vụ</w:t>
      </w:r>
    </w:p>
    <w:p>
      <w:r>
        <w:t>Bên B đồng ý cung cấp cho Bên A quyền sử dụng gói giải pháp phần mềm quản trị doanh nghiệp [Gói Professional / Enterprise] kèm theo hạ tầng lưu trữ đám mây và dịch vụ đào tạo chuyển giao vận hành hệ thống theo đúng quy chuẩn kỹ thuật tại Phụ lục 01 đính kèm.</w:t>
      </w:r>
    </w:p>
    <w:p>
      <w:pPr>
        <w:pStyle w:val="Heading2"/>
      </w:pPr>
      <w:r>
        <w:t>Điều 2. Giá trị hợp đồng và phương thức thanh toán</w:t>
      </w:r>
    </w:p>
    <w:p>
      <w:r>
        <w:t>1. Tổng giá trị hợp đồng là: [Số tiền bằng số] VNĐ (Chưa bao gồm thuế GTGT 10%).</w:t>
        <w:br/>
        <w:t>2. Tiến độ thanh toán chia làm 02 đợt chuẩn:</w:t>
        <w:br/>
        <w:t xml:space="preserve">   - Đợt 1: Thanh toán 50% ngay sau khi ký kết hợp đồng.</w:t>
        <w:br/>
        <w:t xml:space="preserve">   - Đợt 2: Thanh toán 50% còn lại trong vòng 15 ngày làm việc kể từ ngày hoàn tất nghiệm thu và Bên B phát hành hóa đơn VAT điện tử hợp lệ.</w:t>
      </w:r>
    </w:p>
    <w:p>
      <w:pPr>
        <w:pStyle w:val="Heading2"/>
      </w:pPr>
      <w:r>
        <w:t>Điều 3. Cam kết thời gian vận hành và tiêu chuẩn SLA</w:t>
      </w:r>
    </w:p>
    <w:p>
      <w:r>
        <w:t>Bên B cam kết duy trì hệ thống máy chủ hoạt động liên tục với tỷ lệ Uptime tối thiểu 99.9%. Các sự cố kỹ thuật khẩn cấp được hỗ trợ phản hồi trong vòng 30 phút và khắc phục tối đa không quá 02 giờ.</w:t>
      </w:r>
    </w:p>
    <w:p>
      <w:pPr>
        <w:pStyle w:val="Heading2"/>
      </w:pPr>
      <w:r>
        <w:t>Điều 4. Quyền sở hữu trí tuệ (Điều khoản chuẩn của NovaTech)</w:t>
      </w:r>
    </w:p>
    <w:p>
      <w:r>
        <w:t>1. Bên B giữ toàn quyền sở hữu trí tuệ, quyền tác giả đối với toàn bộ mã nguồn, kiến trúc phần mềm, tài liệu đào tạo và giải pháp công nghệ cung cấp theo hợp đồng này.</w:t>
        <w:br/>
        <w:t>2. Bên A được cấp quyền sử dụng không độc quyền trong nội bộ doanh nghiệp. Bên A không được phép sao chép, dịch ngược mã nguồn hoặc chuyển nhượng cho bất kỳ bên thứ ba nào khi chưa có sự đồng ý bằng văn bản của Bên B.</w:t>
        <w:br/>
        <w:t>3. Toàn bộ dữ liệu kinh doanh của Bên A phát sinh trên hệ thống thuộc quyền sở hữu tuyệt đối của Bên A.</w:t>
      </w:r>
    </w:p>
    <w:p>
      <w:pPr>
        <w:pStyle w:val="Heading2"/>
      </w:pPr>
      <w:r>
        <w:t>Điều 5. Phạt vi phạm và Giới hạn bồi thường thiệt hại</w:t>
      </w:r>
    </w:p>
    <w:p>
      <w:r>
        <w:t>1. Trường hợp một bên vi phạm nghĩa vụ hợp đồng, mức phạt vi phạm được áp dụng theo Điều 301 Luật Thương mại 2005, tối đa không quá 8% giá trị phần nghĩa vụ hợp đồng bị vi phạm.</w:t>
        <w:br/>
        <w:t>2. Tổng mức bồi thường thiệt hại thực tế trực tiếp trong mọi trường hợp không vượt quá tổng số tiền thực tế Bên B đã nhận được từ Bên A trong vòng 12 tháng gần nhất.</w:t>
      </w:r>
    </w:p>
    <w:p>
      <w:pPr>
        <w:pStyle w:val="Heading2"/>
      </w:pPr>
      <w:r>
        <w:t>Điều 6. Giải quyết tranh chấp</w:t>
      </w:r>
    </w:p>
    <w:p>
      <w:r>
        <w:t>Mọi tranh chấp phát sinh từ hợp đồng này trước hết được giải quyết thông qua thương lượng hòa giải. Trường hợp thương lượng không thành trong vòng 30 ngày, tranh chấp sẽ được đưa ra giải quyết tại Trung tâm Trọng tài Quốc tế Việt Nam (VIAC) chi nhánh TP.HCM theo Quy tắc tố tụng của Trung tâm này. Phán quyết của Trọng tài là chung thẩm và ràng buộc hai bên.</w:t>
      </w:r>
    </w:p>
    <w:p>
      <w:pPr>
        <w:spacing w:before="600"/>
      </w:pPr>
    </w:p>
    <w:tbl>
      <w:tblPr>
        <w:tblW w:type="auto" w:w="0"/>
        <w:jc w:val="center"/>
        <w:tblLook w:firstColumn="1" w:firstRow="1" w:lastColumn="0" w:lastRow="0" w:noHBand="0" w:noVBand="1" w:val="04A0"/>
      </w:tblPr>
      <w:tblGrid>
        <w:gridCol w:w="4824"/>
        <w:gridCol w:w="4824"/>
      </w:tblGrid>
      <w:tr>
        <w:tc>
          <w:tcPr>
            <w:tcW w:type="dxa" w:w="4608"/>
          </w:tcPr>
          <w:p>
            <w:pPr>
              <w:jc w:val="center"/>
            </w:pPr>
            <w:r>
              <w:rPr>
                <w:b/>
              </w:rPr>
              <w:t>ĐẠI DIỆN BÊN A</w:t>
              <w:br/>
              <w:t>(Ký tên, đóng dấu)</w:t>
              <w:br/>
              <w:br/>
              <w:br/>
              <w:br/>
              <w:br/>
              <w:t>[Họ tên người đại diện Bên A]</w:t>
            </w:r>
          </w:p>
        </w:tc>
        <w:tc>
          <w:tcPr>
            <w:tcW w:type="dxa" w:w="4608"/>
          </w:tcPr>
          <w:p>
            <w:pPr>
              <w:jc w:val="center"/>
            </w:pPr>
            <w:r>
              <w:rPr>
                <w:b/>
              </w:rPr>
              <w:t>ĐẠI DIỆN BÊN B - NOVATECH</w:t>
              <w:br/>
              <w:t>(Ký tên, đóng dấu)</w:t>
              <w:br/>
              <w:br/>
              <w:br/>
              <w:br/>
              <w:br/>
              <w:t>TRẦN HẢI ĐĂNG - TỔNG GIÁM ĐỐC</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