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CÔNG TY CỔ PHẦN GIẢI PHÁP SỐ NOVATECH</w:t>
        <w:br/>
      </w:r>
      <w:r>
        <w:t>Tầng 18, Bitexco Financial Tower, Số 2 Hải Triều, P. Bến Nghé, Quận 1, TP.HCM</w:t>
        <w:br/>
        <w:t>Hotline: 1900 6868 | Website: https://novatech.vn | Email: sales@novatech.vn</w:t>
        <w:br/>
        <w:t>----------------------------------------------------------------------------------------------------</w:t>
      </w:r>
    </w:p>
    <w:p>
      <w:pPr>
        <w:spacing w:before="200"/>
        <w:jc w:val="center"/>
      </w:pPr>
      <w:r>
        <w:rPr>
          <w:rFonts w:ascii="Times New Roman" w:hAnsi="Times New Roman"/>
          <w:b/>
          <w:sz w:val="28"/>
        </w:rPr>
        <w:t>THƯ CHÀO GIÁ VÀ ĐỀ XUẤT GIẢI PHÁP SỐ HÓA DOANH NGHIỆP</w:t>
        <w:br/>
      </w:r>
      <w:r>
        <w:rPr>
          <w:i/>
          <w:sz w:val="20"/>
        </w:rPr>
        <w:t>Số tham chiếu: [Số thư]/2026/BG-NOVATECH | Ngày: [Ngày/Tháng/Năm]</w:t>
      </w:r>
    </w:p>
    <w:p>
      <w:pPr>
        <w:spacing w:before="160"/>
      </w:pPr>
      <w:r>
        <w:rPr>
          <w:b/>
        </w:rPr>
        <w:t>Kính gửi: Ban Giám đốc và Bộ phận Quản trị - [Tên Doanh nghiệp Khách hàng]</w:t>
        <w:br/>
      </w:r>
      <w:r>
        <w:t>Địa chỉ: [Địa chỉ khách hàng] | Người liên hệ: [Tên người phụ trách] - Chức vụ: [Chức vụ]</w:t>
        <w:br/>
        <w:br/>
        <w:t>Lời đầu tiên, Công ty Cổ phần Giải pháp Số NovaTech xin trân trọng gửi tới Quý Doanh nghiệp lời chúc sức khỏe và thành công thịnh vượng.</w:t>
        <w:br/>
        <w:t>Căn cứ vào nhu cầu chuẩn hóa và tự động hóa quy trình quản lý của Quý Doanh nghiệp, NovaTech trân trọng gửi bản đề xuất giải pháp phần mềm tối ưu cùng bảng chiết tính chi phí chi tiết như sau:</w:t>
      </w:r>
    </w:p>
    <w:p>
      <w:pPr>
        <w:pStyle w:val="Heading2"/>
        <w:spacing w:before="160"/>
      </w:pPr>
      <w:r>
        <w:t>1. BẢNG CHIẾT TÍNH CHI PHÍ ĐẦU TƯ BẢN QUYỀN &amp; DỊCH VỤ</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864"/>
            <w:shd w:val="clear" w:color="auto" w:fill="0F2942"/>
          </w:tcPr>
          <w:p>
            <w:pPr>
              <w:jc w:val="center"/>
            </w:pPr>
            <w:r>
              <w:rPr>
                <w:rFonts w:ascii="Times New Roman" w:hAnsi="Times New Roman"/>
                <w:b/>
                <w:color w:val="FFFFFF"/>
                <w:sz w:val="18"/>
              </w:rPr>
              <w:t>STT</w:t>
            </w:r>
          </w:p>
        </w:tc>
        <w:tc>
          <w:tcPr>
            <w:tcW w:type="dxa" w:w="4032"/>
            <w:shd w:val="clear" w:color="auto" w:fill="0F2942"/>
          </w:tcPr>
          <w:p>
            <w:pPr>
              <w:jc w:val="center"/>
            </w:pPr>
            <w:r>
              <w:rPr>
                <w:rFonts w:ascii="Times New Roman" w:hAnsi="Times New Roman"/>
                <w:b/>
                <w:color w:val="FFFFFF"/>
                <w:sz w:val="18"/>
              </w:rPr>
              <w:t>Hạng mục giải pháp &amp; Dịch vụ</w:t>
            </w:r>
          </w:p>
        </w:tc>
        <w:tc>
          <w:tcPr>
            <w:tcW w:type="dxa" w:w="1152"/>
            <w:shd w:val="clear" w:color="auto" w:fill="0F2942"/>
          </w:tcPr>
          <w:p>
            <w:pPr>
              <w:jc w:val="center"/>
            </w:pPr>
            <w:r>
              <w:rPr>
                <w:rFonts w:ascii="Times New Roman" w:hAnsi="Times New Roman"/>
                <w:b/>
                <w:color w:val="FFFFFF"/>
                <w:sz w:val="18"/>
              </w:rPr>
              <w:t>Số lượng</w:t>
            </w:r>
          </w:p>
        </w:tc>
        <w:tc>
          <w:tcPr>
            <w:tcW w:type="dxa" w:w="1872"/>
            <w:shd w:val="clear" w:color="auto" w:fill="0F2942"/>
          </w:tcPr>
          <w:p>
            <w:pPr>
              <w:jc w:val="center"/>
            </w:pPr>
            <w:r>
              <w:rPr>
                <w:rFonts w:ascii="Times New Roman" w:hAnsi="Times New Roman"/>
                <w:b/>
                <w:color w:val="FFFFFF"/>
                <w:sz w:val="18"/>
              </w:rPr>
              <w:t>Đơn giá niêm yết</w:t>
            </w:r>
          </w:p>
        </w:tc>
        <w:tc>
          <w:tcPr>
            <w:tcW w:type="dxa" w:w="2016"/>
            <w:shd w:val="clear" w:color="auto" w:fill="0F2942"/>
          </w:tcPr>
          <w:p>
            <w:pPr>
              <w:jc w:val="center"/>
            </w:pPr>
            <w:r>
              <w:rPr>
                <w:rFonts w:ascii="Times New Roman" w:hAnsi="Times New Roman"/>
                <w:b/>
                <w:color w:val="FFFFFF"/>
                <w:sz w:val="18"/>
              </w:rPr>
              <w:t>Thành tiền (VNĐ)</w:t>
            </w:r>
          </w:p>
        </w:tc>
      </w:tr>
      <w:tr>
        <w:tc>
          <w:tcPr>
            <w:tcW w:type="dxa" w:w="864"/>
          </w:tcPr>
          <w:p>
            <w:r>
              <w:rPr>
                <w:rFonts w:ascii="Times New Roman" w:hAnsi="Times New Roman"/>
                <w:sz w:val="18"/>
              </w:rPr>
              <w:t>1</w:t>
            </w:r>
          </w:p>
        </w:tc>
        <w:tc>
          <w:tcPr>
            <w:tcW w:type="dxa" w:w="4032"/>
          </w:tcPr>
          <w:p>
            <w:r>
              <w:rPr>
                <w:rFonts w:ascii="Times New Roman" w:hAnsi="Times New Roman"/>
                <w:sz w:val="18"/>
              </w:rPr>
              <w:t>[Tên gói dịch vụ: Gói Professional / Enterprise]</w:t>
            </w:r>
          </w:p>
        </w:tc>
        <w:tc>
          <w:tcPr>
            <w:tcW w:type="dxa" w:w="1152"/>
          </w:tcPr>
          <w:p>
            <w:r>
              <w:rPr>
                <w:rFonts w:ascii="Times New Roman" w:hAnsi="Times New Roman"/>
                <w:sz w:val="18"/>
              </w:rPr>
              <w:t>[1 gói]</w:t>
            </w:r>
          </w:p>
        </w:tc>
        <w:tc>
          <w:tcPr>
            <w:tcW w:type="dxa" w:w="1872"/>
          </w:tcPr>
          <w:p>
            <w:r>
              <w:rPr>
                <w:rFonts w:ascii="Times New Roman" w:hAnsi="Times New Roman"/>
                <w:sz w:val="18"/>
              </w:rPr>
              <w:t>[Đơn giá niêm yết]</w:t>
            </w:r>
          </w:p>
        </w:tc>
        <w:tc>
          <w:tcPr>
            <w:tcW w:type="dxa" w:w="2016"/>
          </w:tcPr>
          <w:p>
            <w:pPr>
              <w:jc w:val="right"/>
            </w:pPr>
            <w:r>
              <w:rPr>
                <w:rFonts w:ascii="Times New Roman" w:hAnsi="Times New Roman"/>
                <w:sz w:val="18"/>
              </w:rPr>
              <w:t>[Thành tiền niêm yết]</w:t>
            </w:r>
          </w:p>
        </w:tc>
      </w:tr>
      <w:tr>
        <w:tc>
          <w:tcPr>
            <w:tcW w:type="dxa" w:w="864"/>
          </w:tcPr>
          <w:p>
            <w:r>
              <w:rPr>
                <w:rFonts w:ascii="Times New Roman" w:hAnsi="Times New Roman"/>
                <w:sz w:val="18"/>
              </w:rPr>
              <w:t>2</w:t>
            </w:r>
          </w:p>
        </w:tc>
        <w:tc>
          <w:tcPr>
            <w:tcW w:type="dxa" w:w="4032"/>
          </w:tcPr>
          <w:p>
            <w:r>
              <w:rPr>
                <w:rFonts w:ascii="Times New Roman" w:hAnsi="Times New Roman"/>
                <w:sz w:val="18"/>
              </w:rPr>
              <w:t>Tài khoản người dùng bổ sung (User licenses)</w:t>
            </w:r>
          </w:p>
        </w:tc>
        <w:tc>
          <w:tcPr>
            <w:tcW w:type="dxa" w:w="1152"/>
          </w:tcPr>
          <w:p>
            <w:r>
              <w:rPr>
                <w:rFonts w:ascii="Times New Roman" w:hAnsi="Times New Roman"/>
                <w:sz w:val="18"/>
              </w:rPr>
              <w:t>[Số lượng] users</w:t>
            </w:r>
          </w:p>
        </w:tc>
        <w:tc>
          <w:tcPr>
            <w:tcW w:type="dxa" w:w="1872"/>
          </w:tcPr>
          <w:p>
            <w:r>
              <w:rPr>
                <w:rFonts w:ascii="Times New Roman" w:hAnsi="Times New Roman"/>
                <w:sz w:val="18"/>
              </w:rPr>
              <w:t>1.200.000 / user</w:t>
            </w:r>
          </w:p>
        </w:tc>
        <w:tc>
          <w:tcPr>
            <w:tcW w:type="dxa" w:w="2016"/>
          </w:tcPr>
          <w:p>
            <w:pPr>
              <w:jc w:val="right"/>
            </w:pPr>
            <w:r>
              <w:rPr>
                <w:rFonts w:ascii="Times New Roman" w:hAnsi="Times New Roman"/>
                <w:sz w:val="18"/>
              </w:rPr>
              <w:t>[Tổng tiền user phụ]</w:t>
            </w:r>
          </w:p>
        </w:tc>
      </w:tr>
      <w:tr>
        <w:tc>
          <w:tcPr>
            <w:tcW w:type="dxa" w:w="864"/>
          </w:tcPr>
          <w:p>
            <w:r>
              <w:rPr>
                <w:rFonts w:ascii="Times New Roman" w:hAnsi="Times New Roman"/>
                <w:sz w:val="18"/>
              </w:rPr>
              <w:t>3</w:t>
            </w:r>
          </w:p>
        </w:tc>
        <w:tc>
          <w:tcPr>
            <w:tcW w:type="dxa" w:w="4032"/>
          </w:tcPr>
          <w:p>
            <w:r>
              <w:rPr>
                <w:rFonts w:ascii="Times New Roman" w:hAnsi="Times New Roman"/>
                <w:sz w:val="18"/>
              </w:rPr>
              <w:t>Dịch vụ khởi tạo dữ liệu &amp; Đào tạo trực tiếp tại chỗ</w:t>
            </w:r>
          </w:p>
        </w:tc>
        <w:tc>
          <w:tcPr>
            <w:tcW w:type="dxa" w:w="1152"/>
          </w:tcPr>
          <w:p>
            <w:r>
              <w:rPr>
                <w:rFonts w:ascii="Times New Roman" w:hAnsi="Times New Roman"/>
                <w:sz w:val="18"/>
              </w:rPr>
              <w:t>01 đợt (3 buổi)</w:t>
            </w:r>
          </w:p>
        </w:tc>
        <w:tc>
          <w:tcPr>
            <w:tcW w:type="dxa" w:w="1872"/>
          </w:tcPr>
          <w:p>
            <w:r>
              <w:rPr>
                <w:rFonts w:ascii="Times New Roman" w:hAnsi="Times New Roman"/>
                <w:sz w:val="18"/>
              </w:rPr>
              <w:t>15.000.000</w:t>
            </w:r>
          </w:p>
        </w:tc>
        <w:tc>
          <w:tcPr>
            <w:tcW w:type="dxa" w:w="2016"/>
          </w:tcPr>
          <w:p>
            <w:pPr>
              <w:jc w:val="right"/>
            </w:pPr>
            <w:r>
              <w:rPr>
                <w:rFonts w:ascii="Times New Roman" w:hAnsi="Times New Roman"/>
                <w:sz w:val="18"/>
              </w:rPr>
              <w:t>15.000.000</w:t>
            </w:r>
          </w:p>
        </w:tc>
      </w:tr>
      <w:tr>
        <w:tc>
          <w:tcPr>
            <w:tcW w:type="dxa" w:w="864"/>
            <w:shd w:val="clear" w:color="auto" w:fill="F7FAFC"/>
          </w:tcPr>
          <w:p>
            <w:r>
              <w:rPr>
                <w:rFonts w:ascii="Times New Roman" w:hAnsi="Times New Roman"/>
                <w:b/>
                <w:sz w:val="18"/>
              </w:rPr>
              <w:t>-</w:t>
            </w:r>
          </w:p>
        </w:tc>
        <w:tc>
          <w:tcPr>
            <w:tcW w:type="dxa" w:w="4032"/>
            <w:shd w:val="clear" w:color="auto" w:fill="F7FAFC"/>
          </w:tcPr>
          <w:p>
            <w:r>
              <w:rPr>
                <w:rFonts w:ascii="Times New Roman" w:hAnsi="Times New Roman"/>
                <w:b/>
                <w:sz w:val="18"/>
              </w:rPr>
              <w:t>TỔNG GIÁ TRỊ NIÊM YẾT CHƯA GIẢM TRỪ</w:t>
            </w:r>
          </w:p>
        </w:tc>
        <w:tc>
          <w:tcPr>
            <w:tcW w:type="dxa" w:w="1152"/>
            <w:shd w:val="clear" w:color="auto" w:fill="F7FAFC"/>
          </w:tcPr>
          <w:p>
            <w:r>
              <w:rPr>
                <w:rFonts w:ascii="Times New Roman" w:hAnsi="Times New Roman"/>
                <w:b/>
                <w:sz w:val="18"/>
              </w:rPr>
            </w:r>
          </w:p>
        </w:tc>
        <w:tc>
          <w:tcPr>
            <w:tcW w:type="dxa" w:w="1872"/>
            <w:shd w:val="clear" w:color="auto" w:fill="F7FAFC"/>
          </w:tcPr>
          <w:p>
            <w:r>
              <w:rPr>
                <w:rFonts w:ascii="Times New Roman" w:hAnsi="Times New Roman"/>
                <w:b/>
                <w:sz w:val="18"/>
              </w:rPr>
            </w:r>
          </w:p>
        </w:tc>
        <w:tc>
          <w:tcPr>
            <w:tcW w:type="dxa" w:w="2016"/>
            <w:shd w:val="clear" w:color="auto" w:fill="F7FAFC"/>
          </w:tcPr>
          <w:p>
            <w:pPr>
              <w:jc w:val="right"/>
            </w:pPr>
            <w:r>
              <w:rPr>
                <w:rFonts w:ascii="Times New Roman" w:hAnsi="Times New Roman"/>
                <w:b/>
                <w:sz w:val="18"/>
              </w:rPr>
              <w:t>[Tổng tiền gốc]</w:t>
            </w:r>
          </w:p>
        </w:tc>
      </w:tr>
      <w:tr>
        <w:tc>
          <w:tcPr>
            <w:tcW w:type="dxa" w:w="864"/>
            <w:shd w:val="clear" w:color="auto" w:fill="F7FAFC"/>
          </w:tcPr>
          <w:p>
            <w:r>
              <w:rPr>
                <w:rFonts w:ascii="Times New Roman" w:hAnsi="Times New Roman"/>
                <w:b/>
                <w:sz w:val="18"/>
              </w:rPr>
              <w:t>-</w:t>
            </w:r>
          </w:p>
        </w:tc>
        <w:tc>
          <w:tcPr>
            <w:tcW w:type="dxa" w:w="4032"/>
            <w:shd w:val="clear" w:color="auto" w:fill="F7FAFC"/>
          </w:tcPr>
          <w:p>
            <w:r>
              <w:rPr>
                <w:rFonts w:ascii="Times New Roman" w:hAnsi="Times New Roman"/>
                <w:b/>
                <w:sz w:val="18"/>
              </w:rPr>
              <w:t>Chiết khấu thương mại theo quy mô hợp đồng ([% chiết khấu]%)</w:t>
            </w:r>
          </w:p>
        </w:tc>
        <w:tc>
          <w:tcPr>
            <w:tcW w:type="dxa" w:w="1152"/>
            <w:shd w:val="clear" w:color="auto" w:fill="F7FAFC"/>
          </w:tcPr>
          <w:p>
            <w:r>
              <w:rPr>
                <w:rFonts w:ascii="Times New Roman" w:hAnsi="Times New Roman"/>
                <w:b/>
                <w:sz w:val="18"/>
              </w:rPr>
            </w:r>
          </w:p>
        </w:tc>
        <w:tc>
          <w:tcPr>
            <w:tcW w:type="dxa" w:w="1872"/>
            <w:shd w:val="clear" w:color="auto" w:fill="F7FAFC"/>
          </w:tcPr>
          <w:p>
            <w:r>
              <w:rPr>
                <w:rFonts w:ascii="Times New Roman" w:hAnsi="Times New Roman"/>
                <w:b/>
                <w:sz w:val="18"/>
              </w:rPr>
            </w:r>
          </w:p>
        </w:tc>
        <w:tc>
          <w:tcPr>
            <w:tcW w:type="dxa" w:w="2016"/>
            <w:shd w:val="clear" w:color="auto" w:fill="F7FAFC"/>
          </w:tcPr>
          <w:p>
            <w:pPr>
              <w:jc w:val="right"/>
            </w:pPr>
            <w:r>
              <w:rPr>
                <w:rFonts w:ascii="Times New Roman" w:hAnsi="Times New Roman"/>
                <w:b/>
                <w:sz w:val="18"/>
              </w:rPr>
              <w:t>- [Số tiền chiết khấu]</w:t>
            </w:r>
          </w:p>
        </w:tc>
      </w:tr>
      <w:tr>
        <w:tc>
          <w:tcPr>
            <w:tcW w:type="dxa" w:w="864"/>
            <w:shd w:val="clear" w:color="auto" w:fill="F7FAFC"/>
          </w:tcPr>
          <w:p>
            <w:r>
              <w:rPr>
                <w:rFonts w:ascii="Times New Roman" w:hAnsi="Times New Roman"/>
                <w:b/>
                <w:sz w:val="18"/>
              </w:rPr>
              <w:t>-</w:t>
            </w:r>
          </w:p>
        </w:tc>
        <w:tc>
          <w:tcPr>
            <w:tcW w:type="dxa" w:w="4032"/>
            <w:shd w:val="clear" w:color="auto" w:fill="F7FAFC"/>
          </w:tcPr>
          <w:p>
            <w:r>
              <w:rPr>
                <w:rFonts w:ascii="Times New Roman" w:hAnsi="Times New Roman"/>
                <w:b/>
                <w:sz w:val="18"/>
              </w:rPr>
              <w:t>Ưu đãi thanh toán nhanh ([% thanh toán]%)</w:t>
            </w:r>
          </w:p>
        </w:tc>
        <w:tc>
          <w:tcPr>
            <w:tcW w:type="dxa" w:w="1152"/>
            <w:shd w:val="clear" w:color="auto" w:fill="F7FAFC"/>
          </w:tcPr>
          <w:p>
            <w:r>
              <w:rPr>
                <w:rFonts w:ascii="Times New Roman" w:hAnsi="Times New Roman"/>
                <w:b/>
                <w:sz w:val="18"/>
              </w:rPr>
            </w:r>
          </w:p>
        </w:tc>
        <w:tc>
          <w:tcPr>
            <w:tcW w:type="dxa" w:w="1872"/>
            <w:shd w:val="clear" w:color="auto" w:fill="F7FAFC"/>
          </w:tcPr>
          <w:p>
            <w:r>
              <w:rPr>
                <w:rFonts w:ascii="Times New Roman" w:hAnsi="Times New Roman"/>
                <w:b/>
                <w:sz w:val="18"/>
              </w:rPr>
            </w:r>
          </w:p>
        </w:tc>
        <w:tc>
          <w:tcPr>
            <w:tcW w:type="dxa" w:w="2016"/>
            <w:shd w:val="clear" w:color="auto" w:fill="F7FAFC"/>
          </w:tcPr>
          <w:p>
            <w:pPr>
              <w:jc w:val="right"/>
            </w:pPr>
            <w:r>
              <w:rPr>
                <w:rFonts w:ascii="Times New Roman" w:hAnsi="Times New Roman"/>
                <w:b/>
                <w:sz w:val="18"/>
              </w:rPr>
              <w:t>- [Số tiền giảm thêm]</w:t>
            </w:r>
          </w:p>
        </w:tc>
      </w:tr>
    </w:tbl>
    <w:p>
      <w:pPr>
        <w:spacing w:before="200"/>
      </w:pPr>
      <w:r>
        <w:rPr>
          <w:b/>
        </w:rPr>
        <w:t xml:space="preserve">• TỔNG THANH TOÁN TRƯỚC THUẾ (Sau chiết khấu): </w:t>
      </w:r>
      <w:r>
        <w:rPr>
          <w:b/>
        </w:rPr>
        <w:t>[Số tiền sau chiết khấu] VNĐ</w:t>
        <w:br/>
      </w:r>
      <w:r>
        <w:t>• Thuế Giá trị gia tăng (VAT 10%): [Tiền thuế VAT] VNĐ</w:t>
        <w:br/>
      </w:r>
      <w:r>
        <w:rPr>
          <w:b/>
        </w:rPr>
        <w:t xml:space="preserve">• TỔNG CỘNG TIỀN THANH TOÁN (ĐÃ GỒM VAT): </w:t>
      </w:r>
      <w:r>
        <w:rPr>
          <w:b/>
          <w:color w:val="C53030"/>
        </w:rPr>
        <w:t>[TỔNG TIỀN CUỐI CÙNG] VNĐ</w:t>
        <w:br/>
      </w:r>
      <w:r>
        <w:rPr>
          <w:i/>
        </w:rPr>
        <w:t>• Bằng chữ: [Số tiền viết bằng chữ]</w:t>
        <w:br/>
      </w:r>
    </w:p>
    <w:p>
      <w:pPr>
        <w:pStyle w:val="Heading2"/>
        <w:spacing w:before="160"/>
      </w:pPr>
      <w:r>
        <w:t>2. QUYỀN LỢI &amp; GIÁ TRỊ GIA TĂNG DÀNH CHO KHÁCH HÀNG</w:t>
      </w:r>
    </w:p>
    <w:p>
      <w:r>
        <w:t>• Miễn phí chuyển giao toàn bộ tài liệu hướng dẫn vận hành &amp; Video bài giảng nội bộ.</w:t>
        <w:br/>
        <w:t>• Cam kết đường truyền Uptime 99.9%, tự động sao lưu dữ liệu đám mây hàng ngày.</w:t>
        <w:br/>
        <w:t>• Đội ngũ kỹ sư hỗ trợ kỹ thuật và bảo hành xuyên suốt 12 tháng kể từ ngày kích hoạt.</w:t>
      </w:r>
    </w:p>
    <w:p>
      <w:pPr>
        <w:pStyle w:val="Heading2"/>
        <w:spacing w:before="160"/>
      </w:pPr>
      <w:r>
        <w:t>3. TIẾN ĐỘ VÀ PHƯƠNG THỨC THANH TOÁN</w:t>
      </w:r>
    </w:p>
    <w:p>
      <w:r>
        <w:t>• Đợt 1: Thanh toán [Tỷ lệ % đợt 1] tương đương [Số tiền đợt 1] VNĐ ngay khi ký kết hợp đồng.</w:t>
        <w:br/>
        <w:t>• Đợt 2: Thanh toán [Tỷ lệ % đợt 2] tương đương [Số tiền đợt 2] VNĐ trong vòng 15 ngày làm việc sau khi nghiệm thu.</w:t>
        <w:br/>
        <w:t>• Tài khoản nhận tiền: CÔNG TY CỔ PHẦN GIẢI PHÁP SỐ NOVATECH - STK: 0071001234567 tại Vietcombank TP.HCM.</w:t>
      </w:r>
    </w:p>
    <w:p>
      <w:pPr>
        <w:spacing w:before="300"/>
      </w:pPr>
      <w:r>
        <w:rPr>
          <w:b/>
        </w:rPr>
        <w:t>ĐẠI DIỆN PHÒNG KINH DOANH DOANH NGHIỆP - NOVATECH</w:t>
        <w:br/>
        <w:br/>
        <w:br/>
        <w:br/>
      </w:r>
      <w:r>
        <w:t>[Họ tên chuyên viên tư vấn] | SĐT: [Số điện thoại] | Email: [Email]</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