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CỘNG HÒA XÃ HỘI CHỦ NGHĨA VIỆT NAM</w:t>
        <w:br/>
      </w:r>
      <w:r>
        <w:rPr>
          <w:rFonts w:ascii="Times New Roman" w:hAnsi="Times New Roman"/>
          <w:b/>
          <w:sz w:val="26"/>
        </w:rPr>
        <w:t>Độc lập - Tự do - Hạnh phúc</w:t>
        <w:br/>
      </w:r>
      <w:r>
        <w:rPr>
          <w:rFonts w:ascii="Times New Roman" w:hAnsi="Times New Roman"/>
        </w:rPr>
        <w:t>--------------------</w:t>
      </w:r>
    </w:p>
    <w:p>
      <w:pPr>
        <w:jc w:val="right"/>
      </w:pPr>
      <w:r>
        <w:rPr>
          <w:rFonts w:ascii="Times New Roman" w:hAnsi="Times New Roman"/>
          <w:i/>
          <w:sz w:val="22"/>
        </w:rPr>
        <w:t>TP. Hồ Chí Minh, ngày 10 tháng 01 năm 2026</w:t>
      </w:r>
    </w:p>
    <w:p>
      <w:pPr>
        <w:jc w:val="center"/>
      </w:pPr>
      <w:r>
        <w:rPr>
          <w:rFonts w:ascii="Times New Roman" w:hAnsi="Times New Roman"/>
          <w:b/>
          <w:sz w:val="30"/>
        </w:rPr>
        <w:t>QUY CHẾ CHIẾT KHẤU THƯƠNG MẠI</w:t>
        <w:br/>
        <w:t>VÀ CHÍNH SÁCH THANH TOÁN DOANH NGHIỆP NĂM 2026</w:t>
        <w:br/>
      </w:r>
      <w:r>
        <w:rPr>
          <w:rFonts w:ascii="Times New Roman" w:hAnsi="Times New Roman"/>
          <w:i/>
          <w:sz w:val="22"/>
        </w:rPr>
        <w:t>(Ban hành kèm theo Quyết định số 12/2026/QĐ-NOVATECH ngày 10/01/2026 của Tổng Giám đốc)</w:t>
      </w:r>
    </w:p>
    <w:p>
      <w:pPr>
        <w:pStyle w:val="Heading1"/>
        <w:spacing w:before="240" w:after="120"/>
      </w:pPr>
      <w:r>
        <w:t>CHƯƠNG I: QUY ĐỊNH CHUNG</w:t>
      </w:r>
    </w:p>
    <w:p>
      <w:r>
        <w:rPr>
          <w:b/>
        </w:rPr>
        <w:t>Điều 1. Phạm vi điều chỉnh và đối tượng áp dụng</w:t>
        <w:br/>
      </w:r>
      <w:r>
        <w:t>1. Quy chế này quy định chi tiết về các hạn mức chiết khấu thương mại, chính sách ưu đãi tài chính theo hình thức thanh toán, phân cấp thẩm quyền phê duyệt giá bán và quy trình phát hành hóa đơn áp dụng cho toàn bộ các sản phẩm phần mềm, bản quyền dịch vụ Cloud và giải pháp công nghệ do Công ty Cổ phần Giải pháp Số NovaTech cung cấp trên thị trường.</w:t>
        <w:br/>
        <w:t>2. Quy chế này áp dụng bắt buộc đối với toàn thể cán bộ, nhân viên thuộc Khối Kinh doanh (Sales), Phòng Kế toán - Tài chính, Phòng Chăm sóc Khách hàng và Ban Giám đốc Công ty.</w:t>
      </w:r>
    </w:p>
    <w:p>
      <w:r>
        <w:rPr>
          <w:b/>
        </w:rPr>
        <w:t>Điều 2. Nguyên tắc thương mại cốt lõi</w:t>
        <w:br/>
      </w:r>
      <w:r>
        <w:t>1. Đảm bảo hiệu quả tài chính: Mọi chính sách giảm giá, chiết khấu phải đảm bảo duy trì tỷ suất lợi nhuận gộp tối thiểu 35% trên tổng giá trị gói dịch vụ bán ra.</w:t>
        <w:br/>
        <w:t>2. Minh bạch và nhất quán: Chiết khấu phải căn cứ trên quy mô giá trị hợp đồng thực tế và cam kết thanh toán của khách hàng, tuyệt đối nghiêm cấm việc hứa hẹn miệng vượt quá quy chế.</w:t>
        <w:br/>
        <w:t>3. Tuân thủ pháp luật: Toàn bộ các khoản chiết khấu phải được thể hiện hợp pháp trên hợp đồng kinh tế và hóa đơn giá trị gia tăng (VAT) theo đúng quy định của Tổng cục Thuế.</w:t>
      </w:r>
    </w:p>
    <w:p>
      <w:pPr>
        <w:pStyle w:val="Heading1"/>
        <w:spacing w:before="280" w:after="120"/>
      </w:pPr>
      <w:r>
        <w:t>CHƯƠNG II: CHÍNH SÁCH CHIẾT KHẤU BẬC THANG THEO GIÁ TRỊ HỢP ĐỒNG</w:t>
      </w:r>
    </w:p>
    <w:p>
      <w:r>
        <w:rPr>
          <w:b/>
        </w:rPr>
        <w:t>Điều 3. Biểu tỷ lệ chiết khấu thương mại tiêu chuẩn</w:t>
        <w:br/>
      </w:r>
      <w:r>
        <w:t>Căn cứ vào tổng giá trị hợp đồng niêm yết (chưa bao gồm thuế VAT), khách hàng được áp dụng biểu mức chiết khấu bậc thang lũy tiến như sau:</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color="auto" w:fill="1A365D"/>
          </w:tcPr>
          <w:p>
            <w:pPr>
              <w:jc w:val="center"/>
            </w:pPr>
            <w:r>
              <w:rPr>
                <w:rFonts w:ascii="Times New Roman" w:hAnsi="Times New Roman"/>
                <w:b/>
                <w:color w:val="FFFFFF"/>
                <w:sz w:val="20"/>
              </w:rPr>
              <w:t>Bậc doanh số</w:t>
            </w:r>
          </w:p>
        </w:tc>
        <w:tc>
          <w:tcPr>
            <w:tcW w:type="dxa" w:w="3168"/>
            <w:shd w:val="clear" w:color="auto" w:fill="1A365D"/>
          </w:tcPr>
          <w:p>
            <w:pPr>
              <w:jc w:val="center"/>
            </w:pPr>
            <w:r>
              <w:rPr>
                <w:rFonts w:ascii="Times New Roman" w:hAnsi="Times New Roman"/>
                <w:b/>
                <w:color w:val="FFFFFF"/>
                <w:sz w:val="20"/>
              </w:rPr>
              <w:t>Tổng giá trị hợp đồng (VNĐ)</w:t>
            </w:r>
          </w:p>
        </w:tc>
        <w:tc>
          <w:tcPr>
            <w:tcW w:type="dxa" w:w="2304"/>
            <w:shd w:val="clear" w:color="auto" w:fill="1A365D"/>
          </w:tcPr>
          <w:p>
            <w:pPr>
              <w:jc w:val="center"/>
            </w:pPr>
            <w:r>
              <w:rPr>
                <w:rFonts w:ascii="Times New Roman" w:hAnsi="Times New Roman"/>
                <w:b/>
                <w:color w:val="FFFFFF"/>
                <w:sz w:val="20"/>
              </w:rPr>
              <w:t>Tỷ lệ chiết khấu tối đa</w:t>
            </w:r>
          </w:p>
        </w:tc>
        <w:tc>
          <w:tcPr>
            <w:tcW w:type="dxa" w:w="2592"/>
            <w:shd w:val="clear" w:color="auto" w:fill="1A365D"/>
          </w:tcPr>
          <w:p>
            <w:pPr>
              <w:jc w:val="center"/>
            </w:pPr>
            <w:r>
              <w:rPr>
                <w:rFonts w:ascii="Times New Roman" w:hAnsi="Times New Roman"/>
                <w:b/>
                <w:color w:val="FFFFFF"/>
                <w:sz w:val="20"/>
              </w:rPr>
              <w:t>Thẩm quyền phê duyệt</w:t>
            </w:r>
          </w:p>
        </w:tc>
      </w:tr>
      <w:tr>
        <w:tc>
          <w:tcPr>
            <w:tcW w:type="dxa" w:w="1728"/>
          </w:tcPr>
          <w:p>
            <w:pPr>
              <w:jc w:val="center"/>
            </w:pPr>
            <w:r>
              <w:rPr>
                <w:rFonts w:ascii="Times New Roman" w:hAnsi="Times New Roman"/>
                <w:sz w:val="20"/>
              </w:rPr>
              <w:t>Bậc 1</w:t>
            </w:r>
          </w:p>
        </w:tc>
        <w:tc>
          <w:tcPr>
            <w:tcW w:type="dxa" w:w="3168"/>
          </w:tcPr>
          <w:p>
            <w:r>
              <w:rPr>
                <w:rFonts w:ascii="Times New Roman" w:hAnsi="Times New Roman"/>
                <w:sz w:val="20"/>
              </w:rPr>
              <w:t>Dưới 50.000.000 VNĐ</w:t>
            </w:r>
          </w:p>
        </w:tc>
        <w:tc>
          <w:tcPr>
            <w:tcW w:type="dxa" w:w="2304"/>
          </w:tcPr>
          <w:p>
            <w:pPr>
              <w:jc w:val="center"/>
            </w:pPr>
            <w:r>
              <w:rPr>
                <w:rFonts w:ascii="Times New Roman" w:hAnsi="Times New Roman"/>
                <w:b/>
                <w:sz w:val="20"/>
              </w:rPr>
              <w:t>0% (Đúng giá niêm yết)</w:t>
            </w:r>
          </w:p>
        </w:tc>
        <w:tc>
          <w:tcPr>
            <w:tcW w:type="dxa" w:w="2592"/>
          </w:tcPr>
          <w:p>
            <w:r>
              <w:rPr>
                <w:rFonts w:ascii="Times New Roman" w:hAnsi="Times New Roman"/>
                <w:sz w:val="20"/>
              </w:rPr>
              <w:t>Chuyên viên Kinh doanh</w:t>
            </w:r>
          </w:p>
        </w:tc>
      </w:tr>
      <w:tr>
        <w:tc>
          <w:tcPr>
            <w:tcW w:type="dxa" w:w="1728"/>
            <w:shd w:val="clear" w:color="auto" w:fill="F7FAFC"/>
          </w:tcPr>
          <w:p>
            <w:pPr>
              <w:jc w:val="center"/>
            </w:pPr>
            <w:r>
              <w:rPr>
                <w:rFonts w:ascii="Times New Roman" w:hAnsi="Times New Roman"/>
                <w:sz w:val="20"/>
              </w:rPr>
              <w:t>Bậc 2</w:t>
            </w:r>
          </w:p>
        </w:tc>
        <w:tc>
          <w:tcPr>
            <w:tcW w:type="dxa" w:w="3168"/>
            <w:shd w:val="clear" w:color="auto" w:fill="F7FAFC"/>
          </w:tcPr>
          <w:p>
            <w:r>
              <w:rPr>
                <w:rFonts w:ascii="Times New Roman" w:hAnsi="Times New Roman"/>
                <w:sz w:val="20"/>
              </w:rPr>
              <w:t>Từ 50.000.000 đến dưới 100.000.000 VNĐ</w:t>
            </w:r>
          </w:p>
        </w:tc>
        <w:tc>
          <w:tcPr>
            <w:tcW w:type="dxa" w:w="2304"/>
            <w:shd w:val="clear" w:color="auto" w:fill="F7FAFC"/>
          </w:tcPr>
          <w:p>
            <w:pPr>
              <w:jc w:val="center"/>
            </w:pPr>
            <w:r>
              <w:rPr>
                <w:rFonts w:ascii="Times New Roman" w:hAnsi="Times New Roman"/>
                <w:b/>
                <w:sz w:val="20"/>
              </w:rPr>
              <w:t>Tối đa 5.0%</w:t>
            </w:r>
          </w:p>
        </w:tc>
        <w:tc>
          <w:tcPr>
            <w:tcW w:type="dxa" w:w="2592"/>
            <w:shd w:val="clear" w:color="auto" w:fill="F7FAFC"/>
          </w:tcPr>
          <w:p>
            <w:r>
              <w:rPr>
                <w:rFonts w:ascii="Times New Roman" w:hAnsi="Times New Roman"/>
                <w:sz w:val="20"/>
              </w:rPr>
              <w:t>Chuyên viên Kinh doanh tự quyết</w:t>
            </w:r>
          </w:p>
        </w:tc>
      </w:tr>
      <w:tr>
        <w:tc>
          <w:tcPr>
            <w:tcW w:type="dxa" w:w="1728"/>
          </w:tcPr>
          <w:p>
            <w:pPr>
              <w:jc w:val="center"/>
            </w:pPr>
            <w:r>
              <w:rPr>
                <w:rFonts w:ascii="Times New Roman" w:hAnsi="Times New Roman"/>
                <w:sz w:val="20"/>
              </w:rPr>
              <w:t>Bậc 3</w:t>
            </w:r>
          </w:p>
        </w:tc>
        <w:tc>
          <w:tcPr>
            <w:tcW w:type="dxa" w:w="3168"/>
          </w:tcPr>
          <w:p>
            <w:r>
              <w:rPr>
                <w:rFonts w:ascii="Times New Roman" w:hAnsi="Times New Roman"/>
                <w:sz w:val="20"/>
              </w:rPr>
              <w:t>Từ 100.000.000 đến dưới 200.000.000 VNĐ</w:t>
            </w:r>
          </w:p>
        </w:tc>
        <w:tc>
          <w:tcPr>
            <w:tcW w:type="dxa" w:w="2304"/>
          </w:tcPr>
          <w:p>
            <w:pPr>
              <w:jc w:val="center"/>
            </w:pPr>
            <w:r>
              <w:rPr>
                <w:rFonts w:ascii="Times New Roman" w:hAnsi="Times New Roman"/>
                <w:b/>
                <w:sz w:val="20"/>
              </w:rPr>
              <w:t>Tối đa 8.0%</w:t>
            </w:r>
          </w:p>
        </w:tc>
        <w:tc>
          <w:tcPr>
            <w:tcW w:type="dxa" w:w="2592"/>
          </w:tcPr>
          <w:p>
            <w:r>
              <w:rPr>
                <w:rFonts w:ascii="Times New Roman" w:hAnsi="Times New Roman"/>
                <w:sz w:val="20"/>
              </w:rPr>
              <w:t>Trưởng phòng Kinh doanh duyệt</w:t>
            </w:r>
          </w:p>
        </w:tc>
      </w:tr>
      <w:tr>
        <w:tc>
          <w:tcPr>
            <w:tcW w:type="dxa" w:w="1728"/>
            <w:shd w:val="clear" w:color="auto" w:fill="F7FAFC"/>
          </w:tcPr>
          <w:p>
            <w:pPr>
              <w:jc w:val="center"/>
            </w:pPr>
            <w:r>
              <w:rPr>
                <w:rFonts w:ascii="Times New Roman" w:hAnsi="Times New Roman"/>
                <w:sz w:val="20"/>
              </w:rPr>
              <w:t>Bậc 4</w:t>
            </w:r>
          </w:p>
        </w:tc>
        <w:tc>
          <w:tcPr>
            <w:tcW w:type="dxa" w:w="3168"/>
            <w:shd w:val="clear" w:color="auto" w:fill="F7FAFC"/>
          </w:tcPr>
          <w:p>
            <w:r>
              <w:rPr>
                <w:rFonts w:ascii="Times New Roman" w:hAnsi="Times New Roman"/>
                <w:sz w:val="20"/>
              </w:rPr>
              <w:t>Từ 200.000.000 VNĐ trở lên</w:t>
            </w:r>
          </w:p>
        </w:tc>
        <w:tc>
          <w:tcPr>
            <w:tcW w:type="dxa" w:w="2304"/>
            <w:shd w:val="clear" w:color="auto" w:fill="F7FAFC"/>
          </w:tcPr>
          <w:p>
            <w:pPr>
              <w:jc w:val="center"/>
            </w:pPr>
            <w:r>
              <w:rPr>
                <w:rFonts w:ascii="Times New Roman" w:hAnsi="Times New Roman"/>
                <w:b/>
                <w:sz w:val="20"/>
              </w:rPr>
              <w:t>Tối đa 12.0%</w:t>
            </w:r>
          </w:p>
        </w:tc>
        <w:tc>
          <w:tcPr>
            <w:tcW w:type="dxa" w:w="2592"/>
            <w:shd w:val="clear" w:color="auto" w:fill="F7FAFC"/>
          </w:tcPr>
          <w:p>
            <w:r>
              <w:rPr>
                <w:rFonts w:ascii="Times New Roman" w:hAnsi="Times New Roman"/>
                <w:sz w:val="20"/>
              </w:rPr>
              <w:t>Tổng Giám đốc (CEO) phê duyệt</w:t>
            </w:r>
          </w:p>
        </w:tc>
      </w:tr>
    </w:tbl>
    <w:p>
      <w:pPr>
        <w:spacing w:before="160"/>
      </w:pPr>
      <w:r>
        <w:rPr>
          <w:b/>
        </w:rPr>
        <w:t>Điều 4. Chính sách ưu đãi đối với Khách hàng thân thiết và Tái ký hợp đồng</w:t>
        <w:br/>
      </w:r>
      <w:r>
        <w:t>1. Khách hàng gia hạn hợp đồng năm thứ 2 trở đi: Được áp dụng thêm mức giảm 3.0% tính trên giá sau chiết khấu bậc thang.</w:t>
        <w:br/>
        <w:t>2. Khách hàng giới thiệu đối tác mới ký kết hợp đồng thành công trên 50 triệu đồng: Được tặng 01 voucher trị giá 5.000.000 VNĐ khấu trừ trực tiếp vào kỳ thanh toán tiếp theo.</w:t>
      </w:r>
    </w:p>
    <w:p>
      <w:pPr>
        <w:pStyle w:val="Heading1"/>
        <w:spacing w:before="280" w:after="120"/>
      </w:pPr>
      <w:r>
        <w:t>CHƯƠNG III: CHÍNH SÁCH ƯU ĐÃI THEO HÌNH THỨC VÀ TIẾN ĐỘ THANH TOÁN</w:t>
      </w:r>
    </w:p>
    <w:p>
      <w:r>
        <w:rPr>
          <w:b/>
        </w:rPr>
        <w:t>Điều 5. Phương thức thanh toán trả trước 100% (Thanh toán 1 lần)</w:t>
        <w:br/>
      </w:r>
      <w:r>
        <w:t>1. Khách hàng thực hiện thanh toán toàn bộ 100% giá trị hợp đồng trong vòng 03 ngày làm việc kể từ ngày ký hợp đồng sẽ được nhận thêm mức chiết khấu thanh toán sớm là **5.0%** trên tổng số tiền còn lại sau chiết khấu bậc thang.</w:t>
        <w:br/>
        <w:t>2. Mức chiết khấu thanh toán sớm này được trừ trực tiếp trên hóa đơn VAT phát hành.</w:t>
      </w:r>
    </w:p>
    <w:p>
      <w:r>
        <w:rPr>
          <w:b/>
        </w:rPr>
        <w:t>Điều 6. Phương thức thanh toán chia làm 02 đợt (Tiêu chuẩn)</w:t>
        <w:br/>
      </w:r>
      <w:r>
        <w:t>1. Tiến độ chia tiền:</w:t>
        <w:br/>
        <w:t xml:space="preserve">   - Đợt 1: Thanh toán 50% tổng giá trị hợp đồng ngay sau khi ký hợp đồng và khởi tạo môi trường thử nghiệm.</w:t>
        <w:br/>
        <w:t xml:space="preserve">   - Đợt 2: Thanh toán 50% còn lại trong vòng 15 ngày làm việc kể từ ngày ký Biên bản nghiệm thu bàn giao hệ thống và xuất hóa đơn VAT.</w:t>
        <w:br/>
        <w:t>2. Phương thức này áp dụng đơn giá sau chiết khấu bậc thang tiêu chuẩn, không phát sinh phụ phí và không được giảm thêm chiết khấu sớm.</w:t>
      </w:r>
    </w:p>
    <w:p>
      <w:r>
        <w:rPr>
          <w:b/>
        </w:rPr>
        <w:t>Điều 7. Phương thức thanh toán trả chậm hoặc chia từ 03 đợt trở lên</w:t>
        <w:br/>
      </w:r>
      <w:r>
        <w:t>1. Trường hợp khách hàng yêu cầu chia thanh toán làm 3 đợt (ví dụ: 40% - 30% - 30%) hoặc yêu cầu công nợ trả chậm sau 30 ngày kể từ ngày nghiệm thu: Bắt buộc phải áp dụng **phụ phí bù đắp chi phí vốn và bảo toàn dòng tiền là 4.0%** tính trên tổng giá trị hợp đồng.</w:t>
        <w:br/>
        <w:t>2. Mọi trường hợp cho công nợ vượt quá 30 ngày phải được Tổng Giám đốc phê duyệt bằng văn bản và bên mua phải có văn bản bảo lãnh thanh toán của ngân hàng thương mại.</w:t>
      </w:r>
    </w:p>
    <w:p>
      <w:pPr>
        <w:pStyle w:val="Heading1"/>
        <w:spacing w:before="280" w:after="120"/>
      </w:pPr>
      <w:r>
        <w:t>CHƯƠNG IV: PHÂN CẤP THẨM QUYỀN PHÊ DUYỆT VÀ CHẾ TÀI XỬ LÝ</w:t>
      </w:r>
    </w:p>
    <w:p>
      <w:r>
        <w:rPr>
          <w:b/>
        </w:rPr>
        <w:t>Điều 8. Phân định thẩm quyền phê duyệt thương mại</w:t>
        <w:br/>
      </w:r>
      <w:r>
        <w:t>1. Chuyên viên Kinh doanh (Sales Executive): Được toàn quyền quyết định mức chiết khấu trong phạm vi từ 0% đến tối đa 5.0% cho các hợp đồng thuộc thẩm quyền quy định tại Điều 3.</w:t>
        <w:br/>
        <w:t>2. Trưởng phòng Kinh doanh (Sales Manager): Xem xét và phê duyệt các mức chiết khấu từ trên 5.0% đến tối đa 8.0%, hoặc điều chỉnh tỷ lệ thanh toán đợt 1 xuống tối thiểu 40%.</w:t>
        <w:br/>
        <w:t>3. Tổng Giám đốc Điều hành (CEO): Thẩm quyền duy nhất phê duyệt các trường hợp đặc biệt sau:</w:t>
        <w:br/>
        <w:t xml:space="preserve">   - Chiết khấu thương mại vượt quá 8.0% (đến tối đa 12.0%);</w:t>
        <w:br/>
        <w:t xml:space="preserve">   - Các hợp đồng có yêu cầu công nợ trả chậm trên 30 ngày;</w:t>
        <w:br/>
        <w:t xml:space="preserve">   - Các hợp đồng yêu cầu tài trợ thiết bị hoặc tùy biến tính năng đặc thù ngoài danh mục chuẩn.</w:t>
      </w:r>
    </w:p>
    <w:p>
      <w:r>
        <w:rPr>
          <w:b/>
        </w:rPr>
        <w:t>Điều 9. Chế tài kỷ luật đối với vi phạm thẩm quyền bán hàng</w:t>
        <w:br/>
      </w:r>
      <w:r>
        <w:t>1. Nghiêm cấm nhân viên kinh doanh tự ý thỏa thuận bằng văn bản hoặc tin nhắn với khách hàng về mức giảm giá, chiết khấu vượt quá thẩm quyền khi chưa có xác nhận phê duyệt bằng email chính thức của Trưởng phòng hoặc Tổng Giám đốc.</w:t>
        <w:br/>
        <w:t>2. Hợp đồng có điều khoản vi phạm quy chế này sẽ bị Phòng Kế toán từ chối tiếp nhận, không cấp tài khoản hệ thống và không ghi nhận doanh số hoa hồng cho nhân sự vi phạm.</w:t>
      </w:r>
    </w:p>
    <w:p>
      <w:pPr>
        <w:pStyle w:val="Heading1"/>
        <w:spacing w:before="280" w:after="120"/>
      </w:pPr>
      <w:r>
        <w:t>CHƯƠNG V: QUY ĐỊNH HÓA ĐƠN GTGT VÀ TÀI KHOẢN THỤ HƯỞNG</w:t>
      </w:r>
    </w:p>
    <w:p>
      <w:r>
        <w:rPr>
          <w:b/>
        </w:rPr>
        <w:t>Điều 10. Nguyên tắc xuất hóa đơn điện tử</w:t>
        <w:br/>
      </w:r>
      <w:r>
        <w:t>1. Mọi khoản thanh toán dịch vụ phần mềm và giải pháp số bắt buộc phải được xuất Hóa đơn điện tử có mã của Cơ quan Thuế theo đúng quy định tại Nghị định 123/2020/NĐ-CP và Thông tư 78/2021/TT-BTC.</w:t>
        <w:br/>
        <w:t>2. Thuế suất thuế giá trị gia tăng (VAT) áp dụng là 10% (hoặc theo chính sách giảm thuế hiện hành của Chính phủ tại thời điểm phát hành).</w:t>
        <w:br/>
        <w:t>3. Phòng Kế toán phát hành hóa đơn điện tử trong vòng 02 ngày làm việc kể từ thời điểm tiền nổi trên tài khoản ngân hàng của Công ty.</w:t>
      </w:r>
    </w:p>
    <w:p>
      <w:r>
        <w:rPr>
          <w:b/>
        </w:rPr>
        <w:t>Điều 11. Thông tin tài khoản nhận thanh toán hợp pháp</w:t>
        <w:br/>
      </w:r>
      <w:r>
        <w:t>Mọi giao dịch thanh toán chuyển khoản từ khách hàng bắt buộc phải chuyển vào tài khoản duy nhất của Công ty như sau:</w:t>
        <w:br/>
        <w:t>• Tên chủ tài khoản: CÔNG TY CỔ PHẦN GIẢI PHÁP SỐ NOVATECH</w:t>
        <w:br/>
        <w:t>• Số tài khoản: 0071001234567</w:t>
        <w:br/>
        <w:t>• Mở tại: Ngân hàng TMCP Ngoại thương Việt Nam (Vietcombank) - Chi nhánh TP. Hồ Chí Minh.</w:t>
        <w:br/>
        <w:t>Công ty hoàn toàn không chịu trách nhiệm đối với bất kỳ khoản tiền nào chuyển vào tài khoản cá nhân của nhân viên.</w:t>
      </w:r>
    </w:p>
    <w:p>
      <w:pPr>
        <w:spacing w:before="500"/>
      </w:pPr>
    </w:p>
    <w:tbl>
      <w:tblPr>
        <w:tblW w:type="auto" w:w="0"/>
        <w:jc w:val="center"/>
        <w:tblLook w:firstColumn="1" w:firstRow="1" w:lastColumn="0" w:lastRow="0" w:noHBand="0" w:noVBand="1" w:val="04A0"/>
      </w:tblPr>
      <w:tblGrid>
        <w:gridCol w:w="4824"/>
        <w:gridCol w:w="4824"/>
      </w:tblGrid>
      <w:tr>
        <w:tc>
          <w:tcPr>
            <w:tcW w:type="dxa" w:w="4608"/>
          </w:tcPr>
          <w:p>
            <w:pPr>
              <w:jc w:val="center"/>
            </w:pPr>
            <w:r>
              <w:rPr>
                <w:i/>
              </w:rPr>
              <w:t>NƠI NHẬN:</w:t>
              <w:br/>
              <w:t>- Ban Giám đốc (để chỉ đạo);</w:t>
              <w:br/>
              <w:t>- Phòng Kinh doanh (để thực hiện);</w:t>
              <w:br/>
              <w:t>- Phòng Kế toán (để phối hợp);</w:t>
              <w:br/>
              <w:t>- Lưu: VT, HS.</w:t>
            </w:r>
          </w:p>
        </w:tc>
        <w:tc>
          <w:tcPr>
            <w:tcW w:type="dxa" w:w="4608"/>
          </w:tcPr>
          <w:p>
            <w:pPr>
              <w:jc w:val="center"/>
            </w:pPr>
            <w:r>
              <w:rPr>
                <w:b/>
              </w:rPr>
              <w:t>TM. BAN GIÁM ĐỐC</w:t>
              <w:br/>
              <w:t>TỔNG GIÁM ĐỐC ĐIỀU HÀNH</w:t>
              <w:br/>
              <w:br/>
              <w:br/>
              <w:br/>
              <w:br/>
            </w:r>
            <w:r>
              <w:rPr>
                <w:b/>
              </w:rPr>
              <w:t>TRẦN HẢI ĐĂNG</w:t>
            </w:r>
          </w:p>
        </w:tc>
      </w:tr>
    </w:tbl>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