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CỘNG HÒA XÃ HỘI CHỦ NGHĨA VIỆT NAM</w:t>
        <w:br/>
        <w:t>Độc lập - Tự do - Hạnh phúc</w:t>
        <w:br/>
        <w:t>---o0o---</w:t>
      </w:r>
    </w:p>
    <w:p>
      <w:pPr>
        <w:jc w:val="center"/>
      </w:pPr>
      <w:r>
        <w:rPr>
          <w:b/>
          <w:color w:val="1E3A8A"/>
          <w:sz w:val="28"/>
        </w:rPr>
        <w:br/>
        <w:t>HỢP ĐỒNG DỊCH VỤ PHẦN MỀM CLOUD</w:t>
        <w:br/>
        <w:t>Số: 2026/HĐ-NT-DMND</w:t>
      </w:r>
    </w:p>
    <w:p>
      <w:r>
        <w:t>Hôm nay, ngày 01 tháng 02 năm 2026, tại văn phòng Công ty NovaTech, hai bên gồm:</w:t>
      </w:r>
    </w:p>
    <w:p>
      <w:r>
        <w:t>BÊN A (BÊN CUNG CẤP): CÔNG TY CỔ PHẦN CÔNG NGHỆ NOVATECH</w:t>
        <w:br/>
        <w:t>- Đại diện: Ông Nguyễn Văn Hùng - Chức vụ: Giám đốc Kinh doanh</w:t>
        <w:br/>
        <w:t>- Mã số thuế: 0109887766</w:t>
        <w:br/>
        <w:t>- Địa chỉ: Tầng 12, Tòa nhà TechPark, Cầu Giấy, Hà Nội.</w:t>
      </w:r>
    </w:p>
    <w:p>
      <w:r>
        <w:t>BÊN B (BÊN SỬ DỤNG): CÔNG TY CỔ PHẦN DỆT MAY NAM ĐỊNH</w:t>
        <w:br/>
        <w:t>- Đại diện: Bà Nguyễn Thị Hương - Chức vụ: Phó Tổng Giám đốc</w:t>
        <w:br/>
        <w:t>- Mã số thuế: 0600123456</w:t>
        <w:br/>
        <w:t>- Địa chỉ: Số 45 Trần Hưng Đạo, TP. Nam Định.</w:t>
      </w:r>
    </w:p>
    <w:p>
      <w:pPr>
        <w:pStyle w:val="Heading2"/>
      </w:pPr>
      <w:r>
        <w:t>Điều 1: Phạm vi cung cấp dịch vụ</w:t>
      </w:r>
    </w:p>
    <w:p>
      <w:r>
        <w:t>- Tên giải pháp: Hệ thống quản trị doanh nghiệp đám mây NovaPro Cloud (Phân hệ Quản trị Bán hàng, CRM và Kho vận).</w:t>
        <w:br/>
        <w:t>- Số lượng tài khoản người dùng (user): 35 tài khoản hoạt động đồng thời.</w:t>
        <w:br/>
        <w:t>- Thời hạn bản quyền: 12 tháng kể từ ngày kích hoạt bàn giao.</w:t>
      </w:r>
    </w:p>
    <w:p>
      <w:pPr>
        <w:pStyle w:val="Heading2"/>
      </w:pPr>
      <w:r>
        <w:t>Điều 2: Giá trị hợp đồng và phương thức thanh toán</w:t>
      </w:r>
    </w:p>
    <w:p>
      <w:r>
        <w:t>- Tổng giá trị hợp đồng: 45.000.000 VNĐ (Bằng chữ: Bốn mươi lăm triệu đồng chẵn, đã bao gồm thuế GTGT).</w:t>
        <w:br/>
        <w:t>- Phương thức thanh toán: Chuyển khoản ngân hàng 100% trong vòng 15 ngày kể từ ngày ký biên bản nghiệm thu bàn giao hệ thống.</w:t>
      </w:r>
    </w:p>
    <w:p>
      <w:pPr>
        <w:pStyle w:val="Heading2"/>
      </w:pPr>
      <w:r>
        <w:t>Điều 3: Cam kết nghiệm thu và hỗ trợ kỹ thuật</w:t>
      </w:r>
    </w:p>
    <w:p>
      <w:r>
        <w:t>- Bên A chịu trách nhiệm cài đặt, cấu hình hệ thống và tổ chức 03 buổi đào tạo trực tuyến cho nhân sự Bên B.</w:t>
        <w:br/>
        <w:t>- Sau khi hoàn thành đào tạo và kiểm thử không phát sinh lỗi, hai bên sẽ ký Biên bản nghiệm thu bàn giao đưa hệ thống vào vận hành chính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