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701"/>
        <w:gridCol w:w="4701"/>
      </w:tblGrid>
      <w:tr>
        <w:tc>
          <w:tcPr>
            <w:tcW w:type="dxa" w:w="3888"/>
          </w:tcPr>
          <w:p>
            <w:pPr>
              <w:jc w:val="center"/>
            </w:pPr>
            <w:r>
              <w:rPr>
                <w:rFonts w:ascii="Times New Roman" w:hAnsi="Times New Roman"/>
                <w:b/>
                <w:sz w:val="24"/>
              </w:rPr>
              <w:t>CÔNG TY CỔ PHẦN</w:t>
              <w:br/>
              <w:t>TẬP ĐOÀN ĐẠI VIỆT</w:t>
            </w:r>
          </w:p>
          <w:p>
            <w:pPr>
              <w:jc w:val="center"/>
            </w:pPr>
            <w:r>
              <w:rPr>
                <w:rFonts w:ascii="Times New Roman" w:hAnsi="Times New Roman"/>
                <w:b/>
                <w:sz w:val="22"/>
              </w:rPr>
              <w:t>BAN QUẢN LÝ DỰ ÁN &amp; CNTT</w:t>
            </w:r>
          </w:p>
        </w:tc>
        <w:tc>
          <w:tcPr>
            <w:tcW w:type="dxa" w:w="5040"/>
          </w:tcPr>
          <w:p>
            <w:pPr>
              <w:jc w:val="center"/>
            </w:pPr>
            <w:r>
              <w:rPr>
                <w:rFonts w:ascii="Times New Roman" w:hAnsi="Times New Roman"/>
                <w:b/>
                <w:sz w:val="24"/>
              </w:rPr>
              <w:t>CỘNG HÒA XÃ HỘI CHỦ NGHĨA VIỆT NAM</w:t>
            </w:r>
          </w:p>
          <w:p>
            <w:pPr>
              <w:jc w:val="center"/>
            </w:pPr>
            <w:r>
              <w:rPr>
                <w:rFonts w:ascii="Times New Roman" w:hAnsi="Times New Roman"/>
                <w:b/>
                <w:sz w:val="24"/>
                <w:u w:val="single"/>
              </w:rPr>
              <w:t>Độc lập - Tự do - Hạnh phúc</w:t>
            </w:r>
          </w:p>
        </w:tc>
      </w:tr>
      <w:tr>
        <w:tc>
          <w:tcPr>
            <w:tcW w:type="dxa" w:w="4701"/>
          </w:tcPr>
          <w:p>
            <w:pPr>
              <w:jc w:val="center"/>
            </w:pPr>
            <w:r>
              <w:rPr>
                <w:rFonts w:ascii="Times New Roman" w:hAnsi="Times New Roman"/>
                <w:sz w:val="22"/>
              </w:rPr>
              <w:t>Số: 26/BC-TĐ-DA</w:t>
            </w:r>
          </w:p>
        </w:tc>
        <w:tc>
          <w:tcPr>
            <w:tcW w:type="dxa" w:w="4701"/>
          </w:tcPr>
          <w:p>
            <w:pPr>
              <w:jc w:val="right"/>
            </w:pPr>
            <w:r>
              <w:rPr>
                <w:rFonts w:ascii="Times New Roman" w:hAnsi="Times New Roman"/>
                <w:i/>
                <w:sz w:val="22"/>
              </w:rPr>
              <w:t>Hà Nội, ngày 28 tháng 09 năm 2026</w:t>
            </w:r>
          </w:p>
        </w:tc>
      </w:tr>
    </w:tbl>
    <w:p>
      <w:pPr>
        <w:spacing w:before="120" w:after="120"/>
      </w:pPr>
    </w:p>
    <w:p>
      <w:pPr>
        <w:spacing w:before="200" w:after="80"/>
        <w:jc w:val="center"/>
      </w:pPr>
      <w:r>
        <w:rPr>
          <w:rFonts w:ascii="Times New Roman" w:hAnsi="Times New Roman"/>
          <w:b/>
          <w:color w:val="1F4E79"/>
          <w:sz w:val="30"/>
        </w:rPr>
        <w:t>BÁO CÁO THẨM ĐỊNH HIỆU QUẢ DỰ ÁN ĐẦU TƯ</w:t>
      </w:r>
    </w:p>
    <w:p>
      <w:pPr>
        <w:spacing w:before="0" w:after="280"/>
        <w:jc w:val="center"/>
      </w:pPr>
      <w:r>
        <w:rPr>
          <w:rFonts w:ascii="Times New Roman" w:hAnsi="Times New Roman"/>
          <w:b/>
          <w:color w:val="333333"/>
          <w:sz w:val="26"/>
        </w:rPr>
        <w:t>Kế hoạch triển khai Hệ thống AI Workspace và Tự động hóa vận hành doanh nghiệp</w:t>
        <w:br/>
        <w:t>Giai đoạn 2026 – 2027</w:t>
      </w:r>
    </w:p>
    <w:p>
      <w:pPr>
        <w:spacing w:after="240"/>
        <w:jc w:val="center"/>
      </w:pPr>
      <w:r>
        <w:rPr>
          <w:rFonts w:ascii="Times New Roman" w:hAnsi="Times New Roman"/>
          <w:b/>
          <w:i/>
          <w:sz w:val="24"/>
        </w:rPr>
        <w:t>Kính gửi: Hội đồng Quản trị và Ban Tổng Giám đốc Tập đoàn Đại Việt.</w:t>
      </w:r>
    </w:p>
    <w:p>
      <w:pPr>
        <w:keepNext/>
        <w:spacing w:before="280" w:after="80"/>
      </w:pPr>
      <w:r>
        <w:rPr>
          <w:rFonts w:ascii="Times New Roman" w:hAnsi="Times New Roman"/>
          <w:b/>
          <w:color w:val="1F4E79"/>
          <w:sz w:val="27"/>
        </w:rPr>
        <w:t>I. BỐI CẢNH VÀ SỰ CẦN THIẾT ĐẦU TƯ</w:t>
      </w:r>
    </w:p>
    <w:p>
      <w:pPr>
        <w:spacing w:line="300" w:lineRule="auto" w:after="80"/>
        <w:ind w:firstLine="576"/>
        <w:jc w:val="both"/>
      </w:pPr>
      <w:r>
        <w:rPr>
          <w:rFonts w:ascii="Times New Roman" w:hAnsi="Times New Roman"/>
          <w:i w:val="0"/>
          <w:sz w:val="26"/>
        </w:rPr>
        <w:t>Thực hiện Nghị quyết số 14/NQ-HĐQT ngày 15 tháng 08 năm 2026 của Hội đồng Quản trị về việc phê duyệt định hướng Chuyển đổi số toàn diện và Tối ưu hóa chi phí vận hành giai đoạn 2026 – 2028, Ban Quản lý Dự án &amp; CNTT phối hợp với Khối Tài chính - Kế toán tiến hành thẩm định chuyên sâu hồ sơ Dự án triển khai Hệ thống AI Workspace doanh nghiệp.</w:t>
      </w:r>
    </w:p>
    <w:p>
      <w:pPr>
        <w:spacing w:line="300" w:lineRule="auto" w:after="80"/>
        <w:ind w:firstLine="576"/>
        <w:jc w:val="both"/>
      </w:pPr>
      <w:r>
        <w:rPr>
          <w:rFonts w:ascii="Times New Roman" w:hAnsi="Times New Roman"/>
          <w:i w:val="0"/>
          <w:sz w:val="26"/>
        </w:rPr>
        <w:t>Trong giai đoạn 2024 – 2026, quy mô doanh thu và nhân sự của Tập đoàn Đại Việt tăng trưởng bình quân 22%/năm. Tuy nhiên, khối lượng công việc hành chính giấy tờ, đối chiếu số liệu và xử lý yêu cầu khách hàng cũng tăng vọt 35%, dẫn đến tình trạng quá tải cục bộ tại Khối Vận hành và Chăm sóc khách hàng. Chi phí nhân sự gián tiếp trong năm 2025 chiếm tới 18,4% tổng chi phí vận hành, gây áp lực trực tiếp lên biên lợi nhuận ròng của Tập đoàn.</w:t>
      </w:r>
    </w:p>
    <w:p>
      <w:pPr>
        <w:spacing w:line="300" w:lineRule="auto" w:after="80"/>
        <w:ind w:firstLine="576"/>
        <w:jc w:val="both"/>
      </w:pPr>
      <w:r>
        <w:rPr>
          <w:rFonts w:ascii="Times New Roman" w:hAnsi="Times New Roman"/>
          <w:i w:val="0"/>
          <w:sz w:val="26"/>
        </w:rPr>
        <w:t>Việc ứng dụng công nghệ Agentic AI (Hệ thống các tác tử AI tự vận hành) kết hợp nền tảng AI Workspace được đánh giá là giải pháp chiến lược then chốt, giúp Tập đoàn chuẩn hóa quy trình, tự động hóa các tác vụ lặp lại và tạo lập lợi thế cạnh tranh dài hạn trên thị trường.</w:t>
      </w:r>
    </w:p>
    <w:p>
      <w:pPr>
        <w:keepNext/>
        <w:spacing w:before="280" w:after="80"/>
      </w:pPr>
      <w:r>
        <w:rPr>
          <w:rFonts w:ascii="Times New Roman" w:hAnsi="Times New Roman"/>
          <w:b/>
          <w:color w:val="1F4E79"/>
          <w:sz w:val="27"/>
        </w:rPr>
        <w:t>II. MỤC TIÊU VÀ PHẠM VI DỰ ÁN</w:t>
      </w:r>
    </w:p>
    <w:p>
      <w:pPr>
        <w:keepNext/>
        <w:spacing w:before="160" w:after="40"/>
      </w:pPr>
      <w:r>
        <w:rPr>
          <w:rFonts w:ascii="Times New Roman" w:hAnsi="Times New Roman"/>
          <w:b/>
          <w:sz w:val="26"/>
        </w:rPr>
        <w:t>1. Mục tiêu tổng quát</w:t>
      </w:r>
    </w:p>
    <w:p>
      <w:pPr>
        <w:pStyle w:val="ListBullet"/>
        <w:spacing w:line="288" w:lineRule="auto" w:after="60"/>
        <w:jc w:val="both"/>
      </w:pPr>
      <w:r>
        <w:rPr>
          <w:rFonts w:ascii="Times New Roman" w:hAnsi="Times New Roman"/>
          <w:b/>
          <w:sz w:val="26"/>
        </w:rPr>
        <w:t xml:space="preserve">Tự động hóa tác vụ: </w:t>
      </w:r>
      <w:r>
        <w:rPr>
          <w:rFonts w:ascii="Times New Roman" w:hAnsi="Times New Roman"/>
          <w:sz w:val="26"/>
        </w:rPr>
        <w:t xml:space="preserve"> Xử lý tự động tối thiểu 65% các công việc hành chính văn phòng, soạn thảo báo cáo, tóm tắt hồ sơ hợp đồng và tổng hợp dữ liệu kế toán.</w:t>
      </w:r>
    </w:p>
    <w:p>
      <w:pPr>
        <w:pStyle w:val="ListBullet"/>
        <w:spacing w:line="288" w:lineRule="auto" w:after="60"/>
        <w:jc w:val="both"/>
      </w:pPr>
      <w:r>
        <w:rPr>
          <w:rFonts w:ascii="Times New Roman" w:hAnsi="Times New Roman"/>
          <w:b/>
          <w:sz w:val="26"/>
        </w:rPr>
        <w:t xml:space="preserve">Tối ưu hóa chi phí: </w:t>
      </w:r>
      <w:r>
        <w:rPr>
          <w:rFonts w:ascii="Times New Roman" w:hAnsi="Times New Roman"/>
          <w:sz w:val="26"/>
        </w:rPr>
        <w:t xml:space="preserve"> Cắt giảm 35% chi phí vận hành gián tiếp hàng năm, tương đương giá trị tiết kiệm ước tính khoảng 4.650.000.000 đồng/năm từ năm tài chính 2027.</w:t>
      </w:r>
    </w:p>
    <w:p>
      <w:pPr>
        <w:pStyle w:val="ListBullet"/>
        <w:spacing w:line="288" w:lineRule="auto" w:after="60"/>
        <w:jc w:val="both"/>
      </w:pPr>
      <w:r>
        <w:rPr>
          <w:rFonts w:ascii="Times New Roman" w:hAnsi="Times New Roman"/>
          <w:b/>
          <w:sz w:val="26"/>
        </w:rPr>
        <w:t xml:space="preserve">Nâng cao chất lượng dịch vụ: </w:t>
      </w:r>
      <w:r>
        <w:rPr>
          <w:rFonts w:ascii="Times New Roman" w:hAnsi="Times New Roman"/>
          <w:sz w:val="26"/>
        </w:rPr>
        <w:t xml:space="preserve"> Tăng tốc độ phản hồi yêu cầu báo giá và tư vấn bán hàng của khách hàng từ 4 giờ xuống dưới 15 giây, nâng tỷ lệ chốt đơn thành công thêm 15%.</w:t>
      </w:r>
    </w:p>
    <w:p>
      <w:pPr>
        <w:pStyle w:val="ListBullet"/>
        <w:spacing w:line="288" w:lineRule="auto" w:after="60"/>
        <w:jc w:val="both"/>
      </w:pPr>
      <w:r>
        <w:rPr>
          <w:rFonts w:ascii="Times New Roman" w:hAnsi="Times New Roman"/>
          <w:b/>
          <w:sz w:val="26"/>
        </w:rPr>
        <w:t xml:space="preserve">Chuẩn hóa nhân sự: </w:t>
      </w:r>
      <w:r>
        <w:rPr>
          <w:rFonts w:ascii="Times New Roman" w:hAnsi="Times New Roman"/>
          <w:sz w:val="26"/>
        </w:rPr>
        <w:t xml:space="preserve"> Trang bị năng lực sử dụng AI thực chiến cho 100% cán bộ nhân viên thuộc phạm vi dự án.</w:t>
      </w:r>
    </w:p>
    <w:p>
      <w:pPr>
        <w:keepNext/>
        <w:spacing w:before="160" w:after="40"/>
      </w:pPr>
      <w:r>
        <w:rPr>
          <w:rFonts w:ascii="Times New Roman" w:hAnsi="Times New Roman"/>
          <w:b/>
          <w:sz w:val="26"/>
        </w:rPr>
        <w:t>2. Phạm vi triển khai</w:t>
      </w:r>
    </w:p>
    <w:p>
      <w:pPr>
        <w:pStyle w:val="ListBullet"/>
        <w:spacing w:line="288" w:lineRule="auto" w:after="60"/>
        <w:jc w:val="both"/>
      </w:pPr>
      <w:r>
        <w:rPr>
          <w:rFonts w:ascii="Times New Roman" w:hAnsi="Times New Roman"/>
          <w:b/>
          <w:sz w:val="26"/>
        </w:rPr>
        <w:t xml:space="preserve">Địa bàn triển khai: </w:t>
      </w:r>
      <w:r>
        <w:rPr>
          <w:rFonts w:ascii="Times New Roman" w:hAnsi="Times New Roman"/>
          <w:sz w:val="26"/>
        </w:rPr>
        <w:t xml:space="preserve"> Trụ sở chính tại Hà Nội (Tòa nhà Đại Việt Plaza, Cầu Giấy) và 02 Chi nhánh đại diện tại TP. Đà Nẵng và TP. Hồ Chí Minh.</w:t>
      </w:r>
    </w:p>
    <w:p>
      <w:pPr>
        <w:pStyle w:val="ListBullet"/>
        <w:spacing w:line="288" w:lineRule="auto" w:after="60"/>
        <w:jc w:val="both"/>
      </w:pPr>
      <w:r>
        <w:rPr>
          <w:rFonts w:ascii="Times New Roman" w:hAnsi="Times New Roman"/>
          <w:b/>
          <w:sz w:val="26"/>
        </w:rPr>
        <w:t xml:space="preserve">Quy mô người dùng: </w:t>
      </w:r>
      <w:r>
        <w:rPr>
          <w:rFonts w:ascii="Times New Roman" w:hAnsi="Times New Roman"/>
          <w:sz w:val="26"/>
        </w:rPr>
        <w:t xml:space="preserve"> 180 nhân sự thuộc 4 khối chức năng: Khối Kinh doanh &amp; Marketing, Khối Tài chính - Kế toán, Khối Vận hành - Kho vận, Khối Nhân sự - Hành chính.</w:t>
      </w:r>
    </w:p>
    <w:p>
      <w:pPr>
        <w:keepNext/>
        <w:spacing w:before="280" w:after="80"/>
      </w:pPr>
      <w:r>
        <w:rPr>
          <w:rFonts w:ascii="Times New Roman" w:hAnsi="Times New Roman"/>
          <w:b/>
          <w:color w:val="1F4E79"/>
          <w:sz w:val="27"/>
        </w:rPr>
        <w:t>III. GIẢI PHÁP CÔNG NGHỆ VÀ KIẾN TRÚC HỆ THỐNG</w:t>
      </w:r>
    </w:p>
    <w:p>
      <w:pPr>
        <w:spacing w:line="300" w:lineRule="auto" w:after="80"/>
        <w:ind w:firstLine="576"/>
        <w:jc w:val="both"/>
      </w:pPr>
      <w:r>
        <w:rPr>
          <w:rFonts w:ascii="Times New Roman" w:hAnsi="Times New Roman"/>
          <w:i w:val="0"/>
          <w:sz w:val="26"/>
        </w:rPr>
        <w:t>Dự án được thiết kế theo mô hình kiến trúc Hybrid Cloud bảo mật cao, kết hợp giữa hạ tầng máy chủ AI chuyên dụng đặt tại trung tâm dữ liệu nội bộ (On-Premise Private Cloud) và các mô hình ngôn ngữ lớn (LLMs) doanh nghiệp có mã hóa đầu-cuối:</w:t>
      </w:r>
    </w:p>
    <w:p>
      <w:pPr>
        <w:pStyle w:val="ListBullet"/>
        <w:spacing w:line="288" w:lineRule="auto" w:after="60"/>
        <w:jc w:val="both"/>
      </w:pPr>
      <w:r>
        <w:rPr>
          <w:rFonts w:ascii="Times New Roman" w:hAnsi="Times New Roman"/>
          <w:b/>
          <w:sz w:val="26"/>
        </w:rPr>
        <w:t xml:space="preserve">Module 1 - Trợ lý Điều phối (Master Orchestrator): </w:t>
      </w:r>
      <w:r>
        <w:rPr>
          <w:rFonts w:ascii="Times New Roman" w:hAnsi="Times New Roman"/>
          <w:sz w:val="26"/>
        </w:rPr>
        <w:t xml:space="preserve"> Đóng vai trò bộ não trung tâm tiếp nhận yêu cầu từ người dùng, tự động phân tách bài toán lớn thành các tác vụ nhỏ và điều phối 5 Agent chuyên môn thực thi.</w:t>
      </w:r>
    </w:p>
    <w:p>
      <w:pPr>
        <w:pStyle w:val="ListBullet"/>
        <w:spacing w:line="288" w:lineRule="auto" w:after="60"/>
        <w:jc w:val="both"/>
      </w:pPr>
      <w:r>
        <w:rPr>
          <w:rFonts w:ascii="Times New Roman" w:hAnsi="Times New Roman"/>
          <w:b/>
          <w:sz w:val="26"/>
        </w:rPr>
        <w:t xml:space="preserve">Module 2 - Agent Quản lý Tài liệu &amp; Chống bịa số: </w:t>
      </w:r>
      <w:r>
        <w:rPr>
          <w:rFonts w:ascii="Times New Roman" w:hAnsi="Times New Roman"/>
          <w:sz w:val="26"/>
        </w:rPr>
        <w:t xml:space="preserve"> Tự động đọc hiểu, bóc tách hợp đồng kinh tế, biên bản nghiệm thu, phát hiện mâu thuẫn số liệu và cảnh báo điều khoản rủi ro pháp lý.</w:t>
      </w:r>
    </w:p>
    <w:p>
      <w:pPr>
        <w:pStyle w:val="ListBullet"/>
        <w:spacing w:line="288" w:lineRule="auto" w:after="60"/>
        <w:jc w:val="both"/>
      </w:pPr>
      <w:r>
        <w:rPr>
          <w:rFonts w:ascii="Times New Roman" w:hAnsi="Times New Roman"/>
          <w:b/>
          <w:sz w:val="26"/>
        </w:rPr>
        <w:t xml:space="preserve">Module 3 - Agent Phân tích Dữ liệu &amp; BI: </w:t>
      </w:r>
      <w:r>
        <w:rPr>
          <w:rFonts w:ascii="Times New Roman" w:hAnsi="Times New Roman"/>
          <w:sz w:val="26"/>
        </w:rPr>
        <w:t xml:space="preserve"> Kết nối trực tiếp hệ thống ERP và bảng tính Excel/CSV, phân tích xu hướng doanh thu, cảnh báo công nợ quá hạn và tự động sinh slide báo cáo quản trị hàng tuần.</w:t>
      </w:r>
    </w:p>
    <w:p>
      <w:pPr>
        <w:pStyle w:val="ListBullet"/>
        <w:spacing w:line="288" w:lineRule="auto" w:after="60"/>
        <w:jc w:val="both"/>
      </w:pPr>
      <w:r>
        <w:rPr>
          <w:rFonts w:ascii="Times New Roman" w:hAnsi="Times New Roman"/>
          <w:b/>
          <w:sz w:val="26"/>
        </w:rPr>
        <w:t xml:space="preserve">Module 4 - Kho tri thức số hóa nội bộ (Knowledge Hub): </w:t>
      </w:r>
      <w:r>
        <w:rPr>
          <w:rFonts w:ascii="Times New Roman" w:hAnsi="Times New Roman"/>
          <w:sz w:val="26"/>
        </w:rPr>
        <w:t xml:space="preserve"> Số hóa toàn bộ thư viện quy chế, quy trình SOP, hợp đồng lịch sử của Tập đoàn, đảm bảo dữ liệu tìm kiếm tức thì và bảo mật tuyệt đối.</w:t>
      </w:r>
    </w:p>
    <w:p>
      <w:pPr>
        <w:keepNext/>
        <w:spacing w:before="280" w:after="80"/>
      </w:pPr>
      <w:r>
        <w:rPr>
          <w:rFonts w:ascii="Times New Roman" w:hAnsi="Times New Roman"/>
          <w:b/>
          <w:color w:val="1F4E79"/>
          <w:sz w:val="27"/>
        </w:rPr>
        <w:t>IV. DỰ TOÁN NGÂN SÁCH VÀ PHƯƠNG ÁN NGUỒN VỐN</w:t>
      </w:r>
    </w:p>
    <w:p>
      <w:pPr>
        <w:keepNext/>
        <w:spacing w:before="160" w:after="40"/>
      </w:pPr>
      <w:r>
        <w:rPr>
          <w:rFonts w:ascii="Times New Roman" w:hAnsi="Times New Roman"/>
          <w:b/>
          <w:sz w:val="26"/>
        </w:rPr>
        <w:t>1. Khái toán tổng mức đầu tư</w:t>
      </w:r>
    </w:p>
    <w:p>
      <w:pPr>
        <w:spacing w:line="300" w:lineRule="auto" w:after="80"/>
        <w:ind w:firstLine="576"/>
        <w:jc w:val="both"/>
      </w:pPr>
      <w:r>
        <w:rPr>
          <w:rFonts w:ascii="Times New Roman" w:hAnsi="Times New Roman"/>
          <w:i w:val="0"/>
          <w:sz w:val="26"/>
        </w:rPr>
        <w:t>Căn cứ hồ sơ đề xuất của các nhà cung cấp giải pháp công nghệ và kết quả thẩm định giá độc lập, Ban Quản lý Dự án báo cáo Tổng mức đầu tư dự kiến của dự án là 15.500.000.000 đồng (Mười lăm tỷ năm trăm triệu đồng chẵn).</w:t>
      </w:r>
    </w:p>
    <w:p>
      <w:pPr>
        <w:keepNext/>
        <w:spacing w:before="160" w:after="40"/>
      </w:pPr>
      <w:r>
        <w:rPr>
          <w:rFonts w:ascii="Times New Roman" w:hAnsi="Times New Roman"/>
          <w:b/>
          <w:sz w:val="26"/>
        </w:rPr>
        <w:t>2. Bảng phân bổ ngân sách chi tiết các hạng mục</w:t>
      </w:r>
    </w:p>
    <w:p>
      <w:pPr>
        <w:spacing w:line="300" w:lineRule="auto" w:after="80"/>
        <w:ind w:firstLine="576"/>
        <w:jc w:val="both"/>
      </w:pPr>
      <w:r>
        <w:rPr>
          <w:rFonts w:ascii="Times New Roman" w:hAnsi="Times New Roman"/>
          <w:i w:val="0"/>
          <w:sz w:val="26"/>
        </w:rPr>
        <w:t>Chi tiết các cấu phần chi phí đầu tư được lập theo dự toán kỹ thuật chi tiết như sau:</w:t>
      </w:r>
    </w:p>
    <w:tbl>
      <w:tblPr>
        <w:tblW w:type="auto" w:w="0"/>
        <w:jc w:val="center"/>
        <w:tblLook w:firstColumn="1" w:firstRow="1" w:lastColumn="0" w:lastRow="0" w:noHBand="0" w:noVBand="1" w:val="04A0"/>
        <w:tblBorders>
          <w:top w:val="single" w:sz="4" w:space="0" w:color="D9D9D9"/>
          <w:bottom w:val="single" w:sz="4" w:space="0" w:color="D9D9D9"/>
          <w:left w:val="none"/>
          <w:right w:val="none"/>
          <w:insideH w:val="single" w:sz="4" w:space="0" w:color="D9D9D9"/>
          <w:insideV w:val="none"/>
        </w:tblBorders>
      </w:tblPr>
      <w:tblGrid>
        <w:gridCol w:w="2351"/>
        <w:gridCol w:w="2351"/>
        <w:gridCol w:w="2351"/>
        <w:gridCol w:w="2351"/>
      </w:tblGrid>
      <w:tr>
        <w:tc>
          <w:tcPr>
            <w:tcW w:type="dxa" w:w="864"/>
            <w:shd w:fill="1F4E79"/>
            <w:tcMar>
              <w:top w:w="120" w:type="dxa"/>
              <w:bottom w:w="120" w:type="dxa"/>
              <w:left w:w="100" w:type="dxa"/>
              <w:right w:w="100" w:type="dxa"/>
            </w:tcMar>
          </w:tcPr>
          <w:p>
            <w:pPr>
              <w:jc w:val="center"/>
            </w:pPr>
            <w:r>
              <w:rPr>
                <w:rFonts w:ascii="Times New Roman" w:hAnsi="Times New Roman"/>
                <w:b/>
                <w:color w:val="FFFFFF"/>
                <w:sz w:val="22"/>
              </w:rPr>
              <w:t>STT</w:t>
            </w:r>
          </w:p>
        </w:tc>
        <w:tc>
          <w:tcPr>
            <w:tcW w:type="dxa" w:w="4608"/>
            <w:shd w:fill="1F4E79"/>
            <w:tcMar>
              <w:top w:w="120" w:type="dxa"/>
              <w:bottom w:w="120" w:type="dxa"/>
              <w:left w:w="100" w:type="dxa"/>
              <w:right w:w="100" w:type="dxa"/>
            </w:tcMar>
          </w:tcPr>
          <w:p>
            <w:pPr>
              <w:jc w:val="center"/>
            </w:pPr>
            <w:r>
              <w:rPr>
                <w:rFonts w:ascii="Times New Roman" w:hAnsi="Times New Roman"/>
                <w:b/>
                <w:color w:val="FFFFFF"/>
                <w:sz w:val="22"/>
              </w:rPr>
              <w:t>Hạng mục đầu tư &amp; Dịch vụ</w:t>
            </w:r>
          </w:p>
        </w:tc>
        <w:tc>
          <w:tcPr>
            <w:tcW w:type="dxa" w:w="1584"/>
            <w:shd w:fill="1F4E79"/>
            <w:tcMar>
              <w:top w:w="120" w:type="dxa"/>
              <w:bottom w:w="120" w:type="dxa"/>
              <w:left w:w="100" w:type="dxa"/>
              <w:right w:w="100" w:type="dxa"/>
            </w:tcMar>
          </w:tcPr>
          <w:p>
            <w:pPr>
              <w:jc w:val="center"/>
            </w:pPr>
            <w:r>
              <w:rPr>
                <w:rFonts w:ascii="Times New Roman" w:hAnsi="Times New Roman"/>
                <w:b/>
                <w:color w:val="FFFFFF"/>
                <w:sz w:val="22"/>
              </w:rPr>
              <w:t>Đơn vị tính</w:t>
            </w:r>
          </w:p>
        </w:tc>
        <w:tc>
          <w:tcPr>
            <w:tcW w:type="dxa" w:w="2592"/>
            <w:shd w:fill="1F4E79"/>
            <w:tcMar>
              <w:top w:w="120" w:type="dxa"/>
              <w:bottom w:w="120" w:type="dxa"/>
              <w:left w:w="100" w:type="dxa"/>
              <w:right w:w="100" w:type="dxa"/>
            </w:tcMar>
          </w:tcPr>
          <w:p>
            <w:pPr>
              <w:jc w:val="center"/>
            </w:pPr>
            <w:r>
              <w:rPr>
                <w:rFonts w:ascii="Times New Roman" w:hAnsi="Times New Roman"/>
                <w:b/>
                <w:color w:val="FFFFFF"/>
                <w:sz w:val="22"/>
              </w:rPr>
              <w:t>Giá trị dự toán (VNĐ)</w:t>
            </w:r>
          </w:p>
        </w:tc>
      </w:tr>
      <w:tr>
        <w:tc>
          <w:tcPr>
            <w:tcW w:type="dxa" w:w="864"/>
            <w:tcMar>
              <w:top w:w="100" w:type="dxa"/>
              <w:bottom w:w="100" w:type="dxa"/>
              <w:left w:w="100" w:type="dxa"/>
              <w:right w:w="100" w:type="dxa"/>
            </w:tcMar>
          </w:tcPr>
          <w:p>
            <w:pPr>
              <w:jc w:val="center"/>
            </w:pPr>
            <w:r>
              <w:rPr>
                <w:rFonts w:ascii="Times New Roman" w:hAnsi="Times New Roman"/>
                <w:b/>
                <w:sz w:val="22"/>
              </w:rPr>
              <w:t>1</w:t>
            </w:r>
          </w:p>
        </w:tc>
        <w:tc>
          <w:tcPr>
            <w:tcW w:type="dxa" w:w="4608"/>
            <w:tcMar>
              <w:top w:w="100" w:type="dxa"/>
              <w:bottom w:w="100" w:type="dxa"/>
              <w:left w:w="100" w:type="dxa"/>
              <w:right w:w="100" w:type="dxa"/>
            </w:tcMar>
          </w:tcPr>
          <w:p>
            <w:pPr>
              <w:jc w:val="left"/>
            </w:pPr>
            <w:r>
              <w:rPr>
                <w:rFonts w:ascii="Times New Roman" w:hAnsi="Times New Roman"/>
                <w:b w:val="0"/>
                <w:sz w:val="22"/>
              </w:rPr>
              <w:t>Bản quyền phần mềm lõi AI Core &amp; License 180 User (3 năm)</w:t>
            </w:r>
          </w:p>
        </w:tc>
        <w:tc>
          <w:tcPr>
            <w:tcW w:type="dxa" w:w="1584"/>
            <w:tcMar>
              <w:top w:w="100" w:type="dxa"/>
              <w:bottom w:w="100" w:type="dxa"/>
              <w:left w:w="100" w:type="dxa"/>
              <w:right w:w="100" w:type="dxa"/>
            </w:tcMar>
          </w:tcPr>
          <w:p>
            <w:pPr>
              <w:jc w:val="center"/>
            </w:pPr>
            <w:r>
              <w:rPr>
                <w:rFonts w:ascii="Times New Roman" w:hAnsi="Times New Roman"/>
                <w:b w:val="0"/>
                <w:sz w:val="22"/>
              </w:rPr>
              <w:t>Gói</w:t>
            </w:r>
          </w:p>
        </w:tc>
        <w:tc>
          <w:tcPr>
            <w:tcW w:type="dxa" w:w="2592"/>
            <w:tcMar>
              <w:top w:w="100" w:type="dxa"/>
              <w:bottom w:w="100" w:type="dxa"/>
              <w:left w:w="100" w:type="dxa"/>
              <w:right w:w="100" w:type="dxa"/>
            </w:tcMar>
          </w:tcPr>
          <w:p>
            <w:pPr>
              <w:jc w:val="right"/>
            </w:pPr>
            <w:r>
              <w:rPr>
                <w:rFonts w:ascii="Times New Roman" w:hAnsi="Times New Roman"/>
                <w:b w:val="0"/>
                <w:sz w:val="22"/>
              </w:rPr>
              <w:t>6.850.000.000</w:t>
            </w:r>
          </w:p>
        </w:tc>
      </w:tr>
      <w:tr>
        <w:tc>
          <w:tcPr>
            <w:tcW w:type="dxa" w:w="864"/>
            <w:tcMar>
              <w:top w:w="100" w:type="dxa"/>
              <w:bottom w:w="100" w:type="dxa"/>
              <w:left w:w="100" w:type="dxa"/>
              <w:right w:w="100" w:type="dxa"/>
            </w:tcMar>
          </w:tcPr>
          <w:p>
            <w:pPr>
              <w:jc w:val="center"/>
            </w:pPr>
            <w:r>
              <w:rPr>
                <w:rFonts w:ascii="Times New Roman" w:hAnsi="Times New Roman"/>
                <w:b/>
                <w:sz w:val="22"/>
              </w:rPr>
              <w:t>2</w:t>
            </w:r>
          </w:p>
        </w:tc>
        <w:tc>
          <w:tcPr>
            <w:tcW w:type="dxa" w:w="4608"/>
            <w:tcMar>
              <w:top w:w="100" w:type="dxa"/>
              <w:bottom w:w="100" w:type="dxa"/>
              <w:left w:w="100" w:type="dxa"/>
              <w:right w:w="100" w:type="dxa"/>
            </w:tcMar>
          </w:tcPr>
          <w:p>
            <w:pPr>
              <w:jc w:val="left"/>
            </w:pPr>
            <w:r>
              <w:rPr>
                <w:rFonts w:ascii="Times New Roman" w:hAnsi="Times New Roman"/>
                <w:b w:val="0"/>
                <w:sz w:val="22"/>
              </w:rPr>
              <w:t>Hạ tầng phần cứng máy chủ AI GPU &amp; Lưu trữ SAN chuyên dụng</w:t>
            </w:r>
          </w:p>
        </w:tc>
        <w:tc>
          <w:tcPr>
            <w:tcW w:type="dxa" w:w="1584"/>
            <w:tcMar>
              <w:top w:w="100" w:type="dxa"/>
              <w:bottom w:w="100" w:type="dxa"/>
              <w:left w:w="100" w:type="dxa"/>
              <w:right w:w="100" w:type="dxa"/>
            </w:tcMar>
          </w:tcPr>
          <w:p>
            <w:pPr>
              <w:jc w:val="center"/>
            </w:pPr>
            <w:r>
              <w:rPr>
                <w:rFonts w:ascii="Times New Roman" w:hAnsi="Times New Roman"/>
                <w:b w:val="0"/>
                <w:sz w:val="22"/>
              </w:rPr>
              <w:t>Hệ thống</w:t>
            </w:r>
          </w:p>
        </w:tc>
        <w:tc>
          <w:tcPr>
            <w:tcW w:type="dxa" w:w="2592"/>
            <w:tcMar>
              <w:top w:w="100" w:type="dxa"/>
              <w:bottom w:w="100" w:type="dxa"/>
              <w:left w:w="100" w:type="dxa"/>
              <w:right w:w="100" w:type="dxa"/>
            </w:tcMar>
          </w:tcPr>
          <w:p>
            <w:pPr>
              <w:jc w:val="right"/>
            </w:pPr>
            <w:r>
              <w:rPr>
                <w:rFonts w:ascii="Times New Roman" w:hAnsi="Times New Roman"/>
                <w:b w:val="0"/>
                <w:sz w:val="22"/>
              </w:rPr>
              <w:t>3.450.000.000</w:t>
            </w:r>
          </w:p>
        </w:tc>
      </w:tr>
      <w:tr>
        <w:tc>
          <w:tcPr>
            <w:tcW w:type="dxa" w:w="864"/>
            <w:tcMar>
              <w:top w:w="100" w:type="dxa"/>
              <w:bottom w:w="100" w:type="dxa"/>
              <w:left w:w="100" w:type="dxa"/>
              <w:right w:w="100" w:type="dxa"/>
            </w:tcMar>
          </w:tcPr>
          <w:p>
            <w:pPr>
              <w:jc w:val="center"/>
            </w:pPr>
            <w:r>
              <w:rPr>
                <w:rFonts w:ascii="Times New Roman" w:hAnsi="Times New Roman"/>
                <w:b/>
                <w:sz w:val="22"/>
              </w:rPr>
              <w:t>3</w:t>
            </w:r>
          </w:p>
        </w:tc>
        <w:tc>
          <w:tcPr>
            <w:tcW w:type="dxa" w:w="4608"/>
            <w:tcMar>
              <w:top w:w="100" w:type="dxa"/>
              <w:bottom w:w="100" w:type="dxa"/>
              <w:left w:w="100" w:type="dxa"/>
              <w:right w:w="100" w:type="dxa"/>
            </w:tcMar>
          </w:tcPr>
          <w:p>
            <w:pPr>
              <w:jc w:val="left"/>
            </w:pPr>
            <w:r>
              <w:rPr>
                <w:rFonts w:ascii="Times New Roman" w:hAnsi="Times New Roman"/>
                <w:b w:val="0"/>
                <w:sz w:val="22"/>
              </w:rPr>
              <w:t>Dịch vụ tư vấn quy trình, tùy biến và tích hợp hệ thống ERP</w:t>
            </w:r>
          </w:p>
        </w:tc>
        <w:tc>
          <w:tcPr>
            <w:tcW w:type="dxa" w:w="1584"/>
            <w:tcMar>
              <w:top w:w="100" w:type="dxa"/>
              <w:bottom w:w="100" w:type="dxa"/>
              <w:left w:w="100" w:type="dxa"/>
              <w:right w:w="100" w:type="dxa"/>
            </w:tcMar>
          </w:tcPr>
          <w:p>
            <w:pPr>
              <w:jc w:val="center"/>
            </w:pPr>
            <w:r>
              <w:rPr>
                <w:rFonts w:ascii="Times New Roman" w:hAnsi="Times New Roman"/>
                <w:b w:val="0"/>
                <w:sz w:val="22"/>
              </w:rPr>
              <w:t>Hợp đồng</w:t>
            </w:r>
          </w:p>
        </w:tc>
        <w:tc>
          <w:tcPr>
            <w:tcW w:type="dxa" w:w="2592"/>
            <w:tcMar>
              <w:top w:w="100" w:type="dxa"/>
              <w:bottom w:w="100" w:type="dxa"/>
              <w:left w:w="100" w:type="dxa"/>
              <w:right w:w="100" w:type="dxa"/>
            </w:tcMar>
          </w:tcPr>
          <w:p>
            <w:pPr>
              <w:jc w:val="right"/>
            </w:pPr>
            <w:r>
              <w:rPr>
                <w:rFonts w:ascii="Times New Roman" w:hAnsi="Times New Roman"/>
                <w:b w:val="0"/>
                <w:sz w:val="22"/>
              </w:rPr>
              <w:t>2.800.000.000</w:t>
            </w:r>
          </w:p>
        </w:tc>
      </w:tr>
      <w:tr>
        <w:tc>
          <w:tcPr>
            <w:tcW w:type="dxa" w:w="864"/>
            <w:tcMar>
              <w:top w:w="100" w:type="dxa"/>
              <w:bottom w:w="100" w:type="dxa"/>
              <w:left w:w="100" w:type="dxa"/>
              <w:right w:w="100" w:type="dxa"/>
            </w:tcMar>
          </w:tcPr>
          <w:p>
            <w:pPr>
              <w:jc w:val="center"/>
            </w:pPr>
            <w:r>
              <w:rPr>
                <w:rFonts w:ascii="Times New Roman" w:hAnsi="Times New Roman"/>
                <w:b/>
                <w:sz w:val="22"/>
              </w:rPr>
              <w:t>4</w:t>
            </w:r>
          </w:p>
        </w:tc>
        <w:tc>
          <w:tcPr>
            <w:tcW w:type="dxa" w:w="4608"/>
            <w:tcMar>
              <w:top w:w="100" w:type="dxa"/>
              <w:bottom w:w="100" w:type="dxa"/>
              <w:left w:w="100" w:type="dxa"/>
              <w:right w:w="100" w:type="dxa"/>
            </w:tcMar>
          </w:tcPr>
          <w:p>
            <w:pPr>
              <w:jc w:val="left"/>
            </w:pPr>
            <w:r>
              <w:rPr>
                <w:rFonts w:ascii="Times New Roman" w:hAnsi="Times New Roman"/>
                <w:b w:val="0"/>
                <w:sz w:val="22"/>
              </w:rPr>
              <w:t>Chương trình đào tạo chuyển giao công nghệ &amp; Cấp chứng chỉ</w:t>
            </w:r>
          </w:p>
        </w:tc>
        <w:tc>
          <w:tcPr>
            <w:tcW w:type="dxa" w:w="1584"/>
            <w:tcMar>
              <w:top w:w="100" w:type="dxa"/>
              <w:bottom w:w="100" w:type="dxa"/>
              <w:left w:w="100" w:type="dxa"/>
              <w:right w:w="100" w:type="dxa"/>
            </w:tcMar>
          </w:tcPr>
          <w:p>
            <w:pPr>
              <w:jc w:val="center"/>
            </w:pPr>
            <w:r>
              <w:rPr>
                <w:rFonts w:ascii="Times New Roman" w:hAnsi="Times New Roman"/>
                <w:b w:val="0"/>
                <w:sz w:val="22"/>
              </w:rPr>
              <w:t>Khóa</w:t>
            </w:r>
          </w:p>
        </w:tc>
        <w:tc>
          <w:tcPr>
            <w:tcW w:type="dxa" w:w="2592"/>
            <w:tcMar>
              <w:top w:w="100" w:type="dxa"/>
              <w:bottom w:w="100" w:type="dxa"/>
              <w:left w:w="100" w:type="dxa"/>
              <w:right w:w="100" w:type="dxa"/>
            </w:tcMar>
          </w:tcPr>
          <w:p>
            <w:pPr>
              <w:jc w:val="right"/>
            </w:pPr>
            <w:r>
              <w:rPr>
                <w:rFonts w:ascii="Times New Roman" w:hAnsi="Times New Roman"/>
                <w:b w:val="0"/>
                <w:sz w:val="22"/>
              </w:rPr>
              <w:t>1.250.000.000</w:t>
            </w:r>
          </w:p>
        </w:tc>
      </w:tr>
      <w:tr>
        <w:tc>
          <w:tcPr>
            <w:tcW w:type="dxa" w:w="864"/>
            <w:tcMar>
              <w:top w:w="100" w:type="dxa"/>
              <w:bottom w:w="100" w:type="dxa"/>
              <w:left w:w="100" w:type="dxa"/>
              <w:right w:w="100" w:type="dxa"/>
            </w:tcMar>
          </w:tcPr>
          <w:p>
            <w:pPr>
              <w:jc w:val="center"/>
            </w:pPr>
            <w:r>
              <w:rPr>
                <w:rFonts w:ascii="Times New Roman" w:hAnsi="Times New Roman"/>
                <w:b/>
                <w:sz w:val="22"/>
              </w:rPr>
              <w:t>5</w:t>
            </w:r>
          </w:p>
        </w:tc>
        <w:tc>
          <w:tcPr>
            <w:tcW w:type="dxa" w:w="4608"/>
            <w:tcMar>
              <w:top w:w="100" w:type="dxa"/>
              <w:bottom w:w="100" w:type="dxa"/>
              <w:left w:w="100" w:type="dxa"/>
              <w:right w:w="100" w:type="dxa"/>
            </w:tcMar>
          </w:tcPr>
          <w:p>
            <w:pPr>
              <w:jc w:val="left"/>
            </w:pPr>
            <w:r>
              <w:rPr>
                <w:rFonts w:ascii="Times New Roman" w:hAnsi="Times New Roman"/>
                <w:b w:val="0"/>
                <w:sz w:val="22"/>
              </w:rPr>
              <w:t>Chi phí thẩm định an ninh mạng, bảo mật SOC và bản quyền OS</w:t>
            </w:r>
          </w:p>
        </w:tc>
        <w:tc>
          <w:tcPr>
            <w:tcW w:type="dxa" w:w="1584"/>
            <w:tcMar>
              <w:top w:w="100" w:type="dxa"/>
              <w:bottom w:w="100" w:type="dxa"/>
              <w:left w:w="100" w:type="dxa"/>
              <w:right w:w="100" w:type="dxa"/>
            </w:tcMar>
          </w:tcPr>
          <w:p>
            <w:pPr>
              <w:jc w:val="center"/>
            </w:pPr>
            <w:r>
              <w:rPr>
                <w:rFonts w:ascii="Times New Roman" w:hAnsi="Times New Roman"/>
                <w:b w:val="0"/>
                <w:sz w:val="22"/>
              </w:rPr>
              <w:t>Gói</w:t>
            </w:r>
          </w:p>
        </w:tc>
        <w:tc>
          <w:tcPr>
            <w:tcW w:type="dxa" w:w="2592"/>
            <w:tcMar>
              <w:top w:w="100" w:type="dxa"/>
              <w:bottom w:w="100" w:type="dxa"/>
              <w:left w:w="100" w:type="dxa"/>
              <w:right w:w="100" w:type="dxa"/>
            </w:tcMar>
          </w:tcPr>
          <w:p>
            <w:pPr>
              <w:jc w:val="right"/>
            </w:pPr>
            <w:r>
              <w:rPr>
                <w:rFonts w:ascii="Times New Roman" w:hAnsi="Times New Roman"/>
                <w:b w:val="0"/>
                <w:sz w:val="22"/>
              </w:rPr>
              <w:t>450.000.000</w:t>
            </w:r>
          </w:p>
        </w:tc>
      </w:tr>
      <w:tr>
        <w:tc>
          <w:tcPr>
            <w:tcW w:type="dxa" w:w="864"/>
            <w:tcMar>
              <w:top w:w="100" w:type="dxa"/>
              <w:bottom w:w="100" w:type="dxa"/>
              <w:left w:w="100" w:type="dxa"/>
              <w:right w:w="100" w:type="dxa"/>
            </w:tcMar>
          </w:tcPr>
          <w:p>
            <w:pPr>
              <w:jc w:val="center"/>
            </w:pPr>
            <w:r>
              <w:rPr>
                <w:rFonts w:ascii="Times New Roman" w:hAnsi="Times New Roman"/>
                <w:b/>
                <w:sz w:val="22"/>
              </w:rPr>
              <w:t>6</w:t>
            </w:r>
          </w:p>
        </w:tc>
        <w:tc>
          <w:tcPr>
            <w:tcW w:type="dxa" w:w="4608"/>
            <w:tcMar>
              <w:top w:w="100" w:type="dxa"/>
              <w:bottom w:w="100" w:type="dxa"/>
              <w:left w:w="100" w:type="dxa"/>
              <w:right w:w="100" w:type="dxa"/>
            </w:tcMar>
          </w:tcPr>
          <w:p>
            <w:pPr>
              <w:jc w:val="left"/>
            </w:pPr>
            <w:r>
              <w:rPr>
                <w:rFonts w:ascii="Times New Roman" w:hAnsi="Times New Roman"/>
                <w:b w:val="0"/>
                <w:sz w:val="22"/>
              </w:rPr>
              <w:t>Chi phí dự phòng phát sinh kỹ thuật và biến động tỷ giá (5%)</w:t>
            </w:r>
          </w:p>
        </w:tc>
        <w:tc>
          <w:tcPr>
            <w:tcW w:type="dxa" w:w="1584"/>
            <w:tcMar>
              <w:top w:w="100" w:type="dxa"/>
              <w:bottom w:w="100" w:type="dxa"/>
              <w:left w:w="100" w:type="dxa"/>
              <w:right w:w="100" w:type="dxa"/>
            </w:tcMar>
          </w:tcPr>
          <w:p>
            <w:pPr>
              <w:jc w:val="center"/>
            </w:pPr>
            <w:r>
              <w:rPr>
                <w:rFonts w:ascii="Times New Roman" w:hAnsi="Times New Roman"/>
                <w:b w:val="0"/>
                <w:sz w:val="22"/>
              </w:rPr>
              <w:t>Khoản</w:t>
            </w:r>
          </w:p>
        </w:tc>
        <w:tc>
          <w:tcPr>
            <w:tcW w:type="dxa" w:w="2592"/>
            <w:tcMar>
              <w:top w:w="100" w:type="dxa"/>
              <w:bottom w:w="100" w:type="dxa"/>
              <w:left w:w="100" w:type="dxa"/>
              <w:right w:w="100" w:type="dxa"/>
            </w:tcMar>
          </w:tcPr>
          <w:p>
            <w:pPr>
              <w:jc w:val="right"/>
            </w:pPr>
            <w:r>
              <w:rPr>
                <w:rFonts w:ascii="Times New Roman" w:hAnsi="Times New Roman"/>
                <w:b w:val="0"/>
                <w:sz w:val="22"/>
              </w:rPr>
              <w:t>850.000.000</w:t>
            </w:r>
          </w:p>
        </w:tc>
      </w:tr>
      <w:tr>
        <w:tc>
          <w:tcPr>
            <w:tcW w:type="dxa" w:w="864"/>
            <w:shd w:fill="D9E1F2"/>
            <w:tcMar>
              <w:top w:w="100" w:type="dxa"/>
              <w:bottom w:w="100" w:type="dxa"/>
              <w:left w:w="100" w:type="dxa"/>
              <w:right w:w="100" w:type="dxa"/>
            </w:tcMar>
          </w:tcPr>
          <w:p>
            <w:pPr>
              <w:jc w:val="center"/>
            </w:pPr>
            <w:r>
              <w:rPr>
                <w:rFonts w:ascii="Times New Roman" w:hAnsi="Times New Roman"/>
                <w:b/>
                <w:color w:val="1F4E79"/>
                <w:sz w:val="22"/>
              </w:rPr>
              <w:t>TỔNG CỘNG</w:t>
            </w:r>
          </w:p>
        </w:tc>
        <w:tc>
          <w:tcPr>
            <w:tcW w:type="dxa" w:w="4608"/>
            <w:shd w:fill="D9E1F2"/>
            <w:tcMar>
              <w:top w:w="100" w:type="dxa"/>
              <w:bottom w:w="100" w:type="dxa"/>
              <w:left w:w="100" w:type="dxa"/>
              <w:right w:w="100" w:type="dxa"/>
            </w:tcMar>
          </w:tcPr>
          <w:p>
            <w:pPr>
              <w:jc w:val="left"/>
            </w:pPr>
            <w:r>
              <w:rPr>
                <w:rFonts w:ascii="Times New Roman" w:hAnsi="Times New Roman"/>
                <w:b/>
                <w:color w:val="1F4E79"/>
                <w:sz w:val="22"/>
              </w:rPr>
              <w:t>TỔNG DỰ TOÁN CÁC HẠNG MỤC (BẢNG KÊ CHI TIẾT)</w:t>
            </w:r>
          </w:p>
        </w:tc>
        <w:tc>
          <w:tcPr>
            <w:tcW w:type="dxa" w:w="1584"/>
            <w:shd w:fill="D9E1F2"/>
            <w:tcMar>
              <w:top w:w="100" w:type="dxa"/>
              <w:bottom w:w="100" w:type="dxa"/>
              <w:left w:w="100" w:type="dxa"/>
              <w:right w:w="100" w:type="dxa"/>
            </w:tcMar>
          </w:tcPr>
          <w:p>
            <w:pPr>
              <w:jc w:val="center"/>
            </w:pPr>
            <w:r>
              <w:rPr>
                <w:rFonts w:ascii="Times New Roman" w:hAnsi="Times New Roman"/>
                <w:b/>
                <w:color w:val="1F4E79"/>
                <w:sz w:val="22"/>
              </w:rPr>
              <w:t>VNĐ</w:t>
            </w:r>
          </w:p>
        </w:tc>
        <w:tc>
          <w:tcPr>
            <w:tcW w:type="dxa" w:w="2592"/>
            <w:shd w:fill="D9E1F2"/>
            <w:tcMar>
              <w:top w:w="100" w:type="dxa"/>
              <w:bottom w:w="100" w:type="dxa"/>
              <w:left w:w="100" w:type="dxa"/>
              <w:right w:w="100" w:type="dxa"/>
            </w:tcMar>
          </w:tcPr>
          <w:p>
            <w:pPr>
              <w:jc w:val="right"/>
            </w:pPr>
            <w:r>
              <w:rPr>
                <w:rFonts w:ascii="Times New Roman" w:hAnsi="Times New Roman"/>
                <w:b/>
                <w:color w:val="1F4E79"/>
                <w:sz w:val="22"/>
              </w:rPr>
              <w:t>15.650.000.000</w:t>
            </w:r>
          </w:p>
        </w:tc>
      </w:tr>
    </w:tbl>
    <w:p>
      <w:pPr>
        <w:spacing w:line="300" w:lineRule="auto" w:after="80"/>
        <w:ind w:firstLine="576"/>
        <w:jc w:val="both"/>
      </w:pPr>
      <w:r>
        <w:rPr>
          <w:rFonts w:ascii="Times New Roman" w:hAnsi="Times New Roman"/>
          <w:i/>
          <w:sz w:val="26"/>
        </w:rPr>
        <w:t>*(Ghi chú đối chiếu tài chính: Tại mục IV.1 Khái toán ghi 15.500.000.000 đồng, tuy nhiên Bảng chi tiết mục IV.2 cộng dồn ra 15.650.000.000 đồng. Chênh lệch 150.000.000 đồng là khoản dự phòng bản quyền mở rộng cho phân hệ Mobile App cần được HĐQT phê duyệt bổ sung)*</w:t>
      </w:r>
    </w:p>
    <w:p>
      <w:pPr>
        <w:keepNext/>
        <w:spacing w:before="280" w:after="80"/>
      </w:pPr>
      <w:r>
        <w:rPr>
          <w:rFonts w:ascii="Times New Roman" w:hAnsi="Times New Roman"/>
          <w:b/>
          <w:color w:val="1F4E79"/>
          <w:sz w:val="27"/>
        </w:rPr>
        <w:t>V. TIẾN ĐỘ THỰC HIỆN VÀ CÁC MỐC THỜI GIAN THEN CHỐT</w:t>
      </w:r>
    </w:p>
    <w:p>
      <w:pPr>
        <w:spacing w:line="300" w:lineRule="auto" w:after="80"/>
        <w:ind w:firstLine="576"/>
        <w:jc w:val="both"/>
      </w:pPr>
      <w:r>
        <w:rPr>
          <w:rFonts w:ascii="Times New Roman" w:hAnsi="Times New Roman"/>
          <w:i w:val="0"/>
          <w:sz w:val="26"/>
        </w:rPr>
        <w:t>Kế hoạch triển khai dự án được phân kỳ làm 4 giai đoạn nối tiếp trong thời gian 06 tháng (từ tháng 10/2026 đến tháng 03/2027):</w:t>
      </w:r>
    </w:p>
    <w:tbl>
      <w:tblPr>
        <w:tblW w:type="auto" w:w="0"/>
        <w:jc w:val="center"/>
        <w:tblLook w:firstColumn="1" w:firstRow="1" w:lastColumn="0" w:lastRow="0" w:noHBand="0" w:noVBand="1" w:val="04A0"/>
        <w:tblBorders>
          <w:top w:val="single" w:sz="4" w:space="0" w:color="D9D9D9"/>
          <w:bottom w:val="single" w:sz="4" w:space="0" w:color="D9D9D9"/>
          <w:left w:val="none"/>
          <w:right w:val="none"/>
          <w:insideH w:val="single" w:sz="4" w:space="0" w:color="D9D9D9"/>
          <w:insideV w:val="none"/>
        </w:tblBorders>
      </w:tblPr>
      <w:tblGrid>
        <w:gridCol w:w="2351"/>
        <w:gridCol w:w="2351"/>
        <w:gridCol w:w="2351"/>
        <w:gridCol w:w="2351"/>
      </w:tblGrid>
      <w:tr>
        <w:tc>
          <w:tcPr>
            <w:tcW w:type="dxa" w:w="1584"/>
            <w:shd w:fill="1F4E79"/>
            <w:tcMar>
              <w:top w:w="120" w:type="dxa"/>
              <w:bottom w:w="120" w:type="dxa"/>
              <w:left w:w="80" w:type="dxa"/>
              <w:right w:w="80" w:type="dxa"/>
            </w:tcMar>
          </w:tcPr>
          <w:p>
            <w:pPr>
              <w:jc w:val="center"/>
            </w:pPr>
            <w:r>
              <w:rPr>
                <w:rFonts w:ascii="Times New Roman" w:hAnsi="Times New Roman"/>
                <w:b/>
                <w:color w:val="FFFFFF"/>
                <w:sz w:val="22"/>
              </w:rPr>
              <w:t>Giai đoạn</w:t>
            </w:r>
          </w:p>
        </w:tc>
        <w:tc>
          <w:tcPr>
            <w:tcW w:type="dxa" w:w="4176"/>
            <w:shd w:fill="1F4E79"/>
            <w:tcMar>
              <w:top w:w="120" w:type="dxa"/>
              <w:bottom w:w="120" w:type="dxa"/>
              <w:left w:w="80" w:type="dxa"/>
              <w:right w:w="80" w:type="dxa"/>
            </w:tcMar>
          </w:tcPr>
          <w:p>
            <w:pPr>
              <w:jc w:val="center"/>
            </w:pPr>
            <w:r>
              <w:rPr>
                <w:rFonts w:ascii="Times New Roman" w:hAnsi="Times New Roman"/>
                <w:b/>
                <w:color w:val="FFFFFF"/>
                <w:sz w:val="22"/>
              </w:rPr>
              <w:t>Nội dung công việc trọng tâm</w:t>
            </w:r>
          </w:p>
        </w:tc>
        <w:tc>
          <w:tcPr>
            <w:tcW w:type="dxa" w:w="2160"/>
            <w:shd w:fill="1F4E79"/>
            <w:tcMar>
              <w:top w:w="120" w:type="dxa"/>
              <w:bottom w:w="120" w:type="dxa"/>
              <w:left w:w="80" w:type="dxa"/>
              <w:right w:w="80" w:type="dxa"/>
            </w:tcMar>
          </w:tcPr>
          <w:p>
            <w:pPr>
              <w:jc w:val="center"/>
            </w:pPr>
            <w:r>
              <w:rPr>
                <w:rFonts w:ascii="Times New Roman" w:hAnsi="Times New Roman"/>
                <w:b/>
                <w:color w:val="FFFFFF"/>
                <w:sz w:val="22"/>
              </w:rPr>
              <w:t>Thời hạn hoàn thành</w:t>
            </w:r>
          </w:p>
        </w:tc>
        <w:tc>
          <w:tcPr>
            <w:tcW w:type="dxa" w:w="1728"/>
            <w:shd w:fill="1F4E79"/>
            <w:tcMar>
              <w:top w:w="120" w:type="dxa"/>
              <w:bottom w:w="120" w:type="dxa"/>
              <w:left w:w="80" w:type="dxa"/>
              <w:right w:w="80" w:type="dxa"/>
            </w:tcMar>
          </w:tcPr>
          <w:p>
            <w:pPr>
              <w:jc w:val="center"/>
            </w:pPr>
            <w:r>
              <w:rPr>
                <w:rFonts w:ascii="Times New Roman" w:hAnsi="Times New Roman"/>
                <w:b/>
                <w:color w:val="FFFFFF"/>
                <w:sz w:val="22"/>
              </w:rPr>
              <w:t>Đơn vị chủ trì</w:t>
            </w:r>
          </w:p>
        </w:tc>
      </w:tr>
      <w:tr>
        <w:tc>
          <w:tcPr>
            <w:tcW w:type="dxa" w:w="1584"/>
            <w:tcMar>
              <w:top w:w="100" w:type="dxa"/>
              <w:bottom w:w="100" w:type="dxa"/>
              <w:left w:w="80" w:type="dxa"/>
              <w:right w:w="80" w:type="dxa"/>
            </w:tcMar>
          </w:tcPr>
          <w:p>
            <w:pPr>
              <w:jc w:val="center"/>
            </w:pPr>
            <w:r>
              <w:rPr>
                <w:rFonts w:ascii="Times New Roman" w:hAnsi="Times New Roman"/>
                <w:b/>
                <w:sz w:val="22"/>
              </w:rPr>
              <w:t>Giai đoạn 1</w:t>
            </w:r>
          </w:p>
        </w:tc>
        <w:tc>
          <w:tcPr>
            <w:tcW w:type="dxa" w:w="4176"/>
            <w:tcMar>
              <w:top w:w="100" w:type="dxa"/>
              <w:bottom w:w="100" w:type="dxa"/>
              <w:left w:w="80" w:type="dxa"/>
              <w:right w:w="80" w:type="dxa"/>
            </w:tcMar>
          </w:tcPr>
          <w:p>
            <w:pPr>
              <w:jc w:val="left"/>
            </w:pPr>
            <w:r>
              <w:rPr>
                <w:rFonts w:ascii="Times New Roman" w:hAnsi="Times New Roman"/>
                <w:sz w:val="22"/>
              </w:rPr>
              <w:t>Khảo sát hiện trạng, đóng băng yêu cầu (Freeze Specs) và ký kết hợp đồng nhà thầu</w:t>
            </w:r>
          </w:p>
        </w:tc>
        <w:tc>
          <w:tcPr>
            <w:tcW w:type="dxa" w:w="2160"/>
            <w:tcMar>
              <w:top w:w="100" w:type="dxa"/>
              <w:bottom w:w="100" w:type="dxa"/>
              <w:left w:w="80" w:type="dxa"/>
              <w:right w:w="80" w:type="dxa"/>
            </w:tcMar>
          </w:tcPr>
          <w:p>
            <w:pPr>
              <w:jc w:val="center"/>
            </w:pPr>
            <w:r>
              <w:rPr>
                <w:rFonts w:ascii="Times New Roman" w:hAnsi="Times New Roman"/>
                <w:b/>
                <w:sz w:val="22"/>
              </w:rPr>
              <w:t>15/10/2026</w:t>
            </w:r>
          </w:p>
        </w:tc>
        <w:tc>
          <w:tcPr>
            <w:tcW w:type="dxa" w:w="1728"/>
            <w:tcMar>
              <w:top w:w="100" w:type="dxa"/>
              <w:bottom w:w="100" w:type="dxa"/>
              <w:left w:w="80" w:type="dxa"/>
              <w:right w:w="80" w:type="dxa"/>
            </w:tcMar>
          </w:tcPr>
          <w:p>
            <w:pPr>
              <w:jc w:val="center"/>
            </w:pPr>
            <w:r>
              <w:rPr>
                <w:rFonts w:ascii="Times New Roman" w:hAnsi="Times New Roman"/>
                <w:sz w:val="22"/>
              </w:rPr>
              <w:t>Ban QLDA &amp; CNTT</w:t>
            </w:r>
          </w:p>
        </w:tc>
      </w:tr>
      <w:tr>
        <w:tc>
          <w:tcPr>
            <w:tcW w:type="dxa" w:w="1584"/>
            <w:tcMar>
              <w:top w:w="100" w:type="dxa"/>
              <w:bottom w:w="100" w:type="dxa"/>
              <w:left w:w="80" w:type="dxa"/>
              <w:right w:w="80" w:type="dxa"/>
            </w:tcMar>
          </w:tcPr>
          <w:p>
            <w:pPr>
              <w:jc w:val="center"/>
            </w:pPr>
            <w:r>
              <w:rPr>
                <w:rFonts w:ascii="Times New Roman" w:hAnsi="Times New Roman"/>
                <w:b/>
                <w:sz w:val="22"/>
              </w:rPr>
              <w:t>Giai đoạn 2</w:t>
            </w:r>
          </w:p>
        </w:tc>
        <w:tc>
          <w:tcPr>
            <w:tcW w:type="dxa" w:w="4176"/>
            <w:tcMar>
              <w:top w:w="100" w:type="dxa"/>
              <w:bottom w:w="100" w:type="dxa"/>
              <w:left w:w="80" w:type="dxa"/>
              <w:right w:w="80" w:type="dxa"/>
            </w:tcMar>
          </w:tcPr>
          <w:p>
            <w:pPr>
              <w:jc w:val="left"/>
            </w:pPr>
            <w:r>
              <w:rPr>
                <w:rFonts w:ascii="Times New Roman" w:hAnsi="Times New Roman"/>
                <w:sz w:val="22"/>
              </w:rPr>
              <w:t>Lắp đặt phần cứng máy chủ tại Viettel IDC Hòa Lạc và cấu hình hạ tầng Private Cloud</w:t>
            </w:r>
          </w:p>
        </w:tc>
        <w:tc>
          <w:tcPr>
            <w:tcW w:type="dxa" w:w="2160"/>
            <w:tcMar>
              <w:top w:w="100" w:type="dxa"/>
              <w:bottom w:w="100" w:type="dxa"/>
              <w:left w:w="80" w:type="dxa"/>
              <w:right w:w="80" w:type="dxa"/>
            </w:tcMar>
          </w:tcPr>
          <w:p>
            <w:pPr>
              <w:jc w:val="center"/>
            </w:pPr>
            <w:r>
              <w:rPr>
                <w:rFonts w:ascii="Times New Roman" w:hAnsi="Times New Roman"/>
                <w:b/>
                <w:sz w:val="22"/>
              </w:rPr>
              <w:t>15/11/2026</w:t>
            </w:r>
          </w:p>
        </w:tc>
        <w:tc>
          <w:tcPr>
            <w:tcW w:type="dxa" w:w="1728"/>
            <w:tcMar>
              <w:top w:w="100" w:type="dxa"/>
              <w:bottom w:w="100" w:type="dxa"/>
              <w:left w:w="80" w:type="dxa"/>
              <w:right w:w="80" w:type="dxa"/>
            </w:tcMar>
          </w:tcPr>
          <w:p>
            <w:pPr>
              <w:jc w:val="center"/>
            </w:pPr>
            <w:r>
              <w:rPr>
                <w:rFonts w:ascii="Times New Roman" w:hAnsi="Times New Roman"/>
                <w:sz w:val="22"/>
              </w:rPr>
              <w:t>Nhà thầu kỹ thuật</w:t>
            </w:r>
          </w:p>
        </w:tc>
      </w:tr>
      <w:tr>
        <w:tc>
          <w:tcPr>
            <w:tcW w:type="dxa" w:w="1584"/>
            <w:tcMar>
              <w:top w:w="100" w:type="dxa"/>
              <w:bottom w:w="100" w:type="dxa"/>
              <w:left w:w="80" w:type="dxa"/>
              <w:right w:w="80" w:type="dxa"/>
            </w:tcMar>
          </w:tcPr>
          <w:p>
            <w:pPr>
              <w:jc w:val="center"/>
            </w:pPr>
            <w:r>
              <w:rPr>
                <w:rFonts w:ascii="Times New Roman" w:hAnsi="Times New Roman"/>
                <w:b/>
                <w:sz w:val="22"/>
              </w:rPr>
              <w:t>Giai đoạn 3</w:t>
            </w:r>
          </w:p>
        </w:tc>
        <w:tc>
          <w:tcPr>
            <w:tcW w:type="dxa" w:w="4176"/>
            <w:tcMar>
              <w:top w:w="100" w:type="dxa"/>
              <w:bottom w:w="100" w:type="dxa"/>
              <w:left w:w="80" w:type="dxa"/>
              <w:right w:w="80" w:type="dxa"/>
            </w:tcMar>
          </w:tcPr>
          <w:p>
            <w:pPr>
              <w:jc w:val="left"/>
            </w:pPr>
            <w:r>
              <w:rPr>
                <w:rFonts w:ascii="Times New Roman" w:hAnsi="Times New Roman"/>
                <w:sz w:val="22"/>
              </w:rPr>
              <w:t>Triển khai thử nghiệm (Pilot) phân hệ AI Sales &amp; CSKH, tích hợp thử nghiệm dữ liệu ERP</w:t>
            </w:r>
          </w:p>
        </w:tc>
        <w:tc>
          <w:tcPr>
            <w:tcW w:type="dxa" w:w="2160"/>
            <w:tcMar>
              <w:top w:w="100" w:type="dxa"/>
              <w:bottom w:w="100" w:type="dxa"/>
              <w:left w:w="80" w:type="dxa"/>
              <w:right w:w="80" w:type="dxa"/>
            </w:tcMar>
          </w:tcPr>
          <w:p>
            <w:pPr>
              <w:jc w:val="center"/>
            </w:pPr>
            <w:r>
              <w:rPr>
                <w:rFonts w:ascii="Times New Roman" w:hAnsi="Times New Roman"/>
                <w:b/>
                <w:sz w:val="22"/>
              </w:rPr>
              <w:t>15/12/2026</w:t>
            </w:r>
          </w:p>
        </w:tc>
        <w:tc>
          <w:tcPr>
            <w:tcW w:type="dxa" w:w="1728"/>
            <w:tcMar>
              <w:top w:w="100" w:type="dxa"/>
              <w:bottom w:w="100" w:type="dxa"/>
              <w:left w:w="80" w:type="dxa"/>
              <w:right w:w="80" w:type="dxa"/>
            </w:tcMar>
          </w:tcPr>
          <w:p>
            <w:pPr>
              <w:jc w:val="center"/>
            </w:pPr>
            <w:r>
              <w:rPr>
                <w:rFonts w:ascii="Times New Roman" w:hAnsi="Times New Roman"/>
                <w:sz w:val="22"/>
              </w:rPr>
              <w:t>Khối KD &amp; Marketing</w:t>
            </w:r>
          </w:p>
        </w:tc>
      </w:tr>
      <w:tr>
        <w:tc>
          <w:tcPr>
            <w:tcW w:type="dxa" w:w="1584"/>
            <w:tcMar>
              <w:top w:w="100" w:type="dxa"/>
              <w:bottom w:w="100" w:type="dxa"/>
              <w:left w:w="80" w:type="dxa"/>
              <w:right w:w="80" w:type="dxa"/>
            </w:tcMar>
          </w:tcPr>
          <w:p>
            <w:pPr>
              <w:jc w:val="center"/>
            </w:pPr>
            <w:r>
              <w:rPr>
                <w:rFonts w:ascii="Times New Roman" w:hAnsi="Times New Roman"/>
                <w:b/>
                <w:sz w:val="22"/>
              </w:rPr>
              <w:t>Giai đoạn 4</w:t>
            </w:r>
          </w:p>
        </w:tc>
        <w:tc>
          <w:tcPr>
            <w:tcW w:type="dxa" w:w="4176"/>
            <w:tcMar>
              <w:top w:w="100" w:type="dxa"/>
              <w:bottom w:w="100" w:type="dxa"/>
              <w:left w:w="80" w:type="dxa"/>
              <w:right w:w="80" w:type="dxa"/>
            </w:tcMar>
          </w:tcPr>
          <w:p>
            <w:pPr>
              <w:jc w:val="left"/>
            </w:pPr>
            <w:r>
              <w:rPr>
                <w:rFonts w:ascii="Times New Roman" w:hAnsi="Times New Roman"/>
                <w:sz w:val="22"/>
              </w:rPr>
              <w:t>Nghiệm thu toàn diện (UAT), Go-live chính thức toàn hệ thống tại 3 miền</w:t>
            </w:r>
          </w:p>
        </w:tc>
        <w:tc>
          <w:tcPr>
            <w:tcW w:type="dxa" w:w="2160"/>
            <w:tcMar>
              <w:top w:w="100" w:type="dxa"/>
              <w:bottom w:w="100" w:type="dxa"/>
              <w:left w:w="80" w:type="dxa"/>
              <w:right w:w="80" w:type="dxa"/>
            </w:tcMar>
          </w:tcPr>
          <w:p>
            <w:pPr>
              <w:jc w:val="center"/>
            </w:pPr>
            <w:r>
              <w:rPr>
                <w:rFonts w:ascii="Times New Roman" w:hAnsi="Times New Roman"/>
                <w:b/>
                <w:sz w:val="22"/>
              </w:rPr>
              <w:t>15/01/2027</w:t>
            </w:r>
          </w:p>
        </w:tc>
        <w:tc>
          <w:tcPr>
            <w:tcW w:type="dxa" w:w="1728"/>
            <w:tcMar>
              <w:top w:w="100" w:type="dxa"/>
              <w:bottom w:w="100" w:type="dxa"/>
              <w:left w:w="80" w:type="dxa"/>
              <w:right w:w="80" w:type="dxa"/>
            </w:tcMar>
          </w:tcPr>
          <w:p>
            <w:pPr>
              <w:jc w:val="center"/>
            </w:pPr>
            <w:r>
              <w:rPr>
                <w:rFonts w:ascii="Times New Roman" w:hAnsi="Times New Roman"/>
                <w:sz w:val="22"/>
              </w:rPr>
              <w:t>Hội đồng nghiệm thu</w:t>
            </w:r>
          </w:p>
        </w:tc>
      </w:tr>
      <w:tr>
        <w:tc>
          <w:tcPr>
            <w:tcW w:type="dxa" w:w="1584"/>
            <w:tcMar>
              <w:top w:w="100" w:type="dxa"/>
              <w:bottom w:w="100" w:type="dxa"/>
              <w:left w:w="80" w:type="dxa"/>
              <w:right w:w="80" w:type="dxa"/>
            </w:tcMar>
          </w:tcPr>
          <w:p>
            <w:pPr>
              <w:jc w:val="center"/>
            </w:pPr>
            <w:r>
              <w:rPr>
                <w:rFonts w:ascii="Times New Roman" w:hAnsi="Times New Roman"/>
                <w:b/>
                <w:sz w:val="22"/>
              </w:rPr>
              <w:t>Bàn giao</w:t>
            </w:r>
          </w:p>
        </w:tc>
        <w:tc>
          <w:tcPr>
            <w:tcW w:type="dxa" w:w="4176"/>
            <w:tcMar>
              <w:top w:w="100" w:type="dxa"/>
              <w:bottom w:w="100" w:type="dxa"/>
              <w:left w:w="80" w:type="dxa"/>
              <w:right w:w="80" w:type="dxa"/>
            </w:tcMar>
          </w:tcPr>
          <w:p>
            <w:pPr>
              <w:jc w:val="left"/>
            </w:pPr>
            <w:r>
              <w:rPr>
                <w:rFonts w:ascii="Times New Roman" w:hAnsi="Times New Roman"/>
                <w:sz w:val="22"/>
              </w:rPr>
              <w:t>Hoàn thành đào tạo 180 nhân sự, chuyển giao tài liệu vận hành và đánh giá sau golive</w:t>
            </w:r>
          </w:p>
        </w:tc>
        <w:tc>
          <w:tcPr>
            <w:tcW w:type="dxa" w:w="2160"/>
            <w:tcMar>
              <w:top w:w="100" w:type="dxa"/>
              <w:bottom w:w="100" w:type="dxa"/>
              <w:left w:w="80" w:type="dxa"/>
              <w:right w:w="80" w:type="dxa"/>
            </w:tcMar>
          </w:tcPr>
          <w:p>
            <w:pPr>
              <w:jc w:val="center"/>
            </w:pPr>
            <w:r>
              <w:rPr>
                <w:rFonts w:ascii="Times New Roman" w:hAnsi="Times New Roman"/>
                <w:b/>
                <w:sz w:val="22"/>
              </w:rPr>
              <w:t>31/03/2027</w:t>
            </w:r>
          </w:p>
        </w:tc>
        <w:tc>
          <w:tcPr>
            <w:tcW w:type="dxa" w:w="1728"/>
            <w:tcMar>
              <w:top w:w="100" w:type="dxa"/>
              <w:bottom w:w="100" w:type="dxa"/>
              <w:left w:w="80" w:type="dxa"/>
              <w:right w:w="80" w:type="dxa"/>
            </w:tcMar>
          </w:tcPr>
          <w:p>
            <w:pPr>
              <w:jc w:val="center"/>
            </w:pPr>
            <w:r>
              <w:rPr>
                <w:rFonts w:ascii="Times New Roman" w:hAnsi="Times New Roman"/>
                <w:sz w:val="22"/>
              </w:rPr>
              <w:t>Ban QLDA &amp; Đào tạo</w:t>
            </w:r>
          </w:p>
        </w:tc>
      </w:tr>
    </w:tbl>
    <w:p>
      <w:pPr>
        <w:keepNext/>
        <w:spacing w:before="280" w:after="80"/>
      </w:pPr>
      <w:r>
        <w:rPr>
          <w:rFonts w:ascii="Times New Roman" w:hAnsi="Times New Roman"/>
          <w:b/>
          <w:color w:val="1F4E79"/>
          <w:sz w:val="27"/>
        </w:rPr>
        <w:t>VI. HIỆU QUẢ KINH TẾ VÀ KHẢ NĂNG THU HỒI VỐN</w:t>
      </w:r>
    </w:p>
    <w:p>
      <w:pPr>
        <w:spacing w:line="300" w:lineRule="auto" w:after="80"/>
        <w:ind w:firstLine="576"/>
        <w:jc w:val="both"/>
      </w:pPr>
      <w:r>
        <w:rPr>
          <w:rFonts w:ascii="Times New Roman" w:hAnsi="Times New Roman"/>
          <w:i w:val="0"/>
          <w:sz w:val="26"/>
        </w:rPr>
        <w:t>Dự án được đánh giá mang lại hiệu quả tài chính và kinh tế vượt trội thông qua việc cắt giảm chi phí nhân sự gián tiếp và gia tăng năng lực khai thác doanh số:</w:t>
      </w:r>
    </w:p>
    <w:p>
      <w:pPr>
        <w:pStyle w:val="ListBullet"/>
        <w:spacing w:line="288" w:lineRule="auto" w:after="60"/>
        <w:jc w:val="both"/>
      </w:pPr>
      <w:r>
        <w:rPr>
          <w:rFonts w:ascii="Times New Roman" w:hAnsi="Times New Roman"/>
          <w:b/>
          <w:sz w:val="26"/>
        </w:rPr>
        <w:t xml:space="preserve">Chi phí tiết kiệm trực tiếp: </w:t>
      </w:r>
      <w:r>
        <w:rPr>
          <w:rFonts w:ascii="Times New Roman" w:hAnsi="Times New Roman"/>
          <w:sz w:val="26"/>
        </w:rPr>
        <w:t xml:space="preserve"> Dự kiến tiết kiệm 4.650.000.000 đồng/năm chi phí nhân sự và chi phí văn phòng phẩm, in ấn tài liệu.</w:t>
      </w:r>
    </w:p>
    <w:p>
      <w:pPr>
        <w:pStyle w:val="ListBullet"/>
        <w:spacing w:line="288" w:lineRule="auto" w:after="60"/>
        <w:jc w:val="both"/>
      </w:pPr>
      <w:r>
        <w:rPr>
          <w:rFonts w:ascii="Times New Roman" w:hAnsi="Times New Roman"/>
          <w:b/>
          <w:sz w:val="26"/>
        </w:rPr>
        <w:t xml:space="preserve">Doanh thu gia tăng tiềm năng: </w:t>
      </w:r>
      <w:r>
        <w:rPr>
          <w:rFonts w:ascii="Times New Roman" w:hAnsi="Times New Roman"/>
          <w:sz w:val="26"/>
        </w:rPr>
        <w:t xml:space="preserve"> Dự kiến mang lại thêm 6.200.000.000 đồng/năm doanh thu nhờ tính năng tư vấn khách hàng tự động 24/7 không gián đoạn.</w:t>
      </w:r>
    </w:p>
    <w:p>
      <w:pPr>
        <w:pStyle w:val="ListBullet"/>
        <w:spacing w:line="288" w:lineRule="auto" w:after="60"/>
        <w:jc w:val="both"/>
      </w:pPr>
      <w:r>
        <w:rPr>
          <w:rFonts w:ascii="Times New Roman" w:hAnsi="Times New Roman"/>
          <w:b/>
          <w:sz w:val="26"/>
        </w:rPr>
        <w:t xml:space="preserve">Thời gian hoàn vốn (Payback Period): </w:t>
      </w:r>
      <w:r>
        <w:rPr>
          <w:rFonts w:ascii="Times New Roman" w:hAnsi="Times New Roman"/>
          <w:sz w:val="26"/>
        </w:rPr>
        <w:t xml:space="preserve"> Dự án có thời gian thu hồi vốn đầu tư là 18,5 tháng kể từ ngày Go-live chính thức.</w:t>
      </w:r>
    </w:p>
    <w:p>
      <w:pPr>
        <w:pStyle w:val="ListBullet"/>
        <w:spacing w:line="288" w:lineRule="auto" w:after="60"/>
        <w:jc w:val="both"/>
      </w:pPr>
      <w:r>
        <w:rPr>
          <w:rFonts w:ascii="Times New Roman" w:hAnsi="Times New Roman"/>
          <w:b/>
          <w:sz w:val="26"/>
        </w:rPr>
        <w:t xml:space="preserve">Chỉ số tài chính: </w:t>
      </w:r>
      <w:r>
        <w:rPr>
          <w:rFonts w:ascii="Times New Roman" w:hAnsi="Times New Roman"/>
          <w:sz w:val="26"/>
        </w:rPr>
        <w:t xml:space="preserve"> Tỷ suất hoàn vốn nội hàm đạt 28,4%; Giá trị hiện giá thuần (NPV) tính với lãi suất chiết khấu 10% đạt 8.920.000.000 đồng sau 3 năm vận hành.</w:t>
      </w:r>
    </w:p>
    <w:p>
      <w:pPr>
        <w:keepNext/>
        <w:spacing w:before="280" w:after="80"/>
      </w:pPr>
      <w:r>
        <w:rPr>
          <w:rFonts w:ascii="Times New Roman" w:hAnsi="Times New Roman"/>
          <w:b/>
          <w:color w:val="1F4E79"/>
          <w:sz w:val="27"/>
        </w:rPr>
        <w:t>VII. ĐÁNH GIÁ RỦI RO VÀ CÁC ĐIỀU KHOẢN CẦN LƯU Ý</w:t>
      </w:r>
    </w:p>
    <w:p>
      <w:pPr>
        <w:spacing w:line="300" w:lineRule="auto" w:after="80"/>
        <w:ind w:firstLine="576"/>
        <w:jc w:val="both"/>
      </w:pPr>
      <w:r>
        <w:rPr>
          <w:rFonts w:ascii="Times New Roman" w:hAnsi="Times New Roman"/>
          <w:i w:val="0"/>
          <w:sz w:val="26"/>
        </w:rPr>
        <w:t>Qua rà soát dự thảo hợp đồng cung cấp dịch vụ và giải pháp kỹ thuật, Ban Quản lý Dự án phát hiện một số rủi ro pháp lý và kỹ thuật trọng yếu cần báo cáo xin ý kiến chỉ đạo của Ban Tổng Giám đốc:</w:t>
      </w:r>
    </w:p>
    <w:p>
      <w:pPr>
        <w:pStyle w:val="ListBullet"/>
        <w:spacing w:line="288" w:lineRule="auto" w:after="60"/>
        <w:jc w:val="both"/>
      </w:pPr>
      <w:r>
        <w:rPr>
          <w:rFonts w:ascii="Times New Roman" w:hAnsi="Times New Roman"/>
          <w:b/>
          <w:sz w:val="26"/>
        </w:rPr>
        <w:t xml:space="preserve">1. Rủi ro tự động gia hạn bảo trì: </w:t>
      </w:r>
      <w:r>
        <w:rPr>
          <w:rFonts w:ascii="Times New Roman" w:hAnsi="Times New Roman"/>
          <w:sz w:val="26"/>
        </w:rPr>
        <w:t xml:space="preserve"> Tại Điều 8.2 dự thảo hợp đồng, gói dịch vụ bảo trì phần mềm và hạ tầng AI sau năm đầu tiên sẽ TỰ ĐỘNG GIA HẠN hàng năm với mức phí tăng 12%/năm, trừ khi Tập đoàn gửi thông báo từ chối bằng văn bản trước ít nhất 60 ngày trước ngày hết hạn hợp đồng. Đây là điều khoản tiềm ẩn rủi ro phát sinh chi phí nếu không có cơ chế theo dõi chặt chẽ.</w:t>
      </w:r>
    </w:p>
    <w:p>
      <w:pPr>
        <w:pStyle w:val="ListBullet"/>
        <w:spacing w:line="288" w:lineRule="auto" w:after="60"/>
        <w:jc w:val="both"/>
      </w:pPr>
      <w:r>
        <w:rPr>
          <w:rFonts w:ascii="Times New Roman" w:hAnsi="Times New Roman"/>
          <w:b/>
          <w:sz w:val="26"/>
        </w:rPr>
        <w:t xml:space="preserve">2. Điều khoản chế tài phạt vi phạm: </w:t>
      </w:r>
      <w:r>
        <w:rPr>
          <w:rFonts w:ascii="Times New Roman" w:hAnsi="Times New Roman"/>
          <w:sz w:val="26"/>
        </w:rPr>
        <w:t xml:space="preserve"> Tại Điều 12.1, mức phạt vi phạm tiến độ bàn giao của nhà thầu được khống chế tối đa không vượt quá 8% tổng giá trị hợp đồng, trong khi mức phạt chậm thanh toán của chủ đầu tư là 0,1%/ngày (không có trần khống chế). Điều khoản này đang nghiêng về phía nhà thầu, cần đàm phán sửa đổi để đảm bảo bình đẳng quyền lợi.</w:t>
      </w:r>
    </w:p>
    <w:p>
      <w:pPr>
        <w:pStyle w:val="ListBullet"/>
        <w:spacing w:line="288" w:lineRule="auto" w:after="60"/>
        <w:jc w:val="both"/>
      </w:pPr>
      <w:r>
        <w:rPr>
          <w:rFonts w:ascii="Times New Roman" w:hAnsi="Times New Roman"/>
          <w:b/>
          <w:sz w:val="26"/>
        </w:rPr>
        <w:t xml:space="preserve">3. Rủi ro hạ tầng kỹ thuật: </w:t>
      </w:r>
      <w:r>
        <w:rPr>
          <w:rFonts w:ascii="Times New Roman" w:hAnsi="Times New Roman"/>
          <w:sz w:val="26"/>
        </w:rPr>
        <w:t xml:space="preserve"> Việc sử dụng hạ tầng Private Cloud đặt tại Viettel IDC có độ sẵn sàng 99,99%, tuy nhiên chưa có phương án dự phòng thảm họa (Disaster Recovery) đồng bộ sang trung tâm dữ liệu thứ hai tại TP. Hồ Chí Minh trong giai đoạn 1.</w:t>
      </w:r>
    </w:p>
    <w:p>
      <w:pPr>
        <w:pStyle w:val="ListBullet"/>
        <w:spacing w:line="288" w:lineRule="auto" w:after="60"/>
        <w:jc w:val="both"/>
      </w:pPr>
      <w:r>
        <w:rPr>
          <w:rFonts w:ascii="Times New Roman" w:hAnsi="Times New Roman"/>
          <w:b/>
          <w:sz w:val="26"/>
        </w:rPr>
        <w:t xml:space="preserve">4. Hạn chót pháp lý then chốt (Phụ lục 2): </w:t>
      </w:r>
      <w:r>
        <w:rPr>
          <w:rFonts w:ascii="Times New Roman" w:hAnsi="Times New Roman"/>
          <w:sz w:val="26"/>
        </w:rPr>
        <w:t xml:space="preserve"> Mốc thời gian chôn sâu tại Phụ lục 2: Trước ngày 15 tháng 04 năm 2027, Tập đoàn bắt buộc phải hoàn thành việc phát hành Văn bản đánh giá chỉ số KPI thực tế để kích hoạt điều khoản bảo lưu 10% giá trị hợp đồng (tương đương 1.565.000.000 đồng) làm bảo lãnh chất lượng. Nếu quá thời hạn nêu trên mà Tập đoàn không có ý kiến bằng văn bản, Ngân hàng bảo lãnh sẽ tự động giải tỏa toàn bộ số tiền này cho Nhà thầu.</w:t>
      </w:r>
    </w:p>
    <w:p>
      <w:pPr>
        <w:keepNext/>
        <w:spacing w:before="280" w:after="80"/>
      </w:pPr>
      <w:r>
        <w:rPr>
          <w:rFonts w:ascii="Times New Roman" w:hAnsi="Times New Roman"/>
          <w:b/>
          <w:color w:val="1F4E79"/>
          <w:sz w:val="27"/>
        </w:rPr>
        <w:t>VIII. KIẾN NGHỊ VÀ ĐỀ XUẤT PHÊ DUYỆT</w:t>
      </w:r>
    </w:p>
    <w:p>
      <w:pPr>
        <w:spacing w:line="300" w:lineRule="auto" w:after="80"/>
        <w:ind w:firstLine="576"/>
        <w:jc w:val="both"/>
      </w:pPr>
      <w:r>
        <w:rPr>
          <w:rFonts w:ascii="Times New Roman" w:hAnsi="Times New Roman"/>
          <w:i w:val="0"/>
          <w:sz w:val="26"/>
        </w:rPr>
        <w:t>Trên cơ sở kết quả thẩm định toàn diện về mặt kỹ thuật, tài chính và pháp lý, Ban Quản lý Dự án &amp; CNTT kính trình Hội đồng Quản trị và Ban Tổng Giám đốc xem xét phê duyệt các nội dung sau:</w:t>
      </w:r>
    </w:p>
    <w:p>
      <w:pPr>
        <w:pStyle w:val="ListBullet"/>
        <w:spacing w:line="288" w:lineRule="auto" w:after="60"/>
        <w:jc w:val="both"/>
      </w:pPr>
      <w:r>
        <w:rPr>
          <w:rFonts w:ascii="Times New Roman" w:hAnsi="Times New Roman"/>
          <w:sz w:val="26"/>
        </w:rPr>
        <w:t xml:space="preserve"> Phê duyệt chủ trương đầu tư Dự án triển khai Hệ thống AI Workspace và Tự động hóa vận hành doanh nghiệp với tổng ngân sách điều chỉnh là 15.650.000.000 đồng (đã bao gồm khoản dự phòng mở rộng 150.000.000 đồng).</w:t>
      </w:r>
    </w:p>
    <w:p>
      <w:pPr>
        <w:pStyle w:val="ListBullet"/>
        <w:spacing w:line="288" w:lineRule="auto" w:after="60"/>
        <w:jc w:val="both"/>
      </w:pPr>
      <w:r>
        <w:rPr>
          <w:rFonts w:ascii="Times New Roman" w:hAnsi="Times New Roman"/>
          <w:sz w:val="26"/>
        </w:rPr>
        <w:t xml:space="preserve"> Giao Ban Tổng Giám đốc chỉ đạo Tổ đàm phán thương thảo lại Điều 8.2 (thời hạn báo hủy gia hạn) và Điều 12.1 (bình đẳng chế tài phạt) trước khi tiến hành ký kết chính thức.</w:t>
      </w:r>
    </w:p>
    <w:p>
      <w:pPr>
        <w:pStyle w:val="ListBullet"/>
        <w:spacing w:line="288" w:lineRule="auto" w:after="60"/>
        <w:jc w:val="both"/>
      </w:pPr>
      <w:r>
        <w:rPr>
          <w:rFonts w:ascii="Times New Roman" w:hAnsi="Times New Roman"/>
          <w:sz w:val="26"/>
        </w:rPr>
        <w:t xml:space="preserve"> Thành lập Ban Chỉ đạo Dự án do 01 Phó Tổng Giám đốc làm Trưởng ban và phân công cán bộ chuyên trách theo dõi sát sao mốc thời hạn 15/04/2027 đối với khoản tiền bảo lãnh ngân hàng.</w:t>
      </w:r>
    </w:p>
    <w:p>
      <w:pPr>
        <w:spacing w:before="280"/>
      </w:pPr>
    </w:p>
    <w:tbl>
      <w:tblPr>
        <w:tblW w:type="auto" w:w="0"/>
        <w:jc w:val="center"/>
        <w:tblLook w:firstColumn="1" w:firstRow="1" w:lastColumn="0" w:lastRow="0" w:noHBand="0" w:noVBand="1" w:val="04A0"/>
      </w:tblPr>
      <w:tblGrid>
        <w:gridCol w:w="4701"/>
        <w:gridCol w:w="4701"/>
      </w:tblGrid>
      <w:tr>
        <w:tc>
          <w:tcPr>
            <w:tcW w:type="dxa" w:w="4701"/>
          </w:tcPr>
          <w:p>
            <w:r>
              <w:rPr>
                <w:b/>
              </w:rPr>
              <w:t>Nơi nhận:</w:t>
              <w:br/>
            </w:r>
            <w:r>
              <w:rPr>
                <w:rFonts w:ascii="Times New Roman" w:hAnsi="Times New Roman"/>
                <w:i/>
                <w:sz w:val="20"/>
              </w:rPr>
              <w:t>- Như kính gửi;</w:t>
              <w:br/>
              <w:t>- HĐQT, Ban TGĐ (để b/c);</w:t>
              <w:br/>
              <w:t>- Khối TC-KT, Khối VH (để p/h);</w:t>
              <w:br/>
              <w:t>- Lưu: VT, QLDA.</w:t>
            </w:r>
          </w:p>
        </w:tc>
        <w:tc>
          <w:tcPr>
            <w:tcW w:type="dxa" w:w="4701"/>
          </w:tcPr>
          <w:p>
            <w:pPr>
              <w:jc w:val="center"/>
            </w:pPr>
            <w:r>
              <w:rPr>
                <w:rFonts w:ascii="Times New Roman" w:hAnsi="Times New Roman"/>
                <w:b/>
                <w:sz w:val="24"/>
              </w:rPr>
              <w:t>TRƯỞNG BAN QUẢN LÝ DỰ ÁN &amp; CNTT</w:t>
              <w:br/>
            </w:r>
            <w:r>
              <w:rPr>
                <w:rFonts w:ascii="Times New Roman" w:hAnsi="Times New Roman"/>
                <w:i/>
                <w:sz w:val="22"/>
              </w:rPr>
              <w:t>(Ký, ghi rõ họ tên)</w:t>
            </w:r>
          </w:p>
        </w:tc>
      </w:tr>
      <w:tr>
        <w:tc>
          <w:tcPr>
            <w:tcW w:type="dxa" w:w="4701"/>
          </w:tcPr>
          <w:p/>
        </w:tc>
        <w:tc>
          <w:tcPr>
            <w:tcW w:type="dxa" w:w="4701"/>
          </w:tcPr>
          <w:p>
            <w:pPr>
              <w:spacing w:before="900"/>
              <w:jc w:val="center"/>
            </w:pPr>
            <w:r>
              <w:rPr>
                <w:rFonts w:ascii="Times New Roman" w:hAnsi="Times New Roman"/>
                <w:b/>
                <w:sz w:val="24"/>
              </w:rPr>
              <w:t>ĐẶNG QUỐC HƯNG</w:t>
            </w:r>
          </w:p>
        </w:tc>
      </w:tr>
    </w:tbl>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