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2E8BA" w14:textId="58C0A170" w:rsidR="0097158C" w:rsidRPr="00047693" w:rsidRDefault="008A2E7D" w:rsidP="00351CCA">
      <w:pPr>
        <w:jc w:val="center"/>
        <w:rPr>
          <w:b/>
        </w:rPr>
      </w:pPr>
      <w:r>
        <w:rPr>
          <w:b/>
        </w:rPr>
        <w:t>FML</w:t>
      </w:r>
      <w:r w:rsidR="00394ABC">
        <w:rPr>
          <w:b/>
        </w:rPr>
        <w:t xml:space="preserve">: </w:t>
      </w:r>
      <w:r>
        <w:rPr>
          <w:b/>
        </w:rPr>
        <w:t xml:space="preserve">Federal Mineral Leasing Act </w:t>
      </w:r>
      <w:r w:rsidR="00362AC6" w:rsidRPr="00047693">
        <w:rPr>
          <w:b/>
        </w:rPr>
        <w:t>Payments</w:t>
      </w:r>
    </w:p>
    <w:p w14:paraId="490BED1A" w14:textId="77777777" w:rsidR="00C45CBB" w:rsidRDefault="00C45CBB"/>
    <w:p w14:paraId="63F8C4AE" w14:textId="6DEC5371" w:rsidR="00A724D5" w:rsidRDefault="00A724D5">
      <w:r>
        <w:rPr>
          <w:b/>
        </w:rPr>
        <w:t>One-Line Description:</w:t>
      </w:r>
    </w:p>
    <w:p w14:paraId="1E4A0672" w14:textId="4D8B5C9E" w:rsidR="00A724D5" w:rsidRDefault="00A724D5">
      <w:r>
        <w:t xml:space="preserve">The </w:t>
      </w:r>
      <w:r w:rsidR="003C1B54">
        <w:t xml:space="preserve">Federal Mineral Leasing Act </w:t>
      </w:r>
      <w:r>
        <w:t>(</w:t>
      </w:r>
      <w:r w:rsidR="000E5661">
        <w:t>FML</w:t>
      </w:r>
      <w:r>
        <w:t xml:space="preserve">) </w:t>
      </w:r>
      <w:r w:rsidR="00DA7ED7">
        <w:t xml:space="preserve">controls mining and drilling activities on federal lands, and </w:t>
      </w:r>
      <w:r w:rsidR="00635D2A">
        <w:t xml:space="preserve">a portion </w:t>
      </w:r>
      <w:r w:rsidR="005E72AB">
        <w:t xml:space="preserve">of </w:t>
      </w:r>
      <w:r w:rsidR="00DA7ED7">
        <w:t xml:space="preserve">leases and royalties </w:t>
      </w:r>
      <w:r w:rsidR="00635D2A">
        <w:t xml:space="preserve">are returned </w:t>
      </w:r>
      <w:r w:rsidR="00DA7ED7">
        <w:t>to the states in which extraction occurred</w:t>
      </w:r>
      <w:r>
        <w:t>.</w:t>
      </w:r>
    </w:p>
    <w:p w14:paraId="18E60893" w14:textId="77777777" w:rsidR="00A724D5" w:rsidRPr="00A724D5" w:rsidRDefault="00A724D5"/>
    <w:p w14:paraId="3E49B202" w14:textId="10C432BD" w:rsidR="00550328" w:rsidRPr="00D37F2D" w:rsidRDefault="00981F23">
      <w:pPr>
        <w:rPr>
          <w:b/>
        </w:rPr>
      </w:pPr>
      <w:r>
        <w:rPr>
          <w:b/>
        </w:rPr>
        <w:t>Short Description:</w:t>
      </w:r>
    </w:p>
    <w:p w14:paraId="0743EEFC" w14:textId="4935D7B5" w:rsidR="00773345" w:rsidRDefault="00236BBC">
      <w:r>
        <w:t>Although altered many times since 1920, t</w:t>
      </w:r>
      <w:r w:rsidR="00A15E36">
        <w:t xml:space="preserve">he </w:t>
      </w:r>
      <w:r w:rsidR="000E5661">
        <w:t xml:space="preserve">FML </w:t>
      </w:r>
      <w:r w:rsidR="00E61660">
        <w:t xml:space="preserve">Act </w:t>
      </w:r>
      <w:r w:rsidR="00847C89">
        <w:t xml:space="preserve">still </w:t>
      </w:r>
      <w:r w:rsidR="00B637A7">
        <w:t>guide</w:t>
      </w:r>
      <w:r w:rsidR="00847C89">
        <w:t xml:space="preserve">s </w:t>
      </w:r>
      <w:r w:rsidR="00B637A7">
        <w:t>management of mining and drill</w:t>
      </w:r>
      <w:r w:rsidR="002D4F06">
        <w:t>ing activities</w:t>
      </w:r>
      <w:r w:rsidR="00EA7EAD">
        <w:t xml:space="preserve">. It </w:t>
      </w:r>
      <w:r w:rsidR="00550697">
        <w:t xml:space="preserve">set rules for mining coal, </w:t>
      </w:r>
      <w:r w:rsidR="0019301D">
        <w:t xml:space="preserve">sodium, </w:t>
      </w:r>
      <w:r w:rsidR="00550697">
        <w:t xml:space="preserve">potassium, and shale oil, and for drilling and capturing petroleum, natural gas, and helium. </w:t>
      </w:r>
      <w:r w:rsidR="003432A1">
        <w:t>However, because the law only applies to the federal domain—including offshore drilling—it mainly affects only the eleven states of the Far West plus Alaska. Lease</w:t>
      </w:r>
      <w:r w:rsidR="00550697">
        <w:t xml:space="preserve"> and royalt</w:t>
      </w:r>
      <w:r w:rsidR="003432A1">
        <w:t>y revenues</w:t>
      </w:r>
      <w:r w:rsidR="00550697">
        <w:t xml:space="preserve"> </w:t>
      </w:r>
      <w:r w:rsidR="0090176B">
        <w:t>have been</w:t>
      </w:r>
      <w:r w:rsidR="00E92236">
        <w:t xml:space="preserve"> </w:t>
      </w:r>
      <w:r w:rsidR="001E0093">
        <w:t xml:space="preserve">an important </w:t>
      </w:r>
      <w:r w:rsidR="0019301D">
        <w:t>re</w:t>
      </w:r>
      <w:r w:rsidR="001E0093">
        <w:t xml:space="preserve">source for </w:t>
      </w:r>
      <w:r w:rsidR="00550697">
        <w:t xml:space="preserve">the federal </w:t>
      </w:r>
      <w:r w:rsidR="00CE5942">
        <w:t xml:space="preserve">treasury </w:t>
      </w:r>
      <w:r w:rsidR="00550697">
        <w:t xml:space="preserve">and </w:t>
      </w:r>
      <w:r w:rsidR="0019301D">
        <w:t xml:space="preserve">for </w:t>
      </w:r>
      <w:r w:rsidR="001E0093">
        <w:t xml:space="preserve">some </w:t>
      </w:r>
      <w:r w:rsidR="00F9279B">
        <w:t>states and counties</w:t>
      </w:r>
      <w:r w:rsidR="00B8442A">
        <w:t xml:space="preserve">, but </w:t>
      </w:r>
      <w:r w:rsidR="00E92236">
        <w:t xml:space="preserve">the </w:t>
      </w:r>
      <w:r w:rsidR="00EA5E12">
        <w:t>uneven</w:t>
      </w:r>
      <w:r w:rsidR="00160259">
        <w:t>ness</w:t>
      </w:r>
      <w:r w:rsidR="00E92236">
        <w:t xml:space="preserve"> </w:t>
      </w:r>
      <w:r w:rsidR="00160259">
        <w:t xml:space="preserve">of mineral </w:t>
      </w:r>
      <w:r w:rsidR="00E92236">
        <w:t xml:space="preserve">geology </w:t>
      </w:r>
      <w:r w:rsidR="00F9279B">
        <w:t xml:space="preserve">has </w:t>
      </w:r>
      <w:r w:rsidR="00E92236">
        <w:t>ensured that</w:t>
      </w:r>
      <w:r w:rsidR="00B8442A">
        <w:t xml:space="preserve"> the geography of FML payments </w:t>
      </w:r>
      <w:r w:rsidR="00E92236">
        <w:t xml:space="preserve">produced </w:t>
      </w:r>
      <w:r w:rsidR="00777409">
        <w:t xml:space="preserve">a </w:t>
      </w:r>
      <w:r w:rsidR="00160259">
        <w:t xml:space="preserve">patchy </w:t>
      </w:r>
      <w:r w:rsidR="00777409">
        <w:t xml:space="preserve">landscape of </w:t>
      </w:r>
      <w:r w:rsidR="00160259">
        <w:t>beneficiaries. Some states and counties have enjoyed consider</w:t>
      </w:r>
      <w:r w:rsidR="00C75429">
        <w:t xml:space="preserve">able </w:t>
      </w:r>
      <w:r w:rsidR="00C020E1">
        <w:t>remuneration, but</w:t>
      </w:r>
      <w:r w:rsidR="00C75429">
        <w:t xml:space="preserve"> most </w:t>
      </w:r>
      <w:r w:rsidR="00160259">
        <w:t xml:space="preserve">public lands counties in the West </w:t>
      </w:r>
      <w:r w:rsidR="00C75429">
        <w:t>receive</w:t>
      </w:r>
      <w:r w:rsidR="00160259">
        <w:t xml:space="preserve"> little or no </w:t>
      </w:r>
      <w:r w:rsidR="00C020E1">
        <w:t>revenues from the program</w:t>
      </w:r>
      <w:r w:rsidR="00777409">
        <w:t>.</w:t>
      </w:r>
    </w:p>
    <w:p w14:paraId="50200BC0" w14:textId="77777777" w:rsidR="0000202F" w:rsidRDefault="0000202F"/>
    <w:p w14:paraId="5FB244CE" w14:textId="55068746" w:rsidR="00981F23" w:rsidRPr="00981F23" w:rsidRDefault="00981F23">
      <w:pPr>
        <w:rPr>
          <w:b/>
        </w:rPr>
      </w:pPr>
      <w:r>
        <w:rPr>
          <w:b/>
        </w:rPr>
        <w:t>Full Description:</w:t>
      </w:r>
    </w:p>
    <w:p w14:paraId="0B12A891" w14:textId="79975EA4" w:rsidR="00C06EBF" w:rsidRDefault="00C06EBF" w:rsidP="00C06EBF">
      <w:r>
        <w:t xml:space="preserve">Until the early 1900s, </w:t>
      </w:r>
      <w:r w:rsidR="00E133E8">
        <w:t xml:space="preserve">the </w:t>
      </w:r>
      <w:r w:rsidR="007B5BDF">
        <w:t xml:space="preserve">federal </w:t>
      </w:r>
      <w:r w:rsidR="00E133E8">
        <w:t>government only minimally regulated</w:t>
      </w:r>
      <w:r>
        <w:t xml:space="preserve"> mining and drilling on </w:t>
      </w:r>
      <w:r w:rsidR="007B5BDF">
        <w:t xml:space="preserve">the public domain. </w:t>
      </w:r>
      <w:r w:rsidR="00862E9B">
        <w:t xml:space="preserve">In American legal theory settler claims ran from the soil to the center of the earth. </w:t>
      </w:r>
      <w:r w:rsidR="00DE7424">
        <w:t xml:space="preserve">Settlers were able to privatize mineral deposits by patenting land via fee-simple purchases or by filing </w:t>
      </w:r>
      <w:r w:rsidR="0054697D">
        <w:t>under the homestead</w:t>
      </w:r>
      <w:r w:rsidR="00DE7424">
        <w:t xml:space="preserve"> acts. </w:t>
      </w:r>
      <w:r w:rsidR="00862E9B">
        <w:t xml:space="preserve">States east of the Missouri River did most of the regulation of mining, and </w:t>
      </w:r>
      <w:r w:rsidR="002D4C4C">
        <w:t xml:space="preserve">they </w:t>
      </w:r>
      <w:r w:rsidR="00DE7424">
        <w:t xml:space="preserve">enjoyed exclusive access to </w:t>
      </w:r>
      <w:r w:rsidR="00862E9B">
        <w:t xml:space="preserve">revenues from fees and royalties. </w:t>
      </w:r>
      <w:r w:rsidR="00DE7424">
        <w:t>In practice t</w:t>
      </w:r>
      <w:r w:rsidR="00862E9B">
        <w:t xml:space="preserve">he federal treasury </w:t>
      </w:r>
      <w:r w:rsidR="00DE7424">
        <w:t>received little remuneration.</w:t>
      </w:r>
      <w:r w:rsidR="00862E9B">
        <w:t xml:space="preserve"> </w:t>
      </w:r>
      <w:r>
        <w:t>Prospecting for precious minerals, coal, petroleum</w:t>
      </w:r>
      <w:r w:rsidR="0054697D">
        <w:t>, and other minerals</w:t>
      </w:r>
      <w:r>
        <w:t xml:space="preserve"> </w:t>
      </w:r>
      <w:r w:rsidR="0054697D">
        <w:t xml:space="preserve">was still </w:t>
      </w:r>
      <w:r>
        <w:t xml:space="preserve">covered </w:t>
      </w:r>
      <w:r w:rsidR="003B5583">
        <w:t xml:space="preserve">only </w:t>
      </w:r>
      <w:r>
        <w:t xml:space="preserve">by the General Mining Law of 1872 (PL 42-152). The General Land Office </w:t>
      </w:r>
      <w:r w:rsidR="006D5286">
        <w:t xml:space="preserve">would </w:t>
      </w:r>
      <w:r w:rsidR="00F25841">
        <w:t>assess</w:t>
      </w:r>
      <w:r>
        <w:t xml:space="preserve"> a nominal fee</w:t>
      </w:r>
      <w:r w:rsidR="00F25841">
        <w:t xml:space="preserve"> </w:t>
      </w:r>
      <w:r w:rsidR="003B5583">
        <w:t xml:space="preserve">that </w:t>
      </w:r>
      <w:r w:rsidR="00F25841">
        <w:t>prospectors paid until they made a strike or abandoned the claim</w:t>
      </w:r>
      <w:r w:rsidR="00862E9B">
        <w:t>.</w:t>
      </w:r>
    </w:p>
    <w:p w14:paraId="65D97E3E" w14:textId="77777777" w:rsidR="00C06EBF" w:rsidRDefault="00C06EBF" w:rsidP="00AB5524"/>
    <w:p w14:paraId="53A46817" w14:textId="4EF93021" w:rsidR="00E02A73" w:rsidRDefault="006D5286" w:rsidP="00E02A73">
      <w:r>
        <w:t>B</w:t>
      </w:r>
      <w:r w:rsidR="00E02A73">
        <w:t xml:space="preserve">y 1900, the United States had an uncoordinated collection of mining laws that most observers agreed were ineffective and inappropriate. Fraud and waste were rampant, and opportunities for abuse seemed legion. Although most legislators and reformers </w:t>
      </w:r>
      <w:r w:rsidR="003E2B3A">
        <w:t>yearned</w:t>
      </w:r>
      <w:r w:rsidR="00E02A73">
        <w:t xml:space="preserve"> for a more systematic approach to managing natural resources, there was no consensus on how </w:t>
      </w:r>
      <w:r w:rsidR="003E2B3A">
        <w:t xml:space="preserve">it should be done </w:t>
      </w:r>
      <w:r w:rsidR="00E02A73">
        <w:t xml:space="preserve">or by </w:t>
      </w:r>
      <w:r w:rsidR="00401201">
        <w:t>whom</w:t>
      </w:r>
      <w:r w:rsidR="00E02A73">
        <w:t xml:space="preserve">. </w:t>
      </w:r>
      <w:r w:rsidR="00401201">
        <w:t>Some favored centralizing management under a rapidly growing federal government, while others wished to transfer authority for the public lands to the individual states. Reform</w:t>
      </w:r>
      <w:r w:rsidR="00D53EDE">
        <w:t xml:space="preserve"> thus</w:t>
      </w:r>
      <w:r w:rsidR="00E02A73">
        <w:t xml:space="preserve"> came in fits and starts, </w:t>
      </w:r>
      <w:r w:rsidR="00D53EDE">
        <w:t xml:space="preserve">often </w:t>
      </w:r>
      <w:r w:rsidR="00401201">
        <w:t xml:space="preserve">at first </w:t>
      </w:r>
      <w:r w:rsidR="00D53EDE">
        <w:t xml:space="preserve">imposed </w:t>
      </w:r>
      <w:r w:rsidR="00401201">
        <w:t xml:space="preserve">unilaterally </w:t>
      </w:r>
      <w:r w:rsidR="00D53EDE">
        <w:t>by administrative decree because of the lack of legislative consensus</w:t>
      </w:r>
      <w:r w:rsidR="00401201">
        <w:t>, but in the end everyone in the federal government understood that they needed guiding law</w:t>
      </w:r>
      <w:r w:rsidR="00D53EDE">
        <w:t>.</w:t>
      </w:r>
    </w:p>
    <w:p w14:paraId="2C58C030" w14:textId="77777777" w:rsidR="00C72B69" w:rsidRDefault="00C72B69" w:rsidP="00AB5524"/>
    <w:p w14:paraId="6C542517" w14:textId="61085476" w:rsidR="00862E9B" w:rsidRDefault="00971CBE" w:rsidP="00BC1D21">
      <w:r>
        <w:t>Federal mineral policy</w:t>
      </w:r>
      <w:r w:rsidR="00F96836">
        <w:t xml:space="preserve"> </w:t>
      </w:r>
      <w:r>
        <w:t xml:space="preserve">first </w:t>
      </w:r>
      <w:r w:rsidR="00F96836">
        <w:t>shift</w:t>
      </w:r>
      <w:r>
        <w:t>ed</w:t>
      </w:r>
      <w:r w:rsidR="00F96836">
        <w:t xml:space="preserve"> with</w:t>
      </w:r>
      <w:r w:rsidR="00D30119">
        <w:t xml:space="preserve"> </w:t>
      </w:r>
      <w:r w:rsidR="004F693E">
        <w:t>President</w:t>
      </w:r>
      <w:r w:rsidR="00AB5524">
        <w:t xml:space="preserve"> Theodore Roosevelt</w:t>
      </w:r>
      <w:r w:rsidR="004F693E">
        <w:t>’s decision</w:t>
      </w:r>
      <w:r w:rsidR="00AB5524">
        <w:t xml:space="preserve"> </w:t>
      </w:r>
      <w:r w:rsidR="00401201">
        <w:t xml:space="preserve">in 1907 </w:t>
      </w:r>
      <w:r w:rsidR="00AB5524">
        <w:t xml:space="preserve">to withdraw </w:t>
      </w:r>
      <w:r w:rsidR="00183112">
        <w:t xml:space="preserve">from settlement all </w:t>
      </w:r>
      <w:r w:rsidR="004F693E">
        <w:t xml:space="preserve">coal </w:t>
      </w:r>
      <w:r w:rsidR="00F96836">
        <w:t>deposits on the public domain.</w:t>
      </w:r>
      <w:r w:rsidR="004F693E">
        <w:t xml:space="preserve"> Roosevelt’s succ</w:t>
      </w:r>
      <w:r w:rsidR="00B523AF">
        <w:t>essor Howard Taft later completed the</w:t>
      </w:r>
      <w:r w:rsidR="004F693E">
        <w:t xml:space="preserve"> process by withdrawing remaining waterpower and petroleum sites</w:t>
      </w:r>
      <w:r w:rsidR="001A00F2">
        <w:t>.</w:t>
      </w:r>
      <w:r w:rsidR="004F693E">
        <w:t xml:space="preserve"> </w:t>
      </w:r>
      <w:r w:rsidR="00AB5524">
        <w:t>Congress</w:t>
      </w:r>
      <w:r w:rsidR="00F96836">
        <w:t xml:space="preserve"> slowly followed</w:t>
      </w:r>
      <w:r w:rsidR="006605E5">
        <w:t>, first</w:t>
      </w:r>
      <w:r w:rsidR="00183112">
        <w:t xml:space="preserve"> </w:t>
      </w:r>
      <w:r w:rsidR="00F96836">
        <w:t xml:space="preserve">by </w:t>
      </w:r>
      <w:r w:rsidR="00AB5524">
        <w:t>sever</w:t>
      </w:r>
      <w:r w:rsidR="00F96836">
        <w:t>ing</w:t>
      </w:r>
      <w:r w:rsidR="00AB5524">
        <w:t xml:space="preserve"> surface </w:t>
      </w:r>
      <w:r w:rsidR="00424CC9">
        <w:t xml:space="preserve">homestead </w:t>
      </w:r>
      <w:r w:rsidR="00AB5524">
        <w:t xml:space="preserve">rights from </w:t>
      </w:r>
      <w:r w:rsidR="00183112">
        <w:t xml:space="preserve">subsurface </w:t>
      </w:r>
      <w:r w:rsidR="00AB5524">
        <w:t>mineral rights</w:t>
      </w:r>
      <w:r w:rsidR="00F96836">
        <w:t xml:space="preserve">, </w:t>
      </w:r>
      <w:r w:rsidR="006605E5">
        <w:t xml:space="preserve">thereby </w:t>
      </w:r>
      <w:r w:rsidR="00F96836">
        <w:t xml:space="preserve">permanently </w:t>
      </w:r>
      <w:r w:rsidR="00424CC9">
        <w:t xml:space="preserve">reserving </w:t>
      </w:r>
      <w:r w:rsidR="00F96836">
        <w:t>the latter as federal resources</w:t>
      </w:r>
      <w:r w:rsidR="006605E5">
        <w:t>. The battle then shifted to establishing</w:t>
      </w:r>
      <w:r w:rsidR="004D5DCF">
        <w:t xml:space="preserve"> </w:t>
      </w:r>
      <w:r w:rsidR="00661260">
        <w:t xml:space="preserve">a </w:t>
      </w:r>
      <w:r w:rsidR="006605E5">
        <w:t xml:space="preserve">policy </w:t>
      </w:r>
      <w:r w:rsidR="00661260">
        <w:t>for managing those resources</w:t>
      </w:r>
      <w:r w:rsidR="00F96836">
        <w:t xml:space="preserve">. </w:t>
      </w:r>
      <w:r w:rsidR="00661260">
        <w:t xml:space="preserve">Westerners </w:t>
      </w:r>
      <w:r w:rsidR="00C43EF0">
        <w:t>mostly</w:t>
      </w:r>
      <w:r w:rsidR="00661260">
        <w:t xml:space="preserve"> favored the continuation of </w:t>
      </w:r>
      <w:r w:rsidR="00C43EF0">
        <w:t>policies that</w:t>
      </w:r>
      <w:r w:rsidR="00661260">
        <w:t xml:space="preserve"> </w:t>
      </w:r>
      <w:r w:rsidR="00C43EF0">
        <w:t>allowed</w:t>
      </w:r>
      <w:r w:rsidR="00661260">
        <w:t xml:space="preserve"> settlers to patent mineral claims, but most legislators from elsewhere in the country preferred to establish a policy of only leasing these claims. </w:t>
      </w:r>
      <w:r w:rsidR="00BC1D21">
        <w:t xml:space="preserve">There were many efforts </w:t>
      </w:r>
      <w:r w:rsidR="00BC1D21">
        <w:lastRenderedPageBreak/>
        <w:t xml:space="preserve">during the 1910s to </w:t>
      </w:r>
      <w:r w:rsidR="00862E9B">
        <w:t xml:space="preserve">pass such a bill, but none </w:t>
      </w:r>
      <w:r w:rsidR="00C43EF0">
        <w:t>succeeded</w:t>
      </w:r>
      <w:r w:rsidR="00BC1D21">
        <w:t xml:space="preserve"> </w:t>
      </w:r>
      <w:r w:rsidR="00862E9B">
        <w:t xml:space="preserve">as long as </w:t>
      </w:r>
      <w:r w:rsidR="00BC1D21">
        <w:t xml:space="preserve">the factions </w:t>
      </w:r>
      <w:r w:rsidR="00862E9B">
        <w:t xml:space="preserve">continued to fight </w:t>
      </w:r>
      <w:r w:rsidR="00BC1D21">
        <w:t xml:space="preserve">over </w:t>
      </w:r>
      <w:r w:rsidR="00862E9B">
        <w:t xml:space="preserve">the </w:t>
      </w:r>
      <w:r w:rsidR="00BC1D21">
        <w:t>leasing and revenue s</w:t>
      </w:r>
      <w:r w:rsidR="00862E9B">
        <w:t>haring provisions.</w:t>
      </w:r>
    </w:p>
    <w:p w14:paraId="279AEB98" w14:textId="77777777" w:rsidR="00862E9B" w:rsidRDefault="00862E9B" w:rsidP="00BC1D21"/>
    <w:p w14:paraId="20F9D6AA" w14:textId="05A8F6C0" w:rsidR="00CD1EE1" w:rsidRDefault="00BC1D21" w:rsidP="00CD1EE1">
      <w:r>
        <w:t xml:space="preserve">The Federal Mineral Leasing Act of 1920 (PL 66-146) represented </w:t>
      </w:r>
      <w:r w:rsidR="0042685E">
        <w:t>the</w:t>
      </w:r>
      <w:r>
        <w:t xml:space="preserve"> culmination of more </w:t>
      </w:r>
      <w:r w:rsidR="00862E9B">
        <w:t>than a decade of reform efforts</w:t>
      </w:r>
      <w:r w:rsidR="00A83DEA">
        <w:t xml:space="preserve"> that </w:t>
      </w:r>
      <w:r w:rsidR="00862E9B">
        <w:t>were</w:t>
      </w:r>
      <w:r w:rsidR="00A83DEA">
        <w:t>, in total,</w:t>
      </w:r>
      <w:r w:rsidR="00862E9B">
        <w:t xml:space="preserve"> </w:t>
      </w:r>
      <w:r w:rsidR="00C732EF">
        <w:t xml:space="preserve">arguably </w:t>
      </w:r>
      <w:r w:rsidR="00183112">
        <w:t xml:space="preserve">the most important </w:t>
      </w:r>
      <w:r w:rsidR="00F96836">
        <w:t xml:space="preserve">adjustments </w:t>
      </w:r>
      <w:r w:rsidR="00CC56C2">
        <w:t>ever</w:t>
      </w:r>
      <w:r w:rsidR="003F2B5D">
        <w:t xml:space="preserve"> made</w:t>
      </w:r>
      <w:r w:rsidR="00CC56C2">
        <w:t xml:space="preserve"> </w:t>
      </w:r>
      <w:r w:rsidR="00F96836">
        <w:t xml:space="preserve">to federal </w:t>
      </w:r>
      <w:r w:rsidR="00183112">
        <w:t>land policy</w:t>
      </w:r>
      <w:r w:rsidR="00AB5524">
        <w:t xml:space="preserve">. </w:t>
      </w:r>
      <w:r w:rsidR="00B137EE">
        <w:t xml:space="preserve">For the first time </w:t>
      </w:r>
      <w:r w:rsidR="00CC56C2">
        <w:t xml:space="preserve">American </w:t>
      </w:r>
      <w:r w:rsidR="00B137EE">
        <w:t xml:space="preserve">settlers </w:t>
      </w:r>
      <w:r w:rsidR="00747B8C">
        <w:t>could only own</w:t>
      </w:r>
      <w:r w:rsidR="00B137EE">
        <w:t xml:space="preserve"> the soil, </w:t>
      </w:r>
      <w:r w:rsidR="00D47291">
        <w:t xml:space="preserve">and western states </w:t>
      </w:r>
      <w:r w:rsidR="00747B8C">
        <w:t xml:space="preserve">would </w:t>
      </w:r>
      <w:r w:rsidR="00CC56C2">
        <w:t xml:space="preserve">never </w:t>
      </w:r>
      <w:r w:rsidR="00747B8C">
        <w:t>be able to regulate and tax</w:t>
      </w:r>
      <w:r w:rsidR="00D47291">
        <w:t xml:space="preserve"> subsurface mineral wealth </w:t>
      </w:r>
      <w:r w:rsidR="00747B8C">
        <w:t xml:space="preserve">in </w:t>
      </w:r>
      <w:r w:rsidR="007B17AC">
        <w:t xml:space="preserve">the </w:t>
      </w:r>
      <w:r w:rsidR="006F6623">
        <w:t xml:space="preserve">same </w:t>
      </w:r>
      <w:r w:rsidR="007B17AC">
        <w:t xml:space="preserve">way </w:t>
      </w:r>
      <w:r w:rsidR="00D47291">
        <w:t xml:space="preserve">states each of the Missouri River </w:t>
      </w:r>
      <w:r w:rsidR="007B17AC">
        <w:t>had long enjoyed</w:t>
      </w:r>
      <w:r w:rsidR="00D47291">
        <w:t>.</w:t>
      </w:r>
      <w:r w:rsidR="00F514C5">
        <w:t xml:space="preserve"> Local communities lost most in terms of their ability to control revenues from local mining operations on federal lands.</w:t>
      </w:r>
    </w:p>
    <w:p w14:paraId="388D9840" w14:textId="77777777" w:rsidR="00CD1EE1" w:rsidRDefault="00CD1EE1" w:rsidP="00AB5524"/>
    <w:p w14:paraId="6E908619" w14:textId="2508AF1F" w:rsidR="001626FB" w:rsidRDefault="001D0285">
      <w:r>
        <w:t xml:space="preserve">The history of the Federal Mineral Leasing Act (FML) </w:t>
      </w:r>
      <w:r w:rsidR="00F4218A">
        <w:t>is important for understanding the complex agendas behind Progressive era conservation legislation. P</w:t>
      </w:r>
      <w:r w:rsidR="00554D75">
        <w:t xml:space="preserve">residential decrees and congressional </w:t>
      </w:r>
      <w:r w:rsidR="00281F76">
        <w:t>acts</w:t>
      </w:r>
      <w:r w:rsidR="00CD1EE1">
        <w:t xml:space="preserve"> </w:t>
      </w:r>
      <w:r w:rsidR="00F4218A">
        <w:t xml:space="preserve">had </w:t>
      </w:r>
      <w:r w:rsidR="00554D75">
        <w:t xml:space="preserve">little </w:t>
      </w:r>
      <w:r w:rsidR="00F4218A">
        <w:t>impact on the conservation of</w:t>
      </w:r>
      <w:r w:rsidR="00D37F2D">
        <w:t xml:space="preserve"> </w:t>
      </w:r>
      <w:r w:rsidR="003F2B5D">
        <w:t xml:space="preserve">mineral </w:t>
      </w:r>
      <w:r w:rsidR="00D37F2D">
        <w:t>resources.</w:t>
      </w:r>
      <w:r w:rsidR="00CD1EE1">
        <w:t xml:space="preserve"> </w:t>
      </w:r>
      <w:r w:rsidR="009174F2">
        <w:t>The FML did</w:t>
      </w:r>
      <w:r w:rsidR="00CD1EE1">
        <w:t xml:space="preserve"> establish a stable framework fo</w:t>
      </w:r>
      <w:r w:rsidR="00281F76">
        <w:t>r managing minerals</w:t>
      </w:r>
      <w:r w:rsidR="009174F2">
        <w:t xml:space="preserve">, becoming the </w:t>
      </w:r>
      <w:r w:rsidR="007C0892">
        <w:t xml:space="preserve">consistent administrative structure for </w:t>
      </w:r>
      <w:r w:rsidR="00C74726">
        <w:t xml:space="preserve">leasing claims. Beyond that, though, </w:t>
      </w:r>
      <w:r w:rsidR="007C4058">
        <w:t>the assessment</w:t>
      </w:r>
      <w:r w:rsidR="00C74726">
        <w:t xml:space="preserve"> </w:t>
      </w:r>
      <w:r w:rsidR="007C4058">
        <w:t xml:space="preserve">is </w:t>
      </w:r>
      <w:r w:rsidR="00E773E6">
        <w:t>mixed</w:t>
      </w:r>
      <w:r w:rsidR="00C74726">
        <w:t xml:space="preserve">. </w:t>
      </w:r>
      <w:r w:rsidR="00F4218A">
        <w:t>During the 1910s</w:t>
      </w:r>
      <w:r w:rsidR="007A41FF">
        <w:t>,</w:t>
      </w:r>
      <w:r w:rsidR="00F4218A">
        <w:t xml:space="preserve"> congressional s</w:t>
      </w:r>
      <w:r w:rsidR="00CD1EE1">
        <w:t>upporters</w:t>
      </w:r>
      <w:r w:rsidR="00F4218A">
        <w:t xml:space="preserve"> of this legislation </w:t>
      </w:r>
      <w:r w:rsidR="007A41FF">
        <w:t xml:space="preserve">portrayed </w:t>
      </w:r>
      <w:r w:rsidR="00C74726">
        <w:t xml:space="preserve">leasing as </w:t>
      </w:r>
      <w:r w:rsidR="00CD1EE1">
        <w:t xml:space="preserve">a </w:t>
      </w:r>
      <w:r w:rsidR="007A41FF">
        <w:t xml:space="preserve">way </w:t>
      </w:r>
      <w:r w:rsidR="0057374C">
        <w:t xml:space="preserve">to </w:t>
      </w:r>
      <w:r w:rsidR="007A41FF">
        <w:t xml:space="preserve">relieve pressure on federal </w:t>
      </w:r>
      <w:r w:rsidR="00E668FB">
        <w:t xml:space="preserve">income </w:t>
      </w:r>
      <w:r w:rsidR="00CD1EE1">
        <w:t xml:space="preserve">taxes </w:t>
      </w:r>
      <w:r w:rsidR="007A41FF">
        <w:t xml:space="preserve">and </w:t>
      </w:r>
      <w:r w:rsidR="00CD1EE1">
        <w:t>the tariff</w:t>
      </w:r>
      <w:r w:rsidR="007A41FF">
        <w:t>, but t</w:t>
      </w:r>
      <w:r w:rsidR="00CD1EE1">
        <w:t xml:space="preserve">he final sharing formula </w:t>
      </w:r>
      <w:r w:rsidR="00B97EE5">
        <w:t xml:space="preserve">of the 1920 bill </w:t>
      </w:r>
      <w:r w:rsidR="00CD1EE1">
        <w:t xml:space="preserve">channeled only 10 percent of </w:t>
      </w:r>
      <w:r w:rsidR="00D1252F">
        <w:t xml:space="preserve">leasing and royalty </w:t>
      </w:r>
      <w:r w:rsidR="00CD1EE1">
        <w:t>revenues to the treasury</w:t>
      </w:r>
      <w:r w:rsidR="00D1252F">
        <w:t>. M</w:t>
      </w:r>
      <w:r w:rsidR="0057374C">
        <w:t xml:space="preserve">ost </w:t>
      </w:r>
      <w:r w:rsidR="00D1252F">
        <w:t xml:space="preserve">went to </w:t>
      </w:r>
      <w:r w:rsidR="00B97EE5">
        <w:t>the Reclamation Fund (52.5</w:t>
      </w:r>
      <w:r w:rsidR="00D1252F">
        <w:t>%</w:t>
      </w:r>
      <w:r w:rsidR="00B97EE5">
        <w:t>) or states (37.5</w:t>
      </w:r>
      <w:r w:rsidR="00D1252F">
        <w:t>%</w:t>
      </w:r>
      <w:r w:rsidR="00B97EE5">
        <w:t>)</w:t>
      </w:r>
      <w:r w:rsidR="00CD1EE1">
        <w:t xml:space="preserve">. </w:t>
      </w:r>
      <w:r w:rsidR="00E66DE7">
        <w:t xml:space="preserve">Supporters also argued that federal mineral leasing bills would thwart </w:t>
      </w:r>
      <w:r w:rsidR="00D1252F">
        <w:t xml:space="preserve">the type of </w:t>
      </w:r>
      <w:r w:rsidR="00CD1EE1">
        <w:t>monopolization</w:t>
      </w:r>
      <w:r w:rsidR="00D1252F">
        <w:t xml:space="preserve"> that plagued </w:t>
      </w:r>
      <w:r w:rsidR="0057374C">
        <w:t>East</w:t>
      </w:r>
      <w:r w:rsidR="00D1252F">
        <w:t>ern</w:t>
      </w:r>
      <w:r w:rsidR="0057374C">
        <w:t xml:space="preserve"> </w:t>
      </w:r>
      <w:r w:rsidR="00B97EE5">
        <w:t xml:space="preserve">and </w:t>
      </w:r>
      <w:r w:rsidR="0057374C">
        <w:t>Midwest</w:t>
      </w:r>
      <w:r w:rsidR="00D1252F">
        <w:t>ern</w:t>
      </w:r>
      <w:r w:rsidR="0057374C">
        <w:t xml:space="preserve"> </w:t>
      </w:r>
      <w:r w:rsidR="00D1252F">
        <w:t>resources</w:t>
      </w:r>
      <w:r w:rsidR="00E66DE7">
        <w:t>, but i</w:t>
      </w:r>
      <w:r w:rsidR="00B97EE5">
        <w:t>n practice</w:t>
      </w:r>
      <w:r w:rsidR="00E66DE7">
        <w:t xml:space="preserve"> </w:t>
      </w:r>
      <w:r w:rsidR="0057374C">
        <w:t xml:space="preserve">the </w:t>
      </w:r>
      <w:r w:rsidR="00E66DE7">
        <w:t xml:space="preserve">presidential </w:t>
      </w:r>
      <w:r w:rsidR="00CD1EE1">
        <w:t xml:space="preserve">withdrawals </w:t>
      </w:r>
      <w:r w:rsidR="00E66DE7">
        <w:t xml:space="preserve">created </w:t>
      </w:r>
      <w:r w:rsidR="00CD1EE1">
        <w:t xml:space="preserve">a </w:t>
      </w:r>
      <w:r w:rsidR="00B97EE5">
        <w:t xml:space="preserve">federal </w:t>
      </w:r>
      <w:r w:rsidR="00CD1EE1">
        <w:t>monopoly</w:t>
      </w:r>
      <w:r w:rsidR="00E66DE7">
        <w:t xml:space="preserve"> that</w:t>
      </w:r>
      <w:r w:rsidR="00CD1EE1">
        <w:t xml:space="preserve">, </w:t>
      </w:r>
      <w:r w:rsidR="00E66DE7">
        <w:t xml:space="preserve">combined with </w:t>
      </w:r>
      <w:r w:rsidR="00CD1EE1">
        <w:t xml:space="preserve">the high rates </w:t>
      </w:r>
      <w:r w:rsidR="00E66DE7">
        <w:t xml:space="preserve">federal administrators set for leasing claims, </w:t>
      </w:r>
      <w:r w:rsidR="00CD1EE1">
        <w:t>throttled competition</w:t>
      </w:r>
      <w:r w:rsidR="00E66DE7">
        <w:t xml:space="preserve"> and</w:t>
      </w:r>
      <w:r w:rsidR="00CD1EE1">
        <w:t xml:space="preserve"> </w:t>
      </w:r>
      <w:r w:rsidR="00E66DE7">
        <w:t>enabled</w:t>
      </w:r>
      <w:r w:rsidR="00CD1EE1">
        <w:t xml:space="preserve"> existing mines to hike prices. </w:t>
      </w:r>
      <w:r w:rsidR="008C2BBE">
        <w:t>Similarly, h</w:t>
      </w:r>
      <w:r w:rsidR="00CD1EE1">
        <w:t>opes of curbing fraud backfired with the Teapot Dome Scandal</w:t>
      </w:r>
      <w:r w:rsidR="006117B4">
        <w:t xml:space="preserve"> in the 1920s</w:t>
      </w:r>
      <w:r w:rsidR="00612FCA">
        <w:t>. T</w:t>
      </w:r>
      <w:r w:rsidR="00EA6779">
        <w:t xml:space="preserve">he most conspicuous </w:t>
      </w:r>
      <w:r w:rsidR="006117B4">
        <w:t xml:space="preserve">shortcoming, though, was </w:t>
      </w:r>
      <w:r w:rsidR="0092363B">
        <w:t xml:space="preserve">that </w:t>
      </w:r>
      <w:r w:rsidR="006117B4">
        <w:t xml:space="preserve">the </w:t>
      </w:r>
      <w:r w:rsidR="0092363B">
        <w:t>central premise of</w:t>
      </w:r>
      <w:r w:rsidR="00C614C8">
        <w:t xml:space="preserve"> </w:t>
      </w:r>
      <w:r w:rsidR="00CD1EE1">
        <w:t>rational</w:t>
      </w:r>
      <w:r w:rsidR="00D35E50">
        <w:t>izing</w:t>
      </w:r>
      <w:r w:rsidR="00CD1EE1">
        <w:t xml:space="preserve"> </w:t>
      </w:r>
      <w:r w:rsidR="00B262A2">
        <w:t xml:space="preserve">the extraction of </w:t>
      </w:r>
      <w:r w:rsidR="0092363B">
        <w:t>natural resource</w:t>
      </w:r>
      <w:r w:rsidR="00B262A2">
        <w:t>s</w:t>
      </w:r>
      <w:r w:rsidR="0092363B">
        <w:t xml:space="preserve"> was </w:t>
      </w:r>
      <w:r w:rsidR="00D35E50">
        <w:t xml:space="preserve">never </w:t>
      </w:r>
      <w:r w:rsidR="0092363B">
        <w:t>part</w:t>
      </w:r>
      <w:r w:rsidR="00D35E50">
        <w:t xml:space="preserve"> </w:t>
      </w:r>
      <w:r w:rsidR="0092363B">
        <w:t xml:space="preserve">of </w:t>
      </w:r>
      <w:r w:rsidR="00CD1EE1">
        <w:t xml:space="preserve">the FML </w:t>
      </w:r>
      <w:r w:rsidR="0092363B">
        <w:t xml:space="preserve">Act </w:t>
      </w:r>
      <w:r w:rsidR="00CD1EE1">
        <w:t xml:space="preserve">or any </w:t>
      </w:r>
      <w:r w:rsidR="00B262A2">
        <w:t xml:space="preserve">subsequent </w:t>
      </w:r>
      <w:r w:rsidR="00D35E50">
        <w:t>legislation</w:t>
      </w:r>
      <w:r w:rsidR="00CD1EE1">
        <w:t xml:space="preserve">. The federal government </w:t>
      </w:r>
      <w:r w:rsidR="0092363B">
        <w:t xml:space="preserve">has </w:t>
      </w:r>
      <w:r w:rsidR="00CD1EE1">
        <w:t xml:space="preserve">never </w:t>
      </w:r>
      <w:r w:rsidR="0092363B">
        <w:t>practiced</w:t>
      </w:r>
      <w:r w:rsidR="00C614C8">
        <w:t xml:space="preserve"> </w:t>
      </w:r>
      <w:r w:rsidR="00CD1EE1">
        <w:t>long-term planning of mineral</w:t>
      </w:r>
      <w:r w:rsidR="006117B4">
        <w:t xml:space="preserve"> extraction</w:t>
      </w:r>
      <w:r w:rsidR="00CD1EE1">
        <w:t>.</w:t>
      </w:r>
    </w:p>
    <w:p w14:paraId="4988E76C" w14:textId="77777777" w:rsidR="00996152" w:rsidRDefault="00996152">
      <w:bookmarkStart w:id="0" w:name="_GoBack"/>
      <w:bookmarkEnd w:id="0"/>
    </w:p>
    <w:p w14:paraId="76806C9B" w14:textId="37D370E4" w:rsidR="00981F23" w:rsidRPr="00981F23" w:rsidRDefault="00981F23">
      <w:pPr>
        <w:rPr>
          <w:b/>
        </w:rPr>
      </w:pPr>
      <w:r>
        <w:rPr>
          <w:b/>
        </w:rPr>
        <w:t>Bibliography:</w:t>
      </w:r>
    </w:p>
    <w:p w14:paraId="227AA68F" w14:textId="0253E67B" w:rsidR="00E652C2" w:rsidRDefault="00E652C2">
      <w:r>
        <w:t xml:space="preserve">“An Act to Promote the Mining of Coal, </w:t>
      </w:r>
      <w:proofErr w:type="spellStart"/>
      <w:r>
        <w:t>Phosphat</w:t>
      </w:r>
      <w:proofErr w:type="spellEnd"/>
      <w:r>
        <w:t xml:space="preserve">, Oil, Oil Shale, Gas, and Sodium on the Public Domain.” </w:t>
      </w:r>
      <w:proofErr w:type="gramStart"/>
      <w:r>
        <w:t>Public Law 66-146.</w:t>
      </w:r>
      <w:proofErr w:type="gramEnd"/>
      <w:r>
        <w:t xml:space="preserve"> </w:t>
      </w:r>
      <w:hyperlink r:id="rId5" w:history="1">
        <w:r w:rsidR="00AA32D2" w:rsidRPr="000349DA">
          <w:rPr>
            <w:rStyle w:val="Hyperlink"/>
          </w:rPr>
          <w:t>http://legisworks.org/congress/66/publaw-146.pdf</w:t>
        </w:r>
      </w:hyperlink>
      <w:r w:rsidR="00AA32D2">
        <w:t xml:space="preserve"> </w:t>
      </w:r>
      <w:r>
        <w:t>(accessed 7 September 2015).</w:t>
      </w:r>
    </w:p>
    <w:p w14:paraId="67BD9F86" w14:textId="77777777" w:rsidR="00AA32D2" w:rsidRDefault="00AA32D2"/>
    <w:p w14:paraId="06783335" w14:textId="5475A483" w:rsidR="00A83F53" w:rsidRDefault="00A83F53">
      <w:r>
        <w:t xml:space="preserve">“An Act to Promote the Development of the Mining Resources of the United States.” </w:t>
      </w:r>
      <w:proofErr w:type="gramStart"/>
      <w:r>
        <w:t xml:space="preserve">Public Law </w:t>
      </w:r>
      <w:r w:rsidR="00500405">
        <w:t>42</w:t>
      </w:r>
      <w:r>
        <w:t>-152.</w:t>
      </w:r>
      <w:proofErr w:type="gramEnd"/>
      <w:r>
        <w:t xml:space="preserve"> </w:t>
      </w:r>
      <w:hyperlink r:id="rId6" w:history="1">
        <w:r w:rsidRPr="000349DA">
          <w:rPr>
            <w:rStyle w:val="Hyperlink"/>
          </w:rPr>
          <w:t>http://legisworks.org/congress/42/session-2/chap-152.pdf</w:t>
        </w:r>
      </w:hyperlink>
      <w:r>
        <w:t xml:space="preserve"> (accessed 7 September 2015)</w:t>
      </w:r>
      <w:r w:rsidR="00D93EE1">
        <w:t>.</w:t>
      </w:r>
    </w:p>
    <w:p w14:paraId="4C512283" w14:textId="77777777" w:rsidR="00A83F53" w:rsidRDefault="00A83F53"/>
    <w:p w14:paraId="7BE6BF70" w14:textId="5A9785DB" w:rsidR="005500AC" w:rsidRPr="005500AC" w:rsidRDefault="005500AC">
      <w:r>
        <w:t xml:space="preserve">Bates, J. Leonard. </w:t>
      </w:r>
      <w:r>
        <w:rPr>
          <w:i/>
        </w:rPr>
        <w:t>The Origins of Teapot Dome: Progressives, Parties, and Petroleum, 1909-1921</w:t>
      </w:r>
      <w:r>
        <w:t xml:space="preserve">. Urbana. </w:t>
      </w:r>
      <w:proofErr w:type="gramStart"/>
      <w:r>
        <w:t>University of Illinois Press, 1963.</w:t>
      </w:r>
      <w:proofErr w:type="gramEnd"/>
    </w:p>
    <w:p w14:paraId="5E4B1470" w14:textId="77777777" w:rsidR="005500AC" w:rsidRDefault="005500AC"/>
    <w:p w14:paraId="5C2CD397" w14:textId="35720BC4" w:rsidR="000B107E" w:rsidRPr="000B107E" w:rsidRDefault="000B107E">
      <w:r>
        <w:rPr>
          <w:i/>
        </w:rPr>
        <w:t xml:space="preserve">Cuba Soil and Water Conservation District et al. </w:t>
      </w:r>
      <w:r>
        <w:t xml:space="preserve">v. </w:t>
      </w:r>
      <w:r>
        <w:rPr>
          <w:i/>
        </w:rPr>
        <w:t>Lewis</w:t>
      </w:r>
      <w:r>
        <w:t xml:space="preserve">, No. 07-2218, Tenth Circuit Court, 30 May 2008. </w:t>
      </w:r>
      <w:hyperlink r:id="rId7" w:history="1">
        <w:r w:rsidRPr="000349DA">
          <w:rPr>
            <w:rStyle w:val="Hyperlink"/>
          </w:rPr>
          <w:t>http://www.gpo.gov/fdsys/pkg/USCOURTS-ca10-07-02218/pdf/USCOURTS-ca10-07-02218-0.pdf</w:t>
        </w:r>
      </w:hyperlink>
      <w:r>
        <w:t xml:space="preserve"> (accessed </w:t>
      </w:r>
      <w:r w:rsidR="00BD6F33">
        <w:t>7 September 2015).</w:t>
      </w:r>
    </w:p>
    <w:p w14:paraId="3EBE4031" w14:textId="77777777" w:rsidR="000B107E" w:rsidRDefault="000B107E"/>
    <w:p w14:paraId="135FA546" w14:textId="1189DDDD" w:rsidR="00C233BA" w:rsidRPr="00AC204E" w:rsidRDefault="00C233BA">
      <w:r>
        <w:t xml:space="preserve">Haggerty, Julia, Patricia H. </w:t>
      </w:r>
      <w:proofErr w:type="spellStart"/>
      <w:r>
        <w:t>Gude</w:t>
      </w:r>
      <w:proofErr w:type="spellEnd"/>
      <w:r>
        <w:t xml:space="preserve">, </w:t>
      </w:r>
      <w:r w:rsidR="00AC204E">
        <w:t xml:space="preserve">Mark </w:t>
      </w:r>
      <w:proofErr w:type="spellStart"/>
      <w:r w:rsidR="00AC204E">
        <w:t>Delorey</w:t>
      </w:r>
      <w:proofErr w:type="spellEnd"/>
      <w:r w:rsidR="00AC204E">
        <w:t xml:space="preserve">, and Ray </w:t>
      </w:r>
      <w:proofErr w:type="spellStart"/>
      <w:r w:rsidR="00AC204E">
        <w:t>Rasker</w:t>
      </w:r>
      <w:proofErr w:type="spellEnd"/>
      <w:r w:rsidR="00AC204E">
        <w:t>.</w:t>
      </w:r>
      <w:r w:rsidR="00672CDC">
        <w:t xml:space="preserve"> “Long-Term Effects of Income Specialization in Oil and Gas Extraction: The U.S. West, 1980-2011.”</w:t>
      </w:r>
      <w:r w:rsidR="00AC204E">
        <w:t xml:space="preserve"> </w:t>
      </w:r>
      <w:r w:rsidR="00672CDC">
        <w:rPr>
          <w:i/>
        </w:rPr>
        <w:t>Energy Economics</w:t>
      </w:r>
      <w:r w:rsidR="00AC204E">
        <w:t xml:space="preserve"> </w:t>
      </w:r>
      <w:r w:rsidR="00672CDC">
        <w:t xml:space="preserve">45 (September 2014): </w:t>
      </w:r>
      <w:r w:rsidR="00C71C4E">
        <w:t>186-95.</w:t>
      </w:r>
    </w:p>
    <w:p w14:paraId="57543370" w14:textId="77777777" w:rsidR="00C233BA" w:rsidRDefault="00C233BA"/>
    <w:p w14:paraId="1B557060" w14:textId="41145EB3" w:rsidR="005051DF" w:rsidRPr="005051DF" w:rsidRDefault="005051DF">
      <w:r>
        <w:t xml:space="preserve">Hanson, Jason L. and Patty Limerick. </w:t>
      </w:r>
      <w:r>
        <w:rPr>
          <w:i/>
        </w:rPr>
        <w:t>What Every Westerner Should Know about Oil Shale: A Guide to Shale Country</w:t>
      </w:r>
      <w:r>
        <w:t xml:space="preserve">. </w:t>
      </w:r>
      <w:r w:rsidR="0071727D">
        <w:t xml:space="preserve">Report from the Center #10. </w:t>
      </w:r>
      <w:r>
        <w:t xml:space="preserve">Boulder. </w:t>
      </w:r>
      <w:proofErr w:type="gramStart"/>
      <w:r>
        <w:t xml:space="preserve">Center of the American West, </w:t>
      </w:r>
      <w:r w:rsidR="0071727D">
        <w:t>2009.</w:t>
      </w:r>
      <w:proofErr w:type="gramEnd"/>
      <w:r w:rsidR="00D653A5">
        <w:t xml:space="preserve"> </w:t>
      </w:r>
      <w:hyperlink r:id="rId8" w:history="1">
        <w:r w:rsidR="00D653A5" w:rsidRPr="000349DA">
          <w:rPr>
            <w:rStyle w:val="Hyperlink"/>
          </w:rPr>
          <w:t>http://www.centerwest.org/publications/oilshale/print/oilshale.pdf</w:t>
        </w:r>
      </w:hyperlink>
      <w:r w:rsidR="00D653A5">
        <w:t xml:space="preserve"> (accessed 7 September 2015).</w:t>
      </w:r>
    </w:p>
    <w:p w14:paraId="37C4D1D1" w14:textId="77777777" w:rsidR="005051DF" w:rsidRDefault="005051DF"/>
    <w:p w14:paraId="5473BF39" w14:textId="4F374EA5" w:rsidR="00CD3C20" w:rsidRPr="00CD3C20" w:rsidRDefault="00CD3C20">
      <w:proofErr w:type="spellStart"/>
      <w:r>
        <w:t>Ise</w:t>
      </w:r>
      <w:proofErr w:type="spellEnd"/>
      <w:r>
        <w:t xml:space="preserve">, John. </w:t>
      </w:r>
      <w:proofErr w:type="gramStart"/>
      <w:r>
        <w:rPr>
          <w:i/>
        </w:rPr>
        <w:t>The United States Oil Policy</w:t>
      </w:r>
      <w:r>
        <w:t>.</w:t>
      </w:r>
      <w:proofErr w:type="gramEnd"/>
      <w:r>
        <w:t xml:space="preserve"> New Haven. </w:t>
      </w:r>
      <w:proofErr w:type="gramStart"/>
      <w:r>
        <w:t>Yale University Press, 1926.</w:t>
      </w:r>
      <w:proofErr w:type="gramEnd"/>
    </w:p>
    <w:p w14:paraId="777BDE3F" w14:textId="77777777" w:rsidR="00CD3C20" w:rsidRDefault="00CD3C20"/>
    <w:p w14:paraId="0C4C90F6" w14:textId="4A8D5C6B" w:rsidR="00810874" w:rsidRPr="00810874" w:rsidRDefault="00810874">
      <w:proofErr w:type="spellStart"/>
      <w:r>
        <w:t>Leshy</w:t>
      </w:r>
      <w:proofErr w:type="spellEnd"/>
      <w:r>
        <w:t xml:space="preserve">, John D. </w:t>
      </w:r>
      <w:r>
        <w:rPr>
          <w:i/>
        </w:rPr>
        <w:t>The Mining Law: A Study in Perpetual Motion</w:t>
      </w:r>
      <w:r>
        <w:t xml:space="preserve">. New York. </w:t>
      </w:r>
      <w:proofErr w:type="spellStart"/>
      <w:proofErr w:type="gramStart"/>
      <w:r>
        <w:t>Routledge</w:t>
      </w:r>
      <w:proofErr w:type="spellEnd"/>
      <w:r>
        <w:t>, 1987.</w:t>
      </w:r>
      <w:proofErr w:type="gramEnd"/>
    </w:p>
    <w:p w14:paraId="7061F24C" w14:textId="77777777" w:rsidR="00810874" w:rsidRDefault="00810874"/>
    <w:p w14:paraId="6B34D7FC" w14:textId="2A1BE1CF" w:rsidR="006C5339" w:rsidRPr="006C5339" w:rsidRDefault="006C5339">
      <w:r>
        <w:t xml:space="preserve">Miller, David. W. “The Historical Development of the Oil and Gas Laws of the United States.” </w:t>
      </w:r>
      <w:r>
        <w:rPr>
          <w:i/>
        </w:rPr>
        <w:t>California Law Review</w:t>
      </w:r>
      <w:r>
        <w:t xml:space="preserve"> 51 (August 1963): 506-34.</w:t>
      </w:r>
    </w:p>
    <w:p w14:paraId="654EDFCC" w14:textId="77777777" w:rsidR="006C5339" w:rsidRDefault="006C5339"/>
    <w:p w14:paraId="285F3BEF" w14:textId="15AC96F6" w:rsidR="004A620C" w:rsidRPr="004A620C" w:rsidRDefault="004A620C">
      <w:proofErr w:type="gramStart"/>
      <w:r>
        <w:t xml:space="preserve">Nash, Gerald D. </w:t>
      </w:r>
      <w:r>
        <w:rPr>
          <w:i/>
        </w:rPr>
        <w:t>United States Oil Policy, 1890-1964</w:t>
      </w:r>
      <w:r>
        <w:t>.</w:t>
      </w:r>
      <w:proofErr w:type="gramEnd"/>
      <w:r>
        <w:t xml:space="preserve"> </w:t>
      </w:r>
      <w:r w:rsidR="00B359A3">
        <w:t xml:space="preserve">Pittsburgh. </w:t>
      </w:r>
      <w:proofErr w:type="gramStart"/>
      <w:r w:rsidR="00B359A3">
        <w:t>University of Pittsburgh, 1968.</w:t>
      </w:r>
      <w:proofErr w:type="gramEnd"/>
    </w:p>
    <w:p w14:paraId="688B01AF" w14:textId="77777777" w:rsidR="004A620C" w:rsidRDefault="004A620C"/>
    <w:p w14:paraId="03316ABA" w14:textId="003E59BD" w:rsidR="00B9518E" w:rsidRDefault="00B9518E">
      <w:r>
        <w:t>Roosevelt, Theodore.  “Coal Land Withdrawals Included by Proclamation w</w:t>
      </w:r>
      <w:r w:rsidR="006F5CCA">
        <w:t xml:space="preserve">ithin Forest Reserves Not to be </w:t>
      </w:r>
      <w:proofErr w:type="gramStart"/>
      <w:r w:rsidR="006F5CCA">
        <w:t>Excluded</w:t>
      </w:r>
      <w:proofErr w:type="gramEnd"/>
      <w:r w:rsidR="006F5CCA">
        <w:t xml:space="preserve"> from Operation of Said Proclamation.”</w:t>
      </w:r>
      <w:r w:rsidR="00D354B4">
        <w:t xml:space="preserve">  Executive Order 576, </w:t>
      </w:r>
      <w:r w:rsidR="006F5CCA">
        <w:t>2 March 1907.</w:t>
      </w:r>
    </w:p>
    <w:p w14:paraId="19D8150C" w14:textId="77777777" w:rsidR="00B9518E" w:rsidRDefault="00B9518E"/>
    <w:p w14:paraId="78EBC4FA" w14:textId="27F6205F" w:rsidR="00F03658" w:rsidRDefault="00F03658">
      <w:r>
        <w:t xml:space="preserve">Roosevelt, Theodore.  “Sixth Annual Message.”  3 December 1906.  </w:t>
      </w:r>
      <w:hyperlink r:id="rId9" w:history="1">
        <w:r w:rsidRPr="00A80EBE">
          <w:rPr>
            <w:rStyle w:val="Hyperlink"/>
          </w:rPr>
          <w:t>http://www.presidency.ucsb.edu/ws/?pid=29547</w:t>
        </w:r>
      </w:hyperlink>
      <w:r>
        <w:t xml:space="preserve"> (accessed 22 August 2015).</w:t>
      </w:r>
    </w:p>
    <w:p w14:paraId="07F0912D" w14:textId="77777777" w:rsidR="00F03658" w:rsidRDefault="00F03658"/>
    <w:p w14:paraId="56BF191F" w14:textId="1D6C2B7B" w:rsidR="00047BC5" w:rsidRPr="00047BC5" w:rsidRDefault="00354875" w:rsidP="00E816AC">
      <w:pPr>
        <w:widowControl w:val="0"/>
        <w:autoSpaceDE w:val="0"/>
        <w:autoSpaceDN w:val="0"/>
        <w:adjustRightInd w:val="0"/>
        <w:rPr>
          <w:rFonts w:cs="Times New Roman"/>
        </w:rPr>
      </w:pPr>
      <w:r>
        <w:rPr>
          <w:rFonts w:cs="Times New Roman"/>
        </w:rPr>
        <w:t>Shapiro, Michael E. “Energy Development on the Public Domain: Federal/State Cooperation and Conf</w:t>
      </w:r>
      <w:r w:rsidR="00755AE4">
        <w:rPr>
          <w:rFonts w:cs="Times New Roman"/>
        </w:rPr>
        <w:t xml:space="preserve">lict Regarding Environmental Land Use Control.” </w:t>
      </w:r>
      <w:r w:rsidR="00755AE4">
        <w:rPr>
          <w:rFonts w:cs="Times New Roman"/>
          <w:i/>
        </w:rPr>
        <w:t>Natural Resources Lawyer</w:t>
      </w:r>
      <w:r w:rsidR="00755AE4">
        <w:rPr>
          <w:rFonts w:cs="Times New Roman"/>
        </w:rPr>
        <w:t xml:space="preserve"> 9</w:t>
      </w:r>
      <w:r>
        <w:rPr>
          <w:rFonts w:cs="Times New Roman"/>
        </w:rPr>
        <w:t xml:space="preserve"> (</w:t>
      </w:r>
      <w:r w:rsidR="00800C30">
        <w:rPr>
          <w:rFonts w:cs="Times New Roman"/>
        </w:rPr>
        <w:t xml:space="preserve">July </w:t>
      </w:r>
      <w:r w:rsidR="00755AE4">
        <w:rPr>
          <w:rFonts w:cs="Times New Roman"/>
        </w:rPr>
        <w:t>1976</w:t>
      </w:r>
      <w:r>
        <w:rPr>
          <w:rFonts w:cs="Times New Roman"/>
        </w:rPr>
        <w:t>):</w:t>
      </w:r>
      <w:r w:rsidR="00800C30">
        <w:rPr>
          <w:rFonts w:cs="Times New Roman"/>
        </w:rPr>
        <w:t xml:space="preserve"> 397</w:t>
      </w:r>
      <w:r>
        <w:rPr>
          <w:rFonts w:cs="Times New Roman"/>
        </w:rPr>
        <w:t>-439.</w:t>
      </w:r>
    </w:p>
    <w:sectPr w:rsidR="00047BC5" w:rsidRPr="00047BC5" w:rsidSect="0019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B4"/>
    <w:rsid w:val="0000202F"/>
    <w:rsid w:val="00010DEA"/>
    <w:rsid w:val="00012752"/>
    <w:rsid w:val="000175DD"/>
    <w:rsid w:val="00026CDC"/>
    <w:rsid w:val="00034666"/>
    <w:rsid w:val="0003517F"/>
    <w:rsid w:val="00037860"/>
    <w:rsid w:val="00037BA9"/>
    <w:rsid w:val="00041827"/>
    <w:rsid w:val="000422F1"/>
    <w:rsid w:val="00043FE3"/>
    <w:rsid w:val="00047693"/>
    <w:rsid w:val="00047BC5"/>
    <w:rsid w:val="00051B64"/>
    <w:rsid w:val="000645E9"/>
    <w:rsid w:val="00064DD2"/>
    <w:rsid w:val="00080BAE"/>
    <w:rsid w:val="00083E87"/>
    <w:rsid w:val="00086265"/>
    <w:rsid w:val="00091648"/>
    <w:rsid w:val="00092072"/>
    <w:rsid w:val="000A5474"/>
    <w:rsid w:val="000B107E"/>
    <w:rsid w:val="000B47A3"/>
    <w:rsid w:val="000B4E6B"/>
    <w:rsid w:val="000B7CA6"/>
    <w:rsid w:val="000D737F"/>
    <w:rsid w:val="000D7D33"/>
    <w:rsid w:val="000E5661"/>
    <w:rsid w:val="000E7AA4"/>
    <w:rsid w:val="001013D8"/>
    <w:rsid w:val="00101F20"/>
    <w:rsid w:val="00102370"/>
    <w:rsid w:val="001025F6"/>
    <w:rsid w:val="00107F88"/>
    <w:rsid w:val="001119EF"/>
    <w:rsid w:val="001269A3"/>
    <w:rsid w:val="0014142E"/>
    <w:rsid w:val="0014421E"/>
    <w:rsid w:val="00146866"/>
    <w:rsid w:val="0015214E"/>
    <w:rsid w:val="00160259"/>
    <w:rsid w:val="001626FB"/>
    <w:rsid w:val="00166D6B"/>
    <w:rsid w:val="00170409"/>
    <w:rsid w:val="00175858"/>
    <w:rsid w:val="001769C3"/>
    <w:rsid w:val="00177E56"/>
    <w:rsid w:val="00183112"/>
    <w:rsid w:val="0019301D"/>
    <w:rsid w:val="001939B8"/>
    <w:rsid w:val="00194D3B"/>
    <w:rsid w:val="0019705B"/>
    <w:rsid w:val="001A00F2"/>
    <w:rsid w:val="001C14AC"/>
    <w:rsid w:val="001C1716"/>
    <w:rsid w:val="001C6EEB"/>
    <w:rsid w:val="001C7FFC"/>
    <w:rsid w:val="001D0285"/>
    <w:rsid w:val="001D6066"/>
    <w:rsid w:val="001E0093"/>
    <w:rsid w:val="001E06EE"/>
    <w:rsid w:val="001E27F8"/>
    <w:rsid w:val="001E556E"/>
    <w:rsid w:val="001E64AB"/>
    <w:rsid w:val="001F253C"/>
    <w:rsid w:val="001F5E49"/>
    <w:rsid w:val="00200673"/>
    <w:rsid w:val="0020477E"/>
    <w:rsid w:val="00206610"/>
    <w:rsid w:val="002122EA"/>
    <w:rsid w:val="0021364F"/>
    <w:rsid w:val="002214B1"/>
    <w:rsid w:val="00225616"/>
    <w:rsid w:val="00230C22"/>
    <w:rsid w:val="00236BBC"/>
    <w:rsid w:val="00237765"/>
    <w:rsid w:val="002418AD"/>
    <w:rsid w:val="002428D6"/>
    <w:rsid w:val="00245CBF"/>
    <w:rsid w:val="002475C1"/>
    <w:rsid w:val="00255CDD"/>
    <w:rsid w:val="002564DC"/>
    <w:rsid w:val="00272721"/>
    <w:rsid w:val="00280B39"/>
    <w:rsid w:val="00281F76"/>
    <w:rsid w:val="002871A4"/>
    <w:rsid w:val="00293286"/>
    <w:rsid w:val="002A2CFA"/>
    <w:rsid w:val="002A3CC1"/>
    <w:rsid w:val="002A4113"/>
    <w:rsid w:val="002B22EA"/>
    <w:rsid w:val="002C6193"/>
    <w:rsid w:val="002D0C48"/>
    <w:rsid w:val="002D4C4C"/>
    <w:rsid w:val="002D4F06"/>
    <w:rsid w:val="002E40BE"/>
    <w:rsid w:val="002F4D55"/>
    <w:rsid w:val="002F6974"/>
    <w:rsid w:val="002F6E29"/>
    <w:rsid w:val="00303EC0"/>
    <w:rsid w:val="00317E0E"/>
    <w:rsid w:val="00321048"/>
    <w:rsid w:val="003341BC"/>
    <w:rsid w:val="003432A1"/>
    <w:rsid w:val="00344AC7"/>
    <w:rsid w:val="0035110C"/>
    <w:rsid w:val="00351CCA"/>
    <w:rsid w:val="00352C1A"/>
    <w:rsid w:val="003542FB"/>
    <w:rsid w:val="00354875"/>
    <w:rsid w:val="00354C2B"/>
    <w:rsid w:val="00355D8A"/>
    <w:rsid w:val="00362AC6"/>
    <w:rsid w:val="00367BF9"/>
    <w:rsid w:val="00375EC4"/>
    <w:rsid w:val="00382FA4"/>
    <w:rsid w:val="003843CE"/>
    <w:rsid w:val="0038534E"/>
    <w:rsid w:val="00393546"/>
    <w:rsid w:val="00394ABC"/>
    <w:rsid w:val="00396DAA"/>
    <w:rsid w:val="003A2ECB"/>
    <w:rsid w:val="003A3F99"/>
    <w:rsid w:val="003A5902"/>
    <w:rsid w:val="003B5583"/>
    <w:rsid w:val="003C1B54"/>
    <w:rsid w:val="003C7563"/>
    <w:rsid w:val="003D009E"/>
    <w:rsid w:val="003E2B3A"/>
    <w:rsid w:val="003F2B5D"/>
    <w:rsid w:val="003F7618"/>
    <w:rsid w:val="00401201"/>
    <w:rsid w:val="004077F2"/>
    <w:rsid w:val="00412B6E"/>
    <w:rsid w:val="00424CC9"/>
    <w:rsid w:val="0042685E"/>
    <w:rsid w:val="0043276B"/>
    <w:rsid w:val="0043613D"/>
    <w:rsid w:val="0044234E"/>
    <w:rsid w:val="0044279F"/>
    <w:rsid w:val="0044304C"/>
    <w:rsid w:val="004612EC"/>
    <w:rsid w:val="00462597"/>
    <w:rsid w:val="004671A0"/>
    <w:rsid w:val="004702F1"/>
    <w:rsid w:val="004733FD"/>
    <w:rsid w:val="00481B2E"/>
    <w:rsid w:val="00490B03"/>
    <w:rsid w:val="0049684D"/>
    <w:rsid w:val="004A620C"/>
    <w:rsid w:val="004B2AC7"/>
    <w:rsid w:val="004B54A2"/>
    <w:rsid w:val="004B6D1F"/>
    <w:rsid w:val="004B7B68"/>
    <w:rsid w:val="004C4F86"/>
    <w:rsid w:val="004D0870"/>
    <w:rsid w:val="004D17BA"/>
    <w:rsid w:val="004D5DCF"/>
    <w:rsid w:val="004E136F"/>
    <w:rsid w:val="004E3123"/>
    <w:rsid w:val="004E4946"/>
    <w:rsid w:val="004E661A"/>
    <w:rsid w:val="004E7907"/>
    <w:rsid w:val="004F2BBF"/>
    <w:rsid w:val="004F693E"/>
    <w:rsid w:val="004F6CA4"/>
    <w:rsid w:val="00500405"/>
    <w:rsid w:val="005051DF"/>
    <w:rsid w:val="00521401"/>
    <w:rsid w:val="005273B3"/>
    <w:rsid w:val="00537814"/>
    <w:rsid w:val="0054697D"/>
    <w:rsid w:val="00547A7E"/>
    <w:rsid w:val="005500AC"/>
    <w:rsid w:val="00550328"/>
    <w:rsid w:val="00550697"/>
    <w:rsid w:val="00554D75"/>
    <w:rsid w:val="0055686A"/>
    <w:rsid w:val="00560618"/>
    <w:rsid w:val="00561C26"/>
    <w:rsid w:val="00563141"/>
    <w:rsid w:val="00570815"/>
    <w:rsid w:val="005720BC"/>
    <w:rsid w:val="0057374C"/>
    <w:rsid w:val="00574AB1"/>
    <w:rsid w:val="00593B3D"/>
    <w:rsid w:val="005A13F2"/>
    <w:rsid w:val="005A1874"/>
    <w:rsid w:val="005B1B83"/>
    <w:rsid w:val="005B3670"/>
    <w:rsid w:val="005C71A6"/>
    <w:rsid w:val="005D36B6"/>
    <w:rsid w:val="005E0D97"/>
    <w:rsid w:val="005E4040"/>
    <w:rsid w:val="005E72AB"/>
    <w:rsid w:val="005F1D55"/>
    <w:rsid w:val="005F437A"/>
    <w:rsid w:val="005F4951"/>
    <w:rsid w:val="006032FC"/>
    <w:rsid w:val="00604680"/>
    <w:rsid w:val="00606650"/>
    <w:rsid w:val="006117B4"/>
    <w:rsid w:val="00612FCA"/>
    <w:rsid w:val="00624B29"/>
    <w:rsid w:val="0062574A"/>
    <w:rsid w:val="00635D2A"/>
    <w:rsid w:val="0064009F"/>
    <w:rsid w:val="006559CC"/>
    <w:rsid w:val="006605E5"/>
    <w:rsid w:val="00661260"/>
    <w:rsid w:val="00666814"/>
    <w:rsid w:val="00667D1B"/>
    <w:rsid w:val="00672CDC"/>
    <w:rsid w:val="00673820"/>
    <w:rsid w:val="00682A40"/>
    <w:rsid w:val="00684B98"/>
    <w:rsid w:val="0069014A"/>
    <w:rsid w:val="006922FC"/>
    <w:rsid w:val="00692C45"/>
    <w:rsid w:val="006B070E"/>
    <w:rsid w:val="006B4C5D"/>
    <w:rsid w:val="006C4024"/>
    <w:rsid w:val="006C5339"/>
    <w:rsid w:val="006D5286"/>
    <w:rsid w:val="006E5072"/>
    <w:rsid w:val="006F5CCA"/>
    <w:rsid w:val="006F6623"/>
    <w:rsid w:val="00702E08"/>
    <w:rsid w:val="00711D6B"/>
    <w:rsid w:val="0071727D"/>
    <w:rsid w:val="0072001D"/>
    <w:rsid w:val="00733294"/>
    <w:rsid w:val="0074413F"/>
    <w:rsid w:val="00747B8C"/>
    <w:rsid w:val="00750F14"/>
    <w:rsid w:val="00751F4D"/>
    <w:rsid w:val="0075578E"/>
    <w:rsid w:val="00755AE4"/>
    <w:rsid w:val="00761AC8"/>
    <w:rsid w:val="00763A82"/>
    <w:rsid w:val="00771144"/>
    <w:rsid w:val="00772311"/>
    <w:rsid w:val="00773345"/>
    <w:rsid w:val="00775B6A"/>
    <w:rsid w:val="00777409"/>
    <w:rsid w:val="00777B48"/>
    <w:rsid w:val="007811D1"/>
    <w:rsid w:val="0078483F"/>
    <w:rsid w:val="00787133"/>
    <w:rsid w:val="00792F11"/>
    <w:rsid w:val="0079624D"/>
    <w:rsid w:val="007A3073"/>
    <w:rsid w:val="007A41FF"/>
    <w:rsid w:val="007B0C3D"/>
    <w:rsid w:val="007B17AC"/>
    <w:rsid w:val="007B5BDF"/>
    <w:rsid w:val="007C0892"/>
    <w:rsid w:val="007C0E92"/>
    <w:rsid w:val="007C4058"/>
    <w:rsid w:val="007C5CF1"/>
    <w:rsid w:val="007E4131"/>
    <w:rsid w:val="00800C30"/>
    <w:rsid w:val="00801026"/>
    <w:rsid w:val="0080629A"/>
    <w:rsid w:val="00806B83"/>
    <w:rsid w:val="00810874"/>
    <w:rsid w:val="00834B16"/>
    <w:rsid w:val="00835528"/>
    <w:rsid w:val="00847C89"/>
    <w:rsid w:val="00862E9B"/>
    <w:rsid w:val="00881976"/>
    <w:rsid w:val="0088480C"/>
    <w:rsid w:val="0088624A"/>
    <w:rsid w:val="008A2557"/>
    <w:rsid w:val="008A2E7D"/>
    <w:rsid w:val="008A44F6"/>
    <w:rsid w:val="008B6E99"/>
    <w:rsid w:val="008C0C93"/>
    <w:rsid w:val="008C2BBE"/>
    <w:rsid w:val="008D2410"/>
    <w:rsid w:val="008F02F0"/>
    <w:rsid w:val="0090176B"/>
    <w:rsid w:val="009163DA"/>
    <w:rsid w:val="009174F2"/>
    <w:rsid w:val="009221FA"/>
    <w:rsid w:val="0092363B"/>
    <w:rsid w:val="00936231"/>
    <w:rsid w:val="00946B19"/>
    <w:rsid w:val="00955D84"/>
    <w:rsid w:val="009606F0"/>
    <w:rsid w:val="009607F6"/>
    <w:rsid w:val="009663A4"/>
    <w:rsid w:val="00970CC5"/>
    <w:rsid w:val="00970E7A"/>
    <w:rsid w:val="0097158C"/>
    <w:rsid w:val="00971CBE"/>
    <w:rsid w:val="0097635C"/>
    <w:rsid w:val="00981BFA"/>
    <w:rsid w:val="00981F23"/>
    <w:rsid w:val="00990389"/>
    <w:rsid w:val="00995864"/>
    <w:rsid w:val="00996152"/>
    <w:rsid w:val="00997939"/>
    <w:rsid w:val="009A0249"/>
    <w:rsid w:val="009B31FE"/>
    <w:rsid w:val="009B5659"/>
    <w:rsid w:val="009D0144"/>
    <w:rsid w:val="009D2A24"/>
    <w:rsid w:val="009D5012"/>
    <w:rsid w:val="009E4B8F"/>
    <w:rsid w:val="009F1E13"/>
    <w:rsid w:val="009F4666"/>
    <w:rsid w:val="00A02605"/>
    <w:rsid w:val="00A15E36"/>
    <w:rsid w:val="00A24407"/>
    <w:rsid w:val="00A27FAB"/>
    <w:rsid w:val="00A41DE4"/>
    <w:rsid w:val="00A64899"/>
    <w:rsid w:val="00A70812"/>
    <w:rsid w:val="00A724D5"/>
    <w:rsid w:val="00A75461"/>
    <w:rsid w:val="00A83DEA"/>
    <w:rsid w:val="00A83F53"/>
    <w:rsid w:val="00A85038"/>
    <w:rsid w:val="00A919F8"/>
    <w:rsid w:val="00A951BC"/>
    <w:rsid w:val="00AA32D2"/>
    <w:rsid w:val="00AA46C0"/>
    <w:rsid w:val="00AB5524"/>
    <w:rsid w:val="00AB640C"/>
    <w:rsid w:val="00AC204E"/>
    <w:rsid w:val="00AC6B14"/>
    <w:rsid w:val="00AD4962"/>
    <w:rsid w:val="00AD6299"/>
    <w:rsid w:val="00AE2850"/>
    <w:rsid w:val="00AF127D"/>
    <w:rsid w:val="00AF1C66"/>
    <w:rsid w:val="00B03D7E"/>
    <w:rsid w:val="00B133EA"/>
    <w:rsid w:val="00B137EE"/>
    <w:rsid w:val="00B262A2"/>
    <w:rsid w:val="00B274A6"/>
    <w:rsid w:val="00B32F61"/>
    <w:rsid w:val="00B34B24"/>
    <w:rsid w:val="00B359A3"/>
    <w:rsid w:val="00B35DF4"/>
    <w:rsid w:val="00B4064E"/>
    <w:rsid w:val="00B44437"/>
    <w:rsid w:val="00B45317"/>
    <w:rsid w:val="00B523AF"/>
    <w:rsid w:val="00B61A4B"/>
    <w:rsid w:val="00B637A7"/>
    <w:rsid w:val="00B72CF4"/>
    <w:rsid w:val="00B759A8"/>
    <w:rsid w:val="00B76315"/>
    <w:rsid w:val="00B8442A"/>
    <w:rsid w:val="00B8674C"/>
    <w:rsid w:val="00B902B6"/>
    <w:rsid w:val="00B92981"/>
    <w:rsid w:val="00B92D4C"/>
    <w:rsid w:val="00B9518E"/>
    <w:rsid w:val="00B96F9D"/>
    <w:rsid w:val="00B97EE5"/>
    <w:rsid w:val="00BB4301"/>
    <w:rsid w:val="00BB467C"/>
    <w:rsid w:val="00BC1D21"/>
    <w:rsid w:val="00BC22BA"/>
    <w:rsid w:val="00BC22EB"/>
    <w:rsid w:val="00BC7C9D"/>
    <w:rsid w:val="00BD6F33"/>
    <w:rsid w:val="00BE47F9"/>
    <w:rsid w:val="00BE5082"/>
    <w:rsid w:val="00BF06D5"/>
    <w:rsid w:val="00BF2268"/>
    <w:rsid w:val="00BF3735"/>
    <w:rsid w:val="00C020E1"/>
    <w:rsid w:val="00C039A1"/>
    <w:rsid w:val="00C06EBF"/>
    <w:rsid w:val="00C13E2B"/>
    <w:rsid w:val="00C17841"/>
    <w:rsid w:val="00C2212C"/>
    <w:rsid w:val="00C233BA"/>
    <w:rsid w:val="00C35A08"/>
    <w:rsid w:val="00C43EF0"/>
    <w:rsid w:val="00C440A4"/>
    <w:rsid w:val="00C44B48"/>
    <w:rsid w:val="00C45CBB"/>
    <w:rsid w:val="00C5043B"/>
    <w:rsid w:val="00C54E80"/>
    <w:rsid w:val="00C614C8"/>
    <w:rsid w:val="00C62D4F"/>
    <w:rsid w:val="00C64876"/>
    <w:rsid w:val="00C661A3"/>
    <w:rsid w:val="00C71C4E"/>
    <w:rsid w:val="00C72B69"/>
    <w:rsid w:val="00C72FAB"/>
    <w:rsid w:val="00C732EF"/>
    <w:rsid w:val="00C7390F"/>
    <w:rsid w:val="00C74726"/>
    <w:rsid w:val="00C75429"/>
    <w:rsid w:val="00C926C3"/>
    <w:rsid w:val="00C92B48"/>
    <w:rsid w:val="00C977B4"/>
    <w:rsid w:val="00CA6DC8"/>
    <w:rsid w:val="00CC24C7"/>
    <w:rsid w:val="00CC3012"/>
    <w:rsid w:val="00CC4C3A"/>
    <w:rsid w:val="00CC56C2"/>
    <w:rsid w:val="00CC6714"/>
    <w:rsid w:val="00CC6914"/>
    <w:rsid w:val="00CD1EE1"/>
    <w:rsid w:val="00CD3C20"/>
    <w:rsid w:val="00CD636F"/>
    <w:rsid w:val="00CD72D9"/>
    <w:rsid w:val="00CE39A9"/>
    <w:rsid w:val="00CE5942"/>
    <w:rsid w:val="00CE6691"/>
    <w:rsid w:val="00CF11AA"/>
    <w:rsid w:val="00CF6E74"/>
    <w:rsid w:val="00D07935"/>
    <w:rsid w:val="00D1064E"/>
    <w:rsid w:val="00D110F0"/>
    <w:rsid w:val="00D114E7"/>
    <w:rsid w:val="00D11C8A"/>
    <w:rsid w:val="00D1252F"/>
    <w:rsid w:val="00D14229"/>
    <w:rsid w:val="00D23B35"/>
    <w:rsid w:val="00D30119"/>
    <w:rsid w:val="00D35078"/>
    <w:rsid w:val="00D354B4"/>
    <w:rsid w:val="00D35E50"/>
    <w:rsid w:val="00D37F2D"/>
    <w:rsid w:val="00D45691"/>
    <w:rsid w:val="00D47291"/>
    <w:rsid w:val="00D53DD6"/>
    <w:rsid w:val="00D53EDE"/>
    <w:rsid w:val="00D55FB2"/>
    <w:rsid w:val="00D653A5"/>
    <w:rsid w:val="00D70558"/>
    <w:rsid w:val="00D91D62"/>
    <w:rsid w:val="00D93EE1"/>
    <w:rsid w:val="00D97858"/>
    <w:rsid w:val="00DA553D"/>
    <w:rsid w:val="00DA7ED7"/>
    <w:rsid w:val="00DB2BCC"/>
    <w:rsid w:val="00DB6F4F"/>
    <w:rsid w:val="00DC7BBC"/>
    <w:rsid w:val="00DE7424"/>
    <w:rsid w:val="00DF1B97"/>
    <w:rsid w:val="00DF604F"/>
    <w:rsid w:val="00E02A73"/>
    <w:rsid w:val="00E133E8"/>
    <w:rsid w:val="00E1375D"/>
    <w:rsid w:val="00E15B00"/>
    <w:rsid w:val="00E175D3"/>
    <w:rsid w:val="00E17746"/>
    <w:rsid w:val="00E220A0"/>
    <w:rsid w:val="00E235E4"/>
    <w:rsid w:val="00E23DC9"/>
    <w:rsid w:val="00E27F3C"/>
    <w:rsid w:val="00E5608E"/>
    <w:rsid w:val="00E61660"/>
    <w:rsid w:val="00E652C2"/>
    <w:rsid w:val="00E668FB"/>
    <w:rsid w:val="00E66DE7"/>
    <w:rsid w:val="00E773E6"/>
    <w:rsid w:val="00E816AC"/>
    <w:rsid w:val="00E8504A"/>
    <w:rsid w:val="00E92236"/>
    <w:rsid w:val="00EA3AB7"/>
    <w:rsid w:val="00EA5E12"/>
    <w:rsid w:val="00EA6779"/>
    <w:rsid w:val="00EA7EAD"/>
    <w:rsid w:val="00EB72A9"/>
    <w:rsid w:val="00EC64ED"/>
    <w:rsid w:val="00ED51F5"/>
    <w:rsid w:val="00EE02F8"/>
    <w:rsid w:val="00EE569D"/>
    <w:rsid w:val="00EF33D7"/>
    <w:rsid w:val="00EF4374"/>
    <w:rsid w:val="00EF5257"/>
    <w:rsid w:val="00EF7A2E"/>
    <w:rsid w:val="00F00B1B"/>
    <w:rsid w:val="00F03658"/>
    <w:rsid w:val="00F165AD"/>
    <w:rsid w:val="00F25841"/>
    <w:rsid w:val="00F33D13"/>
    <w:rsid w:val="00F412EB"/>
    <w:rsid w:val="00F41C14"/>
    <w:rsid w:val="00F4218A"/>
    <w:rsid w:val="00F514C5"/>
    <w:rsid w:val="00F51FA9"/>
    <w:rsid w:val="00F5280A"/>
    <w:rsid w:val="00F55DBD"/>
    <w:rsid w:val="00F62B9F"/>
    <w:rsid w:val="00F71292"/>
    <w:rsid w:val="00F74FCF"/>
    <w:rsid w:val="00F771CD"/>
    <w:rsid w:val="00F8286F"/>
    <w:rsid w:val="00F87D1F"/>
    <w:rsid w:val="00F90B11"/>
    <w:rsid w:val="00F9270C"/>
    <w:rsid w:val="00F9279B"/>
    <w:rsid w:val="00F96836"/>
    <w:rsid w:val="00FA0687"/>
    <w:rsid w:val="00FA1890"/>
    <w:rsid w:val="00FB36AF"/>
    <w:rsid w:val="00FC0BA0"/>
    <w:rsid w:val="00FC4E93"/>
    <w:rsid w:val="00FC6052"/>
    <w:rsid w:val="00FD7A86"/>
    <w:rsid w:val="00FE2351"/>
    <w:rsid w:val="00FF3CF2"/>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BD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B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B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egisworks.org/congress/66/publaw-146.pdf" TargetMode="External"/><Relationship Id="rId6" Type="http://schemas.openxmlformats.org/officeDocument/2006/relationships/hyperlink" Target="http://legisworks.org/congress/42/session-2/chap-152.pdf" TargetMode="External"/><Relationship Id="rId7" Type="http://schemas.openxmlformats.org/officeDocument/2006/relationships/hyperlink" Target="http://www.gpo.gov/fdsys/pkg/USCOURTS-ca10-07-02218/pdf/USCOURTS-ca10-07-02218-0.pdf" TargetMode="External"/><Relationship Id="rId8" Type="http://schemas.openxmlformats.org/officeDocument/2006/relationships/hyperlink" Target="http://www.centerwest.org/publications/oilshale/print/oilshale.pdf" TargetMode="External"/><Relationship Id="rId9" Type="http://schemas.openxmlformats.org/officeDocument/2006/relationships/hyperlink" Target="http://www.presidency.ucsb.edu/ws/?pid=2954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1225</Words>
  <Characters>6983</Characters>
  <Application>Microsoft Macintosh Word</Application>
  <DocSecurity>0</DocSecurity>
  <Lines>58</Lines>
  <Paragraphs>16</Paragraphs>
  <ScaleCrop>false</ScaleCrop>
  <Company>Professor</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Taylor</dc:creator>
  <cp:keywords/>
  <dc:description/>
  <cp:lastModifiedBy>Joseph Taylor</cp:lastModifiedBy>
  <cp:revision>176</cp:revision>
  <dcterms:created xsi:type="dcterms:W3CDTF">2015-08-19T16:06:00Z</dcterms:created>
  <dcterms:modified xsi:type="dcterms:W3CDTF">2015-10-11T16:53:00Z</dcterms:modified>
</cp:coreProperties>
</file>