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İLERİ GÖRÜNTÜ İŞLEME DERS İZLENCESİ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İşlenecek konular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https://www.opengl-tutorial.org/beginners-tutorials/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Görüntü işlemeye giriş </w:t>
      </w:r>
      <w:hyperlink r:id="rId7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Gelişmiş görüntü işleme </w:t>
      </w:r>
      <w:hyperlink r:id="rId8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 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(notlar)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OpenCL'de paralel programlama </w:t>
      </w:r>
      <w:hyperlink r:id="rId10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Işık alanları </w:t>
      </w:r>
      <w:hyperlink r:id="rId11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 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(notlar)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Renk </w:t>
      </w:r>
      <w:hyperlink r:id="rId13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Erken algı modelleri </w:t>
      </w:r>
      <w:hyperlink r:id="rId14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HDR ve ton eşleme </w:t>
      </w:r>
      <w:hyperlink r:id="rId15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AR/VR </w:t>
      </w:r>
      <w:hyperlink r:id="rId16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Görüntüleme teknolojileri </w:t>
      </w:r>
      <w:hyperlink r:id="rId17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Rule="auto"/>
        <w:ind w:left="1080" w:hanging="360"/>
        <w:rPr>
          <w:rFonts w:ascii="Verdana" w:cs="Verdana" w:eastAsia="Verdana" w:hAnsi="Verdana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1717"/>
          <w:sz w:val="18"/>
          <w:szCs w:val="18"/>
          <w:rtl w:val="0"/>
        </w:rPr>
        <w:t xml:space="preserve">Stereo render </w:t>
      </w:r>
      <w:hyperlink r:id="rId18">
        <w:r w:rsidDel="00000000" w:rsidR="00000000" w:rsidRPr="00000000">
          <w:rPr>
            <w:rFonts w:ascii="Verdana" w:cs="Verdana" w:eastAsia="Verdana" w:hAnsi="Verdana"/>
            <w:color w:val="0072cf"/>
            <w:sz w:val="18"/>
            <w:szCs w:val="18"/>
            <w:u w:val="single"/>
            <w:rtl w:val="0"/>
          </w:rPr>
          <w:t xml:space="preserve">(slaytlar)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ind w:left="360" w:firstLine="0"/>
        <w:rPr>
          <w:rFonts w:ascii="Verdana" w:cs="Verdana" w:eastAsia="Verdana" w:hAnsi="Verdana"/>
          <w:b w:val="1"/>
          <w:color w:val="171717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171717"/>
          <w:sz w:val="18"/>
          <w:szCs w:val="18"/>
          <w:rtl w:val="0"/>
        </w:rPr>
        <w:t xml:space="preserve">Kaynaklar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59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Hainich, R. and Bimber, O. (2016)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Displays: Fundamentals and Applications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. CRC Press (2nd ed.).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Boreskov, A. and Shikin, E. (2013)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Computer Graphics: From Pixels to Programmable Graphics Hardware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. CRC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59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Reinhard, E., et. al. (2010)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High Dynamic Range Imaging: Acquisition, Display, and Image-Based Lighting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71717"/>
          <w:sz w:val="18"/>
          <w:szCs w:val="18"/>
          <w:highlight w:val="white"/>
          <w:u w:val="none"/>
          <w:vertAlign w:val="baseline"/>
          <w:rtl w:val="0"/>
        </w:rPr>
        <w:t xml:space="preserve">. Morgan Kaufmann (2nd ed.).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l.cam.ac.uk/teaching/2021/AdvGraphIP/04_Lightfields_1pp.pdf" TargetMode="External"/><Relationship Id="rId10" Type="http://schemas.openxmlformats.org/officeDocument/2006/relationships/hyperlink" Target="https://www.cl.cam.ac.uk/teaching/2021/AdvGraphIP/03_OpenCL_1pp.pdf" TargetMode="External"/><Relationship Id="rId13" Type="http://schemas.openxmlformats.org/officeDocument/2006/relationships/hyperlink" Target="https://www.cl.cam.ac.uk/teaching/2021/AdvGraphIP/05_Colour_1pp.pdf" TargetMode="External"/><Relationship Id="rId12" Type="http://schemas.openxmlformats.org/officeDocument/2006/relationships/hyperlink" Target="https://www.cl.cam.ac.uk/teaching/2021/AdvGraphIP/lf_rendering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.cam.ac.uk/teaching/2021/AdvGraphIP/grad_domain.pdf" TargetMode="External"/><Relationship Id="rId15" Type="http://schemas.openxmlformats.org/officeDocument/2006/relationships/hyperlink" Target="https://www.cl.cam.ac.uk/teaching/2021/AdvGraphIP/07_HDR_and_tone_mapping_1pp.pdf" TargetMode="External"/><Relationship Id="rId14" Type="http://schemas.openxmlformats.org/officeDocument/2006/relationships/hyperlink" Target="https://www.cl.cam.ac.uk/teaching/2021/AdvGraphIP/06_Models_early_perception_1pp.pdf" TargetMode="External"/><Relationship Id="rId17" Type="http://schemas.openxmlformats.org/officeDocument/2006/relationships/hyperlink" Target="https://www.cl.cam.ac.uk/teaching/2021/AdvGraphIP/09_Display_Technologies_1pp.pdf" TargetMode="External"/><Relationship Id="rId16" Type="http://schemas.openxmlformats.org/officeDocument/2006/relationships/hyperlink" Target="https://www.cl.cam.ac.uk/teaching/2021/AdvGraphIP/08_VR_intro_1pp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gl-tutorial.org/beginners-tutorials/" TargetMode="External"/><Relationship Id="rId18" Type="http://schemas.openxmlformats.org/officeDocument/2006/relationships/hyperlink" Target="https://www.cl.cam.ac.uk/teaching/2021/AdvGraphIP/10_Stereo_rendering_1pp.pdf" TargetMode="External"/><Relationship Id="rId7" Type="http://schemas.openxmlformats.org/officeDocument/2006/relationships/hyperlink" Target="https://www.cl.cam.ac.uk/teaching/2021/AdvGraphIP/01_Intro_to_image_processing_1pp.pdf" TargetMode="External"/><Relationship Id="rId8" Type="http://schemas.openxmlformats.org/officeDocument/2006/relationships/hyperlink" Target="https://www.cl.cam.ac.uk/teaching/2021/AdvGraphIP/02_Advanced_image_proc_1p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