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349F" w14:textId="18FAFCBC" w:rsidR="00E77D39" w:rsidRDefault="00FD765A" w:rsidP="00E77D39">
      <w:pPr>
        <w:spacing w:after="0" w:line="240" w:lineRule="auto"/>
        <w:ind w:left="142" w:right="-7"/>
        <w:rPr>
          <w:rFonts w:ascii="Garamond" w:hAnsi="Garamond" w:cs="Arial Hebrew Scholar"/>
          <w:sz w:val="24"/>
          <w:szCs w:val="24"/>
        </w:rPr>
      </w:pPr>
      <w:r w:rsidRPr="0004310B">
        <w:rPr>
          <w:rFonts w:ascii="Garamond" w:hAnsi="Garamond" w:cs="Arial Hebrew Scholar"/>
          <w:sz w:val="24"/>
          <w:szCs w:val="24"/>
        </w:rPr>
        <w:t xml:space="preserve">Referências </w:t>
      </w:r>
      <w:r w:rsidR="004D72F5">
        <w:rPr>
          <w:rFonts w:ascii="Garamond" w:hAnsi="Garamond" w:cs="Arial Hebrew Scholar"/>
          <w:sz w:val="24"/>
          <w:szCs w:val="24"/>
        </w:rPr>
        <w:t>dos T</w:t>
      </w:r>
      <w:r w:rsidR="001436AD">
        <w:rPr>
          <w:rFonts w:ascii="Garamond" w:hAnsi="Garamond" w:cs="Arial Hebrew Scholar"/>
          <w:sz w:val="24"/>
          <w:szCs w:val="24"/>
        </w:rPr>
        <w:t xml:space="preserve">extos </w:t>
      </w:r>
      <w:r w:rsidR="009A3773">
        <w:rPr>
          <w:rFonts w:ascii="Garamond" w:hAnsi="Garamond" w:cs="Arial Hebrew Scholar"/>
          <w:sz w:val="24"/>
          <w:szCs w:val="24"/>
        </w:rPr>
        <w:t xml:space="preserve">para a </w:t>
      </w:r>
      <w:bookmarkStart w:id="0" w:name="_GoBack"/>
      <w:bookmarkEnd w:id="0"/>
      <w:r w:rsidR="00867F08">
        <w:rPr>
          <w:rFonts w:ascii="Garamond" w:hAnsi="Garamond" w:cs="Arial Hebrew Scholar"/>
          <w:sz w:val="24"/>
          <w:szCs w:val="24"/>
        </w:rPr>
        <w:t>R</w:t>
      </w:r>
      <w:r w:rsidR="009A3773">
        <w:rPr>
          <w:rFonts w:ascii="Garamond" w:hAnsi="Garamond" w:cs="Arial Hebrew Scholar"/>
          <w:sz w:val="24"/>
          <w:szCs w:val="24"/>
        </w:rPr>
        <w:t>ede</w:t>
      </w:r>
      <w:r w:rsidR="00867F08">
        <w:rPr>
          <w:rFonts w:ascii="Garamond" w:hAnsi="Garamond" w:cs="Arial Hebrew Scholar"/>
          <w:sz w:val="24"/>
          <w:szCs w:val="24"/>
        </w:rPr>
        <w:t xml:space="preserve"> </w:t>
      </w:r>
      <w:r w:rsidR="009A3773">
        <w:rPr>
          <w:rFonts w:ascii="Garamond" w:hAnsi="Garamond" w:cs="Arial Hebrew Scholar"/>
          <w:sz w:val="24"/>
          <w:szCs w:val="24"/>
        </w:rPr>
        <w:t xml:space="preserve">Transdisciplinar </w:t>
      </w:r>
      <w:r w:rsidR="00867F08">
        <w:rPr>
          <w:rFonts w:ascii="Garamond" w:hAnsi="Garamond" w:cs="Arial Hebrew Scholar"/>
          <w:sz w:val="24"/>
          <w:szCs w:val="24"/>
        </w:rPr>
        <w:t>Intergeraciona</w:t>
      </w:r>
      <w:r w:rsidR="009A3773">
        <w:rPr>
          <w:rFonts w:ascii="Garamond" w:hAnsi="Garamond" w:cs="Arial Hebrew Scholar"/>
          <w:sz w:val="24"/>
          <w:szCs w:val="24"/>
        </w:rPr>
        <w:t>l</w:t>
      </w:r>
      <w:r w:rsidR="00867F08">
        <w:rPr>
          <w:rFonts w:ascii="Garamond" w:hAnsi="Garamond" w:cs="Arial Hebrew Scholar"/>
          <w:sz w:val="24"/>
          <w:szCs w:val="24"/>
        </w:rPr>
        <w:t xml:space="preserve"> </w:t>
      </w:r>
      <w:r w:rsidR="001436AD">
        <w:rPr>
          <w:rFonts w:ascii="Garamond" w:hAnsi="Garamond" w:cs="Arial Hebrew Scholar"/>
          <w:sz w:val="24"/>
          <w:szCs w:val="24"/>
        </w:rPr>
        <w:t xml:space="preserve">─ </w:t>
      </w:r>
      <w:r w:rsidR="009A3773">
        <w:rPr>
          <w:rFonts w:ascii="Garamond" w:hAnsi="Garamond" w:cs="Arial Hebrew Scholar"/>
          <w:sz w:val="24"/>
          <w:szCs w:val="24"/>
        </w:rPr>
        <w:t>RTIG/</w:t>
      </w:r>
      <w:r w:rsidR="001436AD">
        <w:rPr>
          <w:rFonts w:ascii="Garamond" w:hAnsi="Garamond" w:cs="Arial Hebrew Scholar"/>
          <w:sz w:val="24"/>
          <w:szCs w:val="24"/>
        </w:rPr>
        <w:t>CETRANS 201</w:t>
      </w:r>
      <w:r w:rsidR="00867F08">
        <w:rPr>
          <w:rFonts w:ascii="Garamond" w:hAnsi="Garamond" w:cs="Arial Hebrew Scholar"/>
          <w:sz w:val="24"/>
          <w:szCs w:val="24"/>
        </w:rPr>
        <w:t>8</w:t>
      </w:r>
    </w:p>
    <w:p w14:paraId="056EA709" w14:textId="77777777" w:rsidR="004D72F5" w:rsidRDefault="004D72F5" w:rsidP="00E77D39">
      <w:pPr>
        <w:spacing w:after="0" w:line="240" w:lineRule="auto"/>
        <w:ind w:left="142" w:right="-7"/>
        <w:rPr>
          <w:rFonts w:ascii="Garamond" w:hAnsi="Garamond" w:cs="Arial Hebrew Scholar"/>
          <w:sz w:val="24"/>
          <w:szCs w:val="24"/>
        </w:rPr>
      </w:pPr>
    </w:p>
    <w:p w14:paraId="010AADA2" w14:textId="77777777" w:rsidR="004D72F5" w:rsidRPr="0011475E" w:rsidRDefault="004D72F5" w:rsidP="00E77D39">
      <w:pPr>
        <w:spacing w:after="0" w:line="240" w:lineRule="auto"/>
        <w:ind w:left="142" w:right="-7"/>
        <w:rPr>
          <w:rFonts w:ascii="Garamond" w:hAnsi="Garamond"/>
          <w:b/>
          <w:bCs/>
          <w:sz w:val="24"/>
          <w:szCs w:val="24"/>
        </w:rPr>
      </w:pPr>
    </w:p>
    <w:p w14:paraId="11B3DD85" w14:textId="77777777" w:rsidR="00840ADB" w:rsidRDefault="00840ADB" w:rsidP="00840ADB">
      <w:pPr>
        <w:spacing w:after="0"/>
        <w:ind w:left="284"/>
        <w:jc w:val="both"/>
        <w:rPr>
          <w:rFonts w:ascii="Garamond" w:hAnsi="Garamond" w:cstheme="minorHAnsi"/>
        </w:rPr>
      </w:pPr>
    </w:p>
    <w:p w14:paraId="3C45FD9A" w14:textId="77777777" w:rsidR="00840ADB" w:rsidRPr="00840ADB" w:rsidRDefault="004D72F5" w:rsidP="00840ADB">
      <w:pPr>
        <w:spacing w:after="0"/>
        <w:ind w:left="284"/>
        <w:jc w:val="both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DOMINGUES, Ivan. </w:t>
      </w:r>
      <w:r w:rsidRPr="004D72F5">
        <w:rPr>
          <w:rFonts w:ascii="Garamond" w:hAnsi="Garamond" w:cstheme="minorHAnsi"/>
          <w:i/>
        </w:rPr>
        <w:t>O Continente e a Ilha</w:t>
      </w:r>
      <w:r>
        <w:rPr>
          <w:rFonts w:ascii="Garamond" w:hAnsi="Garamond" w:cstheme="minorHAnsi"/>
        </w:rPr>
        <w:t>. São Paulo. Edições Loyola, 2009.</w:t>
      </w:r>
    </w:p>
    <w:p w14:paraId="641ECA75" w14:textId="77777777" w:rsidR="00867F08" w:rsidRDefault="00867F08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0C49D402" w14:textId="77777777" w:rsidR="000E1EB2" w:rsidRDefault="00DB57F7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ECHEVERRIA, </w:t>
      </w:r>
      <w:r w:rsidR="004D72F5">
        <w:rPr>
          <w:rFonts w:ascii="Garamond" w:hAnsi="Garamond" w:cstheme="minorHAnsi"/>
          <w:sz w:val="24"/>
          <w:szCs w:val="24"/>
        </w:rPr>
        <w:t xml:space="preserve">Rafael. </w:t>
      </w:r>
      <w:r w:rsidR="004D72F5" w:rsidRPr="004D72F5">
        <w:rPr>
          <w:rFonts w:ascii="Garamond" w:hAnsi="Garamond" w:cstheme="minorHAnsi"/>
          <w:i/>
          <w:sz w:val="24"/>
          <w:szCs w:val="24"/>
        </w:rPr>
        <w:t>Mi Nietzsche</w:t>
      </w:r>
      <w:r w:rsidR="004D72F5">
        <w:rPr>
          <w:rFonts w:ascii="Garamond" w:hAnsi="Garamond" w:cstheme="minorHAnsi"/>
          <w:sz w:val="24"/>
          <w:szCs w:val="24"/>
        </w:rPr>
        <w:t>. La filosofia del devenir y el emprendimento. Argentina: Comunicaciones Noreste Ltda., 2111.</w:t>
      </w:r>
    </w:p>
    <w:p w14:paraId="0756FA9E" w14:textId="77777777" w:rsidR="00DB57F7" w:rsidRDefault="00DB57F7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2ED9211E" w14:textId="114C4AD6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 w:rsidRPr="009C762F">
        <w:rPr>
          <w:rFonts w:ascii="Garamond" w:hAnsi="Garamond" w:cstheme="minorHAnsi"/>
          <w:sz w:val="24"/>
          <w:szCs w:val="24"/>
        </w:rPr>
        <w:t xml:space="preserve">HEIDEGGER, Martin. </w:t>
      </w:r>
      <w:r w:rsidRPr="009C762F">
        <w:rPr>
          <w:rFonts w:ascii="Garamond" w:hAnsi="Garamond" w:cstheme="minorHAnsi"/>
          <w:i/>
          <w:sz w:val="24"/>
          <w:szCs w:val="24"/>
        </w:rPr>
        <w:t>A Caminho da Linguagem</w:t>
      </w:r>
      <w:r w:rsidRPr="009C762F">
        <w:rPr>
          <w:rFonts w:ascii="Garamond" w:hAnsi="Garamond" w:cstheme="minorHAnsi"/>
          <w:sz w:val="24"/>
          <w:szCs w:val="24"/>
        </w:rPr>
        <w:t>. Petrópolis: Editora Vozes, 2010</w:t>
      </w:r>
      <w:r w:rsidR="0039092E">
        <w:rPr>
          <w:rFonts w:ascii="Garamond" w:hAnsi="Garamond" w:cstheme="minorHAnsi"/>
          <w:sz w:val="24"/>
          <w:szCs w:val="24"/>
        </w:rPr>
        <w:t>.</w:t>
      </w:r>
    </w:p>
    <w:p w14:paraId="5AD84BB2" w14:textId="77777777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36DCD6AA" w14:textId="36DFC0D8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 w:rsidRPr="009C762F">
        <w:rPr>
          <w:rFonts w:ascii="Garamond" w:hAnsi="Garamond" w:cstheme="minorHAnsi"/>
          <w:sz w:val="24"/>
          <w:szCs w:val="24"/>
        </w:rPr>
        <w:t xml:space="preserve">HEIDEGGER, Martin. </w:t>
      </w:r>
      <w:r w:rsidRPr="009C762F">
        <w:rPr>
          <w:rFonts w:ascii="Garamond" w:hAnsi="Garamond" w:cstheme="minorHAnsi"/>
          <w:i/>
          <w:sz w:val="24"/>
          <w:szCs w:val="24"/>
        </w:rPr>
        <w:t>A Origem da Obra de Arte</w:t>
      </w:r>
      <w:r w:rsidRPr="009C762F">
        <w:rPr>
          <w:rFonts w:ascii="Garamond" w:hAnsi="Garamond" w:cstheme="minorHAnsi"/>
          <w:sz w:val="24"/>
          <w:szCs w:val="24"/>
        </w:rPr>
        <w:t>. São Paulo: Edições 70, 2010</w:t>
      </w:r>
      <w:r w:rsidR="0039092E">
        <w:rPr>
          <w:rFonts w:ascii="Garamond" w:hAnsi="Garamond" w:cstheme="minorHAnsi"/>
          <w:sz w:val="24"/>
          <w:szCs w:val="24"/>
        </w:rPr>
        <w:t>.</w:t>
      </w:r>
    </w:p>
    <w:p w14:paraId="5123F9EB" w14:textId="77777777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6C37951E" w14:textId="40F5F4C9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 w:rsidRPr="009C762F">
        <w:rPr>
          <w:rFonts w:ascii="Garamond" w:hAnsi="Garamond" w:cstheme="minorHAnsi"/>
          <w:sz w:val="24"/>
          <w:szCs w:val="24"/>
        </w:rPr>
        <w:t xml:space="preserve">HEIDEGGER, Martin. </w:t>
      </w:r>
      <w:r w:rsidRPr="009C762F">
        <w:rPr>
          <w:rFonts w:ascii="Garamond" w:hAnsi="Garamond" w:cstheme="minorHAnsi"/>
          <w:i/>
          <w:sz w:val="24"/>
          <w:szCs w:val="24"/>
        </w:rPr>
        <w:t>Ensaios e Conferências</w:t>
      </w:r>
      <w:r w:rsidRPr="009C762F">
        <w:rPr>
          <w:rFonts w:ascii="Garamond" w:hAnsi="Garamond" w:cstheme="minorHAnsi"/>
          <w:sz w:val="24"/>
          <w:szCs w:val="24"/>
        </w:rPr>
        <w:t>. Petrópolis: Editora Vozes, 2010</w:t>
      </w:r>
      <w:r w:rsidR="0039092E">
        <w:rPr>
          <w:rFonts w:ascii="Garamond" w:hAnsi="Garamond" w:cstheme="minorHAnsi"/>
          <w:sz w:val="24"/>
          <w:szCs w:val="24"/>
        </w:rPr>
        <w:t>.</w:t>
      </w:r>
    </w:p>
    <w:p w14:paraId="2B609D8E" w14:textId="77777777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34891B97" w14:textId="36BCA673" w:rsidR="00840ADB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 w:rsidRPr="009C762F">
        <w:rPr>
          <w:rFonts w:ascii="Garamond" w:hAnsi="Garamond" w:cstheme="minorHAnsi"/>
          <w:sz w:val="24"/>
          <w:szCs w:val="24"/>
        </w:rPr>
        <w:t xml:space="preserve">HEIDEGGER, Martin. </w:t>
      </w:r>
      <w:r w:rsidRPr="009C762F">
        <w:rPr>
          <w:rFonts w:ascii="Garamond" w:hAnsi="Garamond" w:cstheme="minorHAnsi"/>
          <w:i/>
          <w:sz w:val="24"/>
          <w:szCs w:val="24"/>
        </w:rPr>
        <w:t>Contribuições à Filosofia – Do Acontecimento Apropriador</w:t>
      </w:r>
      <w:r w:rsidRPr="009C762F">
        <w:rPr>
          <w:rFonts w:ascii="Garamond" w:hAnsi="Garamond" w:cstheme="minorHAnsi"/>
          <w:sz w:val="24"/>
          <w:szCs w:val="24"/>
        </w:rPr>
        <w:t xml:space="preserve">. Rio de Janeiro: Editora Via </w:t>
      </w:r>
      <w:proofErr w:type="spellStart"/>
      <w:r w:rsidRPr="009C762F">
        <w:rPr>
          <w:rFonts w:ascii="Garamond" w:hAnsi="Garamond" w:cstheme="minorHAnsi"/>
          <w:sz w:val="24"/>
          <w:szCs w:val="24"/>
        </w:rPr>
        <w:t>Vérita</w:t>
      </w:r>
      <w:proofErr w:type="spellEnd"/>
      <w:r w:rsidRPr="009C762F">
        <w:rPr>
          <w:rFonts w:ascii="Garamond" w:hAnsi="Garamond" w:cstheme="minorHAnsi"/>
          <w:sz w:val="24"/>
          <w:szCs w:val="24"/>
        </w:rPr>
        <w:t>, 2015</w:t>
      </w:r>
      <w:r w:rsidR="0039092E">
        <w:rPr>
          <w:rFonts w:ascii="Garamond" w:hAnsi="Garamond" w:cstheme="minorHAnsi"/>
          <w:sz w:val="24"/>
          <w:szCs w:val="24"/>
        </w:rPr>
        <w:t>.</w:t>
      </w:r>
    </w:p>
    <w:p w14:paraId="0AF442E1" w14:textId="77777777" w:rsidR="004D72F5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57B66F1A" w14:textId="77777777" w:rsidR="004D72F5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LUPASCO, Stéphane. O Homem e a Obra. São Paulo: Editora Triom, 2001.</w:t>
      </w:r>
    </w:p>
    <w:p w14:paraId="0CD12F96" w14:textId="77777777" w:rsidR="004D72F5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501B39A0" w14:textId="77777777" w:rsidR="004D72F5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 xml:space="preserve">MERLEAU-PONTY, Maurice. </w:t>
      </w:r>
      <w:r w:rsidRPr="004D72F5">
        <w:rPr>
          <w:rFonts w:ascii="Garamond" w:hAnsi="Garamond" w:cstheme="minorHAnsi"/>
          <w:i/>
          <w:sz w:val="24"/>
          <w:szCs w:val="24"/>
        </w:rPr>
        <w:t>Fenomenologia da Percepção</w:t>
      </w:r>
      <w:r>
        <w:rPr>
          <w:rFonts w:ascii="Garamond" w:hAnsi="Garamond" w:cstheme="minorHAnsi"/>
          <w:sz w:val="24"/>
          <w:szCs w:val="24"/>
        </w:rPr>
        <w:t>. Sao Paulo: Martins Fontes,1999.</w:t>
      </w:r>
    </w:p>
    <w:p w14:paraId="3F7E8871" w14:textId="77777777" w:rsidR="004D72F5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74451E4E" w14:textId="77777777" w:rsidR="004D72F5" w:rsidRPr="009C762F" w:rsidRDefault="004D72F5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NICOLESCU, Basarab. O Manifesto da Transdisciplinaridade. São Paulo: Editora Triom, 1999.</w:t>
      </w:r>
    </w:p>
    <w:p w14:paraId="1AA88C93" w14:textId="77777777" w:rsidR="00840ADB" w:rsidRPr="009C762F" w:rsidRDefault="00840ADB" w:rsidP="00840ADB">
      <w:pPr>
        <w:spacing w:after="0"/>
        <w:ind w:left="284"/>
        <w:jc w:val="both"/>
        <w:rPr>
          <w:rFonts w:ascii="Garamond" w:hAnsi="Garamond" w:cstheme="minorHAnsi"/>
          <w:sz w:val="24"/>
          <w:szCs w:val="24"/>
        </w:rPr>
      </w:pPr>
    </w:p>
    <w:p w14:paraId="4F25AF27" w14:textId="7E4A6509" w:rsidR="0057080C" w:rsidRPr="0057080C" w:rsidRDefault="0057080C" w:rsidP="0057080C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  <w:r>
        <w:rPr>
          <w:rFonts w:ascii="Garamond" w:hAnsi="Garamond" w:cs="Arial Hebrew Scholar"/>
          <w:sz w:val="24"/>
          <w:szCs w:val="24"/>
        </w:rPr>
        <w:t xml:space="preserve">TROCMÈ-FABRE, Hélène. </w:t>
      </w:r>
      <w:r w:rsidRPr="0057080C">
        <w:rPr>
          <w:rFonts w:ascii="Garamond" w:hAnsi="Garamond" w:cs="Arial Hebrew Scholar"/>
          <w:i/>
          <w:sz w:val="24"/>
          <w:szCs w:val="24"/>
        </w:rPr>
        <w:t>Né pour Apprendre</w:t>
      </w:r>
      <w:r>
        <w:rPr>
          <w:rFonts w:ascii="Garamond" w:hAnsi="Garamond" w:cs="Arial Hebrew Scholar"/>
          <w:sz w:val="24"/>
          <w:szCs w:val="24"/>
        </w:rPr>
        <w:t>. Lyon: Éditions Être e</w:t>
      </w:r>
      <w:r w:rsidR="0039092E">
        <w:rPr>
          <w:rFonts w:ascii="Garamond" w:hAnsi="Garamond" w:cs="Arial Hebrew Scholar"/>
          <w:sz w:val="24"/>
          <w:szCs w:val="24"/>
        </w:rPr>
        <w:t>t</w:t>
      </w:r>
      <w:r>
        <w:rPr>
          <w:rFonts w:ascii="Garamond" w:hAnsi="Garamond" w:cs="Arial Hebrew Scholar"/>
          <w:sz w:val="24"/>
          <w:szCs w:val="24"/>
        </w:rPr>
        <w:t xml:space="preserve"> Connaître, 1995</w:t>
      </w:r>
      <w:r w:rsidR="0039092E">
        <w:rPr>
          <w:rFonts w:ascii="Garamond" w:hAnsi="Garamond" w:cs="Arial Hebrew Scholar"/>
          <w:sz w:val="24"/>
          <w:szCs w:val="24"/>
        </w:rPr>
        <w:t>.</w:t>
      </w:r>
    </w:p>
    <w:p w14:paraId="73BD5D81" w14:textId="77777777" w:rsidR="0057080C" w:rsidRDefault="0057080C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p w14:paraId="42B9251C" w14:textId="0713139E" w:rsidR="00867F08" w:rsidRPr="00474D2D" w:rsidRDefault="00867F0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  <w:r>
        <w:rPr>
          <w:rFonts w:ascii="Garamond" w:hAnsi="Garamond" w:cs="Arial Hebrew Scholar"/>
          <w:sz w:val="24"/>
          <w:szCs w:val="24"/>
        </w:rPr>
        <w:t xml:space="preserve">TROCMÈ-FABRE, Hélène. </w:t>
      </w:r>
      <w:r w:rsidRPr="00867F08">
        <w:rPr>
          <w:rFonts w:ascii="Garamond" w:hAnsi="Garamond" w:cs="Arial Hebrew Scholar"/>
          <w:i/>
          <w:sz w:val="24"/>
          <w:szCs w:val="24"/>
        </w:rPr>
        <w:t>A Árvore do Saber-Aprender</w:t>
      </w:r>
      <w:r w:rsidR="00474D2D">
        <w:rPr>
          <w:rFonts w:ascii="Garamond" w:hAnsi="Garamond" w:cs="Arial Hebrew Scholar"/>
          <w:sz w:val="24"/>
          <w:szCs w:val="24"/>
        </w:rPr>
        <w:t>. São Paulo: Editora Triom, 2004</w:t>
      </w:r>
      <w:r w:rsidR="0039092E">
        <w:rPr>
          <w:rFonts w:ascii="Garamond" w:hAnsi="Garamond" w:cs="Arial Hebrew Scholar"/>
          <w:sz w:val="24"/>
          <w:szCs w:val="24"/>
        </w:rPr>
        <w:t>.</w:t>
      </w:r>
    </w:p>
    <w:p w14:paraId="53D177C4" w14:textId="77777777" w:rsidR="00867F08" w:rsidRDefault="00867F0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p w14:paraId="25EC76D1" w14:textId="01E445EE" w:rsidR="00867F08" w:rsidRDefault="00867F0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  <w:r>
        <w:rPr>
          <w:rFonts w:ascii="Garamond" w:hAnsi="Garamond" w:cs="Arial Hebrew Scholar"/>
          <w:sz w:val="24"/>
          <w:szCs w:val="24"/>
        </w:rPr>
        <w:t xml:space="preserve">TROCMÈ-FABRE, Hélène. </w:t>
      </w:r>
      <w:r w:rsidRPr="00867F08">
        <w:rPr>
          <w:rFonts w:ascii="Garamond" w:hAnsi="Garamond" w:cs="Arial Hebrew Scholar"/>
          <w:i/>
          <w:sz w:val="24"/>
          <w:szCs w:val="24"/>
        </w:rPr>
        <w:t>Re</w:t>
      </w:r>
      <w:r>
        <w:rPr>
          <w:rFonts w:ascii="Garamond" w:hAnsi="Garamond" w:cs="Arial Hebrew Scholar"/>
          <w:i/>
          <w:sz w:val="24"/>
          <w:szCs w:val="24"/>
        </w:rPr>
        <w:t>inventar</w:t>
      </w:r>
      <w:r w:rsidRPr="00867F08">
        <w:rPr>
          <w:rFonts w:ascii="Garamond" w:hAnsi="Garamond" w:cs="Arial Hebrew Scholar"/>
          <w:i/>
          <w:sz w:val="24"/>
          <w:szCs w:val="24"/>
        </w:rPr>
        <w:t xml:space="preserve"> o Oficio de Aprender</w:t>
      </w:r>
      <w:r w:rsidR="00474D2D">
        <w:rPr>
          <w:rFonts w:ascii="Garamond" w:hAnsi="Garamond" w:cs="Arial Hebrew Scholar"/>
          <w:sz w:val="24"/>
          <w:szCs w:val="24"/>
        </w:rPr>
        <w:t>. São Paulo: Editora Triom, 2010</w:t>
      </w:r>
      <w:r w:rsidR="0039092E">
        <w:rPr>
          <w:rFonts w:ascii="Garamond" w:hAnsi="Garamond" w:cs="Arial Hebrew Scholar"/>
          <w:sz w:val="24"/>
          <w:szCs w:val="24"/>
        </w:rPr>
        <w:t>.</w:t>
      </w:r>
    </w:p>
    <w:p w14:paraId="7B96F6E1" w14:textId="77777777" w:rsidR="0057080C" w:rsidRDefault="0057080C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p w14:paraId="698A1676" w14:textId="77777777" w:rsidR="00867F08" w:rsidRDefault="00867F0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p w14:paraId="718CAF77" w14:textId="77777777" w:rsidR="00867F08" w:rsidRPr="009C762F" w:rsidRDefault="00867F0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p w14:paraId="3D345913" w14:textId="77777777" w:rsidR="00FA6E58" w:rsidRPr="009C762F" w:rsidRDefault="00FA6E58" w:rsidP="00E77D39">
      <w:pPr>
        <w:spacing w:after="0" w:line="240" w:lineRule="auto"/>
        <w:ind w:left="284" w:right="-7"/>
        <w:rPr>
          <w:rFonts w:ascii="Garamond" w:hAnsi="Garamond" w:cs="Arial Hebrew Scholar"/>
          <w:sz w:val="24"/>
          <w:szCs w:val="24"/>
        </w:rPr>
      </w:pPr>
    </w:p>
    <w:sectPr w:rsidR="00FA6E58" w:rsidRPr="009C762F" w:rsidSect="00E77D39">
      <w:footerReference w:type="even" r:id="rId6"/>
      <w:footerReference w:type="default" r:id="rId7"/>
      <w:pgSz w:w="12240" w:h="15840"/>
      <w:pgMar w:top="1417" w:right="1701" w:bottom="1417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F9498" w14:textId="77777777" w:rsidR="00FF7563" w:rsidRDefault="00FF7563">
      <w:pPr>
        <w:spacing w:after="0" w:line="240" w:lineRule="auto"/>
      </w:pPr>
      <w:r>
        <w:separator/>
      </w:r>
    </w:p>
  </w:endnote>
  <w:endnote w:type="continuationSeparator" w:id="0">
    <w:p w14:paraId="55C40AC5" w14:textId="77777777" w:rsidR="00FF7563" w:rsidRDefault="00FF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628E2" w14:textId="77777777" w:rsidR="00020C2E" w:rsidRDefault="00D21D7D" w:rsidP="00BA3F4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0B39F2" w14:textId="77777777" w:rsidR="00020C2E" w:rsidRDefault="00FF7563" w:rsidP="00020C2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269673"/>
      <w:docPartObj>
        <w:docPartGallery w:val="Page Numbers (Bottom of Page)"/>
        <w:docPartUnique/>
      </w:docPartObj>
    </w:sdtPr>
    <w:sdtEndPr/>
    <w:sdtContent>
      <w:p w14:paraId="5BAC96D8" w14:textId="77777777" w:rsidR="000A1E00" w:rsidRDefault="000A1E0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2F5">
          <w:rPr>
            <w:noProof/>
          </w:rPr>
          <w:t>1</w:t>
        </w:r>
        <w:r>
          <w:fldChar w:fldCharType="end"/>
        </w:r>
      </w:p>
    </w:sdtContent>
  </w:sdt>
  <w:p w14:paraId="0723B317" w14:textId="77777777" w:rsidR="006672BF" w:rsidRDefault="00FF75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4E8B" w14:textId="77777777" w:rsidR="00FF7563" w:rsidRDefault="00FF7563">
      <w:pPr>
        <w:spacing w:after="0" w:line="240" w:lineRule="auto"/>
      </w:pPr>
      <w:r>
        <w:separator/>
      </w:r>
    </w:p>
  </w:footnote>
  <w:footnote w:type="continuationSeparator" w:id="0">
    <w:p w14:paraId="4EFB6E3B" w14:textId="77777777" w:rsidR="00FF7563" w:rsidRDefault="00FF7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5A"/>
    <w:rsid w:val="0003529A"/>
    <w:rsid w:val="00042608"/>
    <w:rsid w:val="0004310B"/>
    <w:rsid w:val="000532EE"/>
    <w:rsid w:val="000A1E00"/>
    <w:rsid w:val="000E1EB2"/>
    <w:rsid w:val="00121B56"/>
    <w:rsid w:val="001436AD"/>
    <w:rsid w:val="00182D06"/>
    <w:rsid w:val="001C5108"/>
    <w:rsid w:val="00205412"/>
    <w:rsid w:val="0039092E"/>
    <w:rsid w:val="003F6C38"/>
    <w:rsid w:val="00474D2D"/>
    <w:rsid w:val="00497949"/>
    <w:rsid w:val="004D72F5"/>
    <w:rsid w:val="0057080C"/>
    <w:rsid w:val="005723AD"/>
    <w:rsid w:val="00604748"/>
    <w:rsid w:val="0060658C"/>
    <w:rsid w:val="00674E75"/>
    <w:rsid w:val="006E052C"/>
    <w:rsid w:val="0079625C"/>
    <w:rsid w:val="00797D25"/>
    <w:rsid w:val="00840ADB"/>
    <w:rsid w:val="00867F08"/>
    <w:rsid w:val="00872191"/>
    <w:rsid w:val="009A3773"/>
    <w:rsid w:val="009C762F"/>
    <w:rsid w:val="00A0511F"/>
    <w:rsid w:val="00AA09C1"/>
    <w:rsid w:val="00AD24FF"/>
    <w:rsid w:val="00B079D0"/>
    <w:rsid w:val="00BD5022"/>
    <w:rsid w:val="00C8214C"/>
    <w:rsid w:val="00CB2C31"/>
    <w:rsid w:val="00D21D7D"/>
    <w:rsid w:val="00D446F3"/>
    <w:rsid w:val="00DB57F7"/>
    <w:rsid w:val="00DD348D"/>
    <w:rsid w:val="00E071E6"/>
    <w:rsid w:val="00E42593"/>
    <w:rsid w:val="00E77D39"/>
    <w:rsid w:val="00F13AAB"/>
    <w:rsid w:val="00F244F5"/>
    <w:rsid w:val="00FA6E58"/>
    <w:rsid w:val="00FD765A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378112"/>
  <w15:docId w15:val="{8C0A0F84-FCC8-477A-BE66-6F8CB530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65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FD76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65A"/>
  </w:style>
  <w:style w:type="character" w:styleId="Nmerodepgina">
    <w:name w:val="page number"/>
    <w:basedOn w:val="Fontepargpadro"/>
    <w:uiPriority w:val="99"/>
    <w:semiHidden/>
    <w:unhideWhenUsed/>
    <w:rsid w:val="00FD765A"/>
  </w:style>
  <w:style w:type="character" w:styleId="Hyperlink">
    <w:name w:val="Hyperlink"/>
    <w:basedOn w:val="Fontepargpadro"/>
    <w:uiPriority w:val="99"/>
    <w:unhideWhenUsed/>
    <w:rsid w:val="00674E7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A1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E00"/>
  </w:style>
  <w:style w:type="paragraph" w:styleId="Textodebalo">
    <w:name w:val="Balloon Text"/>
    <w:basedOn w:val="Normal"/>
    <w:link w:val="TextodebaloChar"/>
    <w:uiPriority w:val="99"/>
    <w:semiHidden/>
    <w:unhideWhenUsed/>
    <w:rsid w:val="000A1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Barros</dc:creator>
  <cp:keywords/>
  <dc:description/>
  <cp:lastModifiedBy>Vitoria Barros</cp:lastModifiedBy>
  <cp:revision>3</cp:revision>
  <cp:lastPrinted>2017-10-26T22:04:00Z</cp:lastPrinted>
  <dcterms:created xsi:type="dcterms:W3CDTF">2018-12-17T13:33:00Z</dcterms:created>
  <dcterms:modified xsi:type="dcterms:W3CDTF">2018-12-17T13:41:00Z</dcterms:modified>
</cp:coreProperties>
</file>