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9DEC0" w14:textId="77777777" w:rsidR="000E37D4" w:rsidRDefault="000E37D4">
      <w:pPr>
        <w:spacing w:after="100"/>
      </w:pPr>
    </w:p>
    <w:p w14:paraId="4A733854" w14:textId="77777777" w:rsidR="000E37D4" w:rsidRDefault="000E37D4">
      <w:pPr>
        <w:spacing w:after="100"/>
      </w:pPr>
    </w:p>
    <w:p w14:paraId="4144BA6B" w14:textId="77777777" w:rsidR="000E37D4" w:rsidRDefault="000E37D4">
      <w:pPr>
        <w:spacing w:after="100"/>
      </w:pPr>
    </w:p>
    <w:p w14:paraId="04B074CA" w14:textId="77777777" w:rsidR="000E37D4" w:rsidRDefault="00000000">
      <w:pPr>
        <w:spacing w:after="40"/>
        <w:jc w:val="center"/>
      </w:pPr>
      <w:r>
        <w:rPr>
          <w:rFonts w:ascii="Arial" w:eastAsia="Arial" w:hAnsi="Arial" w:cs="Arial"/>
          <w:b/>
          <w:bCs/>
          <w:color w:val="555555"/>
          <w:sz w:val="24"/>
          <w:szCs w:val="24"/>
        </w:rPr>
        <w:t>GOBERNACIÓN DE ANTIOQUIA</w:t>
      </w:r>
    </w:p>
    <w:p w14:paraId="007D1BAA" w14:textId="77777777" w:rsidR="000E37D4" w:rsidRDefault="00000000">
      <w:pPr>
        <w:spacing w:after="320"/>
        <w:jc w:val="center"/>
      </w:pPr>
      <w:r>
        <w:rPr>
          <w:rFonts w:ascii="Arial" w:eastAsia="Arial" w:hAnsi="Arial" w:cs="Arial"/>
          <w:i/>
          <w:iCs/>
          <w:color w:val="555555"/>
        </w:rPr>
        <w:t>Secretaría de Ambiente</w:t>
      </w:r>
    </w:p>
    <w:p w14:paraId="5A9AF7A9" w14:textId="77777777" w:rsidR="000E37D4" w:rsidRDefault="00000000">
      <w:pPr>
        <w:spacing w:after="120"/>
        <w:jc w:val="center"/>
      </w:pPr>
      <w:r>
        <w:rPr>
          <w:rFonts w:ascii="Arial" w:eastAsia="Arial" w:hAnsi="Arial" w:cs="Arial"/>
          <w:b/>
          <w:bCs/>
          <w:color w:val="018D38"/>
          <w:sz w:val="44"/>
          <w:szCs w:val="44"/>
        </w:rPr>
        <w:t>RESPUESTA A OBSERVACIONES DE VERIFICACIÓN DE CIERRE</w:t>
      </w:r>
    </w:p>
    <w:p w14:paraId="061C035D" w14:textId="77777777" w:rsidR="000E37D4" w:rsidRDefault="00000000">
      <w:pPr>
        <w:spacing w:after="160"/>
        <w:jc w:val="center"/>
      </w:pPr>
      <w:r>
        <w:rPr>
          <w:rFonts w:ascii="Arial" w:eastAsia="Arial" w:hAnsi="Arial" w:cs="Arial"/>
          <w:b/>
          <w:bCs/>
          <w:color w:val="0B5640"/>
          <w:sz w:val="28"/>
          <w:szCs w:val="28"/>
        </w:rPr>
        <w:t>Antioquia Natural</w:t>
      </w:r>
    </w:p>
    <w:p w14:paraId="7BB9B41D" w14:textId="77777777" w:rsidR="000E37D4" w:rsidRDefault="00000000">
      <w:pPr>
        <w:spacing w:after="240"/>
        <w:jc w:val="center"/>
      </w:pPr>
      <w:r>
        <w:rPr>
          <w:rFonts w:ascii="Arial" w:eastAsia="Arial" w:hAnsi="Arial" w:cs="Arial"/>
          <w:color w:val="555555"/>
          <w:sz w:val="22"/>
          <w:szCs w:val="22"/>
        </w:rPr>
        <w:t>Respuesta punto por punto a Observaciones_Revision_Documental_Verificacion_Final_v3.pdf</w:t>
      </w:r>
    </w:p>
    <w:p w14:paraId="1E3FB89E" w14:textId="77777777" w:rsidR="000E37D4" w:rsidRDefault="00000000">
      <w:pPr>
        <w:spacing w:after="40"/>
        <w:jc w:val="center"/>
      </w:pPr>
      <w:r>
        <w:rPr>
          <w:rFonts w:ascii="Arial" w:eastAsia="Arial" w:hAnsi="Arial" w:cs="Arial"/>
          <w:color w:val="555555"/>
        </w:rPr>
        <w:t>Contratistas: Sebastián Guzmán Díaz y Alejandro López · sguzmand@gmail.com · 3006552511</w:t>
      </w:r>
    </w:p>
    <w:p w14:paraId="0D9A5773" w14:textId="77777777" w:rsidR="000E37D4" w:rsidRDefault="00000000">
      <w:pPr>
        <w:spacing w:after="320"/>
        <w:jc w:val="center"/>
      </w:pPr>
      <w:r>
        <w:rPr>
          <w:rFonts w:ascii="Arial" w:eastAsia="Arial" w:hAnsi="Arial" w:cs="Arial"/>
          <w:color w:val="555555"/>
        </w:rPr>
        <w:t>Versión 1 — 2026-08-06</w:t>
      </w:r>
    </w:p>
    <w:p w14:paraId="75198647" w14:textId="77777777" w:rsidR="000E37D4" w:rsidRDefault="00000000">
      <w:r>
        <w:br w:type="page"/>
      </w:r>
    </w:p>
    <w:p w14:paraId="6F415823" w14:textId="77777777" w:rsidR="000E37D4" w:rsidRDefault="00000000">
      <w:pPr>
        <w:pStyle w:val="Ttulo1"/>
        <w:pBdr>
          <w:bottom w:val="single" w:sz="6" w:space="0" w:color="018D38"/>
        </w:pBdr>
        <w:spacing w:before="320" w:after="160"/>
      </w:pPr>
      <w:bookmarkStart w:id="0" w:name="_Toc237443586"/>
      <w:r>
        <w:rPr>
          <w:rFonts w:ascii="Arial" w:eastAsia="Arial" w:hAnsi="Arial" w:cs="Arial"/>
          <w:b/>
          <w:bCs/>
          <w:color w:val="018D38"/>
        </w:rPr>
        <w:lastRenderedPageBreak/>
        <w:t>Tabla de Contenido</w:t>
      </w:r>
      <w:bookmarkEnd w:id="0"/>
    </w:p>
    <w:sdt>
      <w:sdtPr>
        <w:alias w:val="Tabla de Contenido"/>
        <w:id w:val="243845142"/>
      </w:sdtPr>
      <w:sdtContent>
        <w:p w14:paraId="38DF2AC8" w14:textId="2A49BC7B" w:rsidR="00510340" w:rsidRDefault="00000000">
          <w:pPr>
            <w:pStyle w:val="TDC1"/>
            <w:tabs>
              <w:tab w:val="right" w:leader="dot" w:pos="8494"/>
            </w:tabs>
            <w:rPr>
              <w:noProof/>
            </w:rPr>
          </w:pPr>
          <w:r>
            <w:fldChar w:fldCharType="begin"/>
          </w:r>
          <w:r>
            <w:instrText>TOC \h \o "1-3"</w:instrText>
          </w:r>
          <w:r>
            <w:fldChar w:fldCharType="separate"/>
          </w:r>
          <w:hyperlink w:anchor="_Toc237443586" w:history="1">
            <w:r w:rsidR="00510340" w:rsidRPr="00F76ACE">
              <w:rPr>
                <w:rStyle w:val="Hipervnculo"/>
                <w:rFonts w:ascii="Arial" w:eastAsia="Arial" w:hAnsi="Arial" w:cs="Arial"/>
                <w:b/>
                <w:bCs/>
                <w:noProof/>
              </w:rPr>
              <w:t>Tabla de Contenido</w:t>
            </w:r>
            <w:r w:rsidR="00510340">
              <w:rPr>
                <w:noProof/>
              </w:rPr>
              <w:tab/>
            </w:r>
            <w:r w:rsidR="00510340">
              <w:rPr>
                <w:noProof/>
              </w:rPr>
              <w:fldChar w:fldCharType="begin"/>
            </w:r>
            <w:r w:rsidR="00510340">
              <w:rPr>
                <w:noProof/>
              </w:rPr>
              <w:instrText xml:space="preserve"> PAGEREF _Toc237443586 \h </w:instrText>
            </w:r>
            <w:r w:rsidR="00510340">
              <w:rPr>
                <w:noProof/>
              </w:rPr>
            </w:r>
            <w:r w:rsidR="00510340">
              <w:rPr>
                <w:noProof/>
              </w:rPr>
              <w:fldChar w:fldCharType="separate"/>
            </w:r>
            <w:r w:rsidR="008A072A">
              <w:rPr>
                <w:noProof/>
              </w:rPr>
              <w:t>2</w:t>
            </w:r>
            <w:r w:rsidR="00510340">
              <w:rPr>
                <w:noProof/>
              </w:rPr>
              <w:fldChar w:fldCharType="end"/>
            </w:r>
          </w:hyperlink>
        </w:p>
        <w:p w14:paraId="6478FC11" w14:textId="65FF5440" w:rsidR="00510340" w:rsidRDefault="00000000">
          <w:pPr>
            <w:pStyle w:val="TDC1"/>
            <w:tabs>
              <w:tab w:val="right" w:leader="dot" w:pos="8494"/>
            </w:tabs>
            <w:rPr>
              <w:noProof/>
            </w:rPr>
          </w:pPr>
          <w:hyperlink w:anchor="_Toc237443587" w:history="1">
            <w:r w:rsidR="00510340" w:rsidRPr="00F76ACE">
              <w:rPr>
                <w:rStyle w:val="Hipervnculo"/>
                <w:rFonts w:ascii="Arial" w:eastAsia="Arial" w:hAnsi="Arial" w:cs="Arial"/>
                <w:b/>
                <w:bCs/>
                <w:noProof/>
              </w:rPr>
              <w:t>Resumen Ejecutivo</w:t>
            </w:r>
            <w:r w:rsidR="00510340">
              <w:rPr>
                <w:noProof/>
              </w:rPr>
              <w:tab/>
            </w:r>
            <w:r w:rsidR="00510340">
              <w:rPr>
                <w:noProof/>
              </w:rPr>
              <w:fldChar w:fldCharType="begin"/>
            </w:r>
            <w:r w:rsidR="00510340">
              <w:rPr>
                <w:noProof/>
              </w:rPr>
              <w:instrText xml:space="preserve"> PAGEREF _Toc237443587 \h </w:instrText>
            </w:r>
            <w:r w:rsidR="00510340">
              <w:rPr>
                <w:noProof/>
              </w:rPr>
            </w:r>
            <w:r w:rsidR="00510340">
              <w:rPr>
                <w:noProof/>
              </w:rPr>
              <w:fldChar w:fldCharType="separate"/>
            </w:r>
            <w:r w:rsidR="008A072A">
              <w:rPr>
                <w:noProof/>
              </w:rPr>
              <w:t>3</w:t>
            </w:r>
            <w:r w:rsidR="00510340">
              <w:rPr>
                <w:noProof/>
              </w:rPr>
              <w:fldChar w:fldCharType="end"/>
            </w:r>
          </w:hyperlink>
        </w:p>
        <w:p w14:paraId="106B07F9" w14:textId="0A93F85B" w:rsidR="00510340" w:rsidRDefault="00000000">
          <w:pPr>
            <w:pStyle w:val="TDC1"/>
            <w:tabs>
              <w:tab w:val="right" w:leader="dot" w:pos="8494"/>
            </w:tabs>
            <w:rPr>
              <w:noProof/>
            </w:rPr>
          </w:pPr>
          <w:hyperlink w:anchor="_Toc237443588" w:history="1">
            <w:r w:rsidR="00510340" w:rsidRPr="00F76ACE">
              <w:rPr>
                <w:rStyle w:val="Hipervnculo"/>
                <w:rFonts w:ascii="Arial" w:eastAsia="Arial" w:hAnsi="Arial" w:cs="Arial"/>
                <w:b/>
                <w:bCs/>
                <w:noProof/>
              </w:rPr>
              <w:t>1. Verificación de Cierre — Levantamiento de Requisitos de Software</w:t>
            </w:r>
            <w:r w:rsidR="00510340">
              <w:rPr>
                <w:noProof/>
              </w:rPr>
              <w:tab/>
            </w:r>
            <w:r w:rsidR="00510340">
              <w:rPr>
                <w:noProof/>
              </w:rPr>
              <w:fldChar w:fldCharType="begin"/>
            </w:r>
            <w:r w:rsidR="00510340">
              <w:rPr>
                <w:noProof/>
              </w:rPr>
              <w:instrText xml:space="preserve"> PAGEREF _Toc237443588 \h </w:instrText>
            </w:r>
            <w:r w:rsidR="00510340">
              <w:rPr>
                <w:noProof/>
              </w:rPr>
            </w:r>
            <w:r w:rsidR="00510340">
              <w:rPr>
                <w:noProof/>
              </w:rPr>
              <w:fldChar w:fldCharType="separate"/>
            </w:r>
            <w:r w:rsidR="008A072A">
              <w:rPr>
                <w:noProof/>
              </w:rPr>
              <w:t>3</w:t>
            </w:r>
            <w:r w:rsidR="00510340">
              <w:rPr>
                <w:noProof/>
              </w:rPr>
              <w:fldChar w:fldCharType="end"/>
            </w:r>
          </w:hyperlink>
        </w:p>
        <w:p w14:paraId="751D8F3B" w14:textId="7362B0EB" w:rsidR="00510340" w:rsidRDefault="00000000">
          <w:pPr>
            <w:pStyle w:val="TDC1"/>
            <w:tabs>
              <w:tab w:val="right" w:leader="dot" w:pos="8494"/>
            </w:tabs>
            <w:rPr>
              <w:noProof/>
            </w:rPr>
          </w:pPr>
          <w:hyperlink w:anchor="_Toc237443589" w:history="1">
            <w:r w:rsidR="00510340" w:rsidRPr="00F76ACE">
              <w:rPr>
                <w:rStyle w:val="Hipervnculo"/>
                <w:rFonts w:ascii="Arial" w:eastAsia="Arial" w:hAnsi="Arial" w:cs="Arial"/>
                <w:b/>
                <w:bCs/>
                <w:noProof/>
              </w:rPr>
              <w:t>2. Verificación de Cierre — Propuesta Técnica y Financiera / Ajustes Técnicos v2</w:t>
            </w:r>
            <w:r w:rsidR="00510340">
              <w:rPr>
                <w:noProof/>
              </w:rPr>
              <w:tab/>
            </w:r>
            <w:r w:rsidR="00510340">
              <w:rPr>
                <w:noProof/>
              </w:rPr>
              <w:fldChar w:fldCharType="begin"/>
            </w:r>
            <w:r w:rsidR="00510340">
              <w:rPr>
                <w:noProof/>
              </w:rPr>
              <w:instrText xml:space="preserve"> PAGEREF _Toc237443589 \h </w:instrText>
            </w:r>
            <w:r w:rsidR="00510340">
              <w:rPr>
                <w:noProof/>
              </w:rPr>
            </w:r>
            <w:r w:rsidR="00510340">
              <w:rPr>
                <w:noProof/>
              </w:rPr>
              <w:fldChar w:fldCharType="separate"/>
            </w:r>
            <w:r w:rsidR="008A072A">
              <w:rPr>
                <w:noProof/>
              </w:rPr>
              <w:t>3</w:t>
            </w:r>
            <w:r w:rsidR="00510340">
              <w:rPr>
                <w:noProof/>
              </w:rPr>
              <w:fldChar w:fldCharType="end"/>
            </w:r>
          </w:hyperlink>
        </w:p>
        <w:p w14:paraId="0A0CB7FB" w14:textId="66265C34" w:rsidR="00510340" w:rsidRDefault="00000000">
          <w:pPr>
            <w:pStyle w:val="TDC1"/>
            <w:tabs>
              <w:tab w:val="right" w:leader="dot" w:pos="8494"/>
            </w:tabs>
            <w:rPr>
              <w:noProof/>
            </w:rPr>
          </w:pPr>
          <w:hyperlink w:anchor="_Toc237443590" w:history="1">
            <w:r w:rsidR="00510340" w:rsidRPr="00F76ACE">
              <w:rPr>
                <w:rStyle w:val="Hipervnculo"/>
                <w:rFonts w:ascii="Arial" w:eastAsia="Arial" w:hAnsi="Arial" w:cs="Arial"/>
                <w:b/>
                <w:bCs/>
                <w:noProof/>
              </w:rPr>
              <w:t>3. Verificación de Cierre — Documento Integral de Desarrollo</w:t>
            </w:r>
            <w:r w:rsidR="00510340">
              <w:rPr>
                <w:noProof/>
              </w:rPr>
              <w:tab/>
            </w:r>
            <w:r w:rsidR="00510340">
              <w:rPr>
                <w:noProof/>
              </w:rPr>
              <w:fldChar w:fldCharType="begin"/>
            </w:r>
            <w:r w:rsidR="00510340">
              <w:rPr>
                <w:noProof/>
              </w:rPr>
              <w:instrText xml:space="preserve"> PAGEREF _Toc237443590 \h </w:instrText>
            </w:r>
            <w:r w:rsidR="00510340">
              <w:rPr>
                <w:noProof/>
              </w:rPr>
            </w:r>
            <w:r w:rsidR="00510340">
              <w:rPr>
                <w:noProof/>
              </w:rPr>
              <w:fldChar w:fldCharType="separate"/>
            </w:r>
            <w:r w:rsidR="008A072A">
              <w:rPr>
                <w:noProof/>
              </w:rPr>
              <w:t>4</w:t>
            </w:r>
            <w:r w:rsidR="00510340">
              <w:rPr>
                <w:noProof/>
              </w:rPr>
              <w:fldChar w:fldCharType="end"/>
            </w:r>
          </w:hyperlink>
        </w:p>
        <w:p w14:paraId="24FAE117" w14:textId="2CE7FDA6" w:rsidR="00510340" w:rsidRDefault="00000000">
          <w:pPr>
            <w:pStyle w:val="TDC1"/>
            <w:tabs>
              <w:tab w:val="right" w:leader="dot" w:pos="8494"/>
            </w:tabs>
            <w:rPr>
              <w:noProof/>
            </w:rPr>
          </w:pPr>
          <w:hyperlink w:anchor="_Toc237443591" w:history="1">
            <w:r w:rsidR="00510340" w:rsidRPr="00F76ACE">
              <w:rPr>
                <w:rStyle w:val="Hipervnculo"/>
                <w:rFonts w:ascii="Arial" w:eastAsia="Arial" w:hAnsi="Arial" w:cs="Arial"/>
                <w:b/>
                <w:bCs/>
                <w:noProof/>
              </w:rPr>
              <w:t>4. Hallazgos Nuevos — Auditoría de Consistencia entre Documentos FINAL</w:t>
            </w:r>
            <w:r w:rsidR="00510340">
              <w:rPr>
                <w:noProof/>
              </w:rPr>
              <w:tab/>
            </w:r>
            <w:r w:rsidR="00510340">
              <w:rPr>
                <w:noProof/>
              </w:rPr>
              <w:fldChar w:fldCharType="begin"/>
            </w:r>
            <w:r w:rsidR="00510340">
              <w:rPr>
                <w:noProof/>
              </w:rPr>
              <w:instrText xml:space="preserve"> PAGEREF _Toc237443591 \h </w:instrText>
            </w:r>
            <w:r w:rsidR="00510340">
              <w:rPr>
                <w:noProof/>
              </w:rPr>
            </w:r>
            <w:r w:rsidR="00510340">
              <w:rPr>
                <w:noProof/>
              </w:rPr>
              <w:fldChar w:fldCharType="separate"/>
            </w:r>
            <w:r w:rsidR="008A072A">
              <w:rPr>
                <w:noProof/>
              </w:rPr>
              <w:t>4</w:t>
            </w:r>
            <w:r w:rsidR="00510340">
              <w:rPr>
                <w:noProof/>
              </w:rPr>
              <w:fldChar w:fldCharType="end"/>
            </w:r>
          </w:hyperlink>
        </w:p>
        <w:p w14:paraId="4799FF14" w14:textId="5AB0C6DD" w:rsidR="00510340" w:rsidRDefault="00000000">
          <w:pPr>
            <w:pStyle w:val="TDC2"/>
            <w:tabs>
              <w:tab w:val="right" w:leader="dot" w:pos="8494"/>
            </w:tabs>
            <w:rPr>
              <w:noProof/>
            </w:rPr>
          </w:pPr>
          <w:hyperlink w:anchor="_Toc237443592" w:history="1">
            <w:r w:rsidR="00510340" w:rsidRPr="00F76ACE">
              <w:rPr>
                <w:rStyle w:val="Hipervnculo"/>
                <w:rFonts w:ascii="Arial" w:eastAsia="Arial" w:hAnsi="Arial" w:cs="Arial"/>
                <w:b/>
                <w:bCs/>
                <w:noProof/>
              </w:rPr>
              <w:t>[Crítico]</w:t>
            </w:r>
            <w:r w:rsidR="00510340">
              <w:rPr>
                <w:noProof/>
              </w:rPr>
              <w:tab/>
            </w:r>
            <w:r w:rsidR="00510340">
              <w:rPr>
                <w:noProof/>
              </w:rPr>
              <w:fldChar w:fldCharType="begin"/>
            </w:r>
            <w:r w:rsidR="00510340">
              <w:rPr>
                <w:noProof/>
              </w:rPr>
              <w:instrText xml:space="preserve"> PAGEREF _Toc237443592 \h </w:instrText>
            </w:r>
            <w:r w:rsidR="00510340">
              <w:rPr>
                <w:noProof/>
              </w:rPr>
            </w:r>
            <w:r w:rsidR="00510340">
              <w:rPr>
                <w:noProof/>
              </w:rPr>
              <w:fldChar w:fldCharType="separate"/>
            </w:r>
            <w:r w:rsidR="008A072A">
              <w:rPr>
                <w:noProof/>
              </w:rPr>
              <w:t>4</w:t>
            </w:r>
            <w:r w:rsidR="00510340">
              <w:rPr>
                <w:noProof/>
              </w:rPr>
              <w:fldChar w:fldCharType="end"/>
            </w:r>
          </w:hyperlink>
        </w:p>
        <w:p w14:paraId="79DB864B" w14:textId="41CCE5EC" w:rsidR="00510340" w:rsidRDefault="00000000">
          <w:pPr>
            <w:pStyle w:val="TDC2"/>
            <w:tabs>
              <w:tab w:val="right" w:leader="dot" w:pos="8494"/>
            </w:tabs>
            <w:rPr>
              <w:noProof/>
            </w:rPr>
          </w:pPr>
          <w:hyperlink w:anchor="_Toc237443593" w:history="1">
            <w:r w:rsidR="00510340" w:rsidRPr="00F76ACE">
              <w:rPr>
                <w:rStyle w:val="Hipervnculo"/>
                <w:rFonts w:ascii="Arial" w:eastAsia="Arial" w:hAnsi="Arial" w:cs="Arial"/>
                <w:b/>
                <w:bCs/>
                <w:noProof/>
              </w:rPr>
              <w:t>[Moderado]</w:t>
            </w:r>
            <w:r w:rsidR="00510340">
              <w:rPr>
                <w:noProof/>
              </w:rPr>
              <w:tab/>
            </w:r>
            <w:r w:rsidR="00510340">
              <w:rPr>
                <w:noProof/>
              </w:rPr>
              <w:fldChar w:fldCharType="begin"/>
            </w:r>
            <w:r w:rsidR="00510340">
              <w:rPr>
                <w:noProof/>
              </w:rPr>
              <w:instrText xml:space="preserve"> PAGEREF _Toc237443593 \h </w:instrText>
            </w:r>
            <w:r w:rsidR="00510340">
              <w:rPr>
                <w:noProof/>
              </w:rPr>
            </w:r>
            <w:r w:rsidR="00510340">
              <w:rPr>
                <w:noProof/>
              </w:rPr>
              <w:fldChar w:fldCharType="separate"/>
            </w:r>
            <w:r w:rsidR="008A072A">
              <w:rPr>
                <w:noProof/>
              </w:rPr>
              <w:t>6</w:t>
            </w:r>
            <w:r w:rsidR="00510340">
              <w:rPr>
                <w:noProof/>
              </w:rPr>
              <w:fldChar w:fldCharType="end"/>
            </w:r>
          </w:hyperlink>
        </w:p>
        <w:p w14:paraId="75BBD7E4" w14:textId="6D6E44D2" w:rsidR="00510340" w:rsidRDefault="00000000">
          <w:pPr>
            <w:pStyle w:val="TDC2"/>
            <w:tabs>
              <w:tab w:val="right" w:leader="dot" w:pos="8494"/>
            </w:tabs>
            <w:rPr>
              <w:noProof/>
            </w:rPr>
          </w:pPr>
          <w:hyperlink w:anchor="_Toc237443594" w:history="1">
            <w:r w:rsidR="00510340" w:rsidRPr="00F76ACE">
              <w:rPr>
                <w:rStyle w:val="Hipervnculo"/>
                <w:rFonts w:ascii="Arial" w:eastAsia="Arial" w:hAnsi="Arial" w:cs="Arial"/>
                <w:b/>
                <w:bCs/>
                <w:noProof/>
              </w:rPr>
              <w:t>[Menor]</w:t>
            </w:r>
            <w:r w:rsidR="00510340">
              <w:rPr>
                <w:noProof/>
              </w:rPr>
              <w:tab/>
            </w:r>
            <w:r w:rsidR="00510340">
              <w:rPr>
                <w:noProof/>
              </w:rPr>
              <w:fldChar w:fldCharType="begin"/>
            </w:r>
            <w:r w:rsidR="00510340">
              <w:rPr>
                <w:noProof/>
              </w:rPr>
              <w:instrText xml:space="preserve"> PAGEREF _Toc237443594 \h </w:instrText>
            </w:r>
            <w:r w:rsidR="00510340">
              <w:rPr>
                <w:noProof/>
              </w:rPr>
            </w:r>
            <w:r w:rsidR="00510340">
              <w:rPr>
                <w:noProof/>
              </w:rPr>
              <w:fldChar w:fldCharType="separate"/>
            </w:r>
            <w:r w:rsidR="008A072A">
              <w:rPr>
                <w:noProof/>
              </w:rPr>
              <w:t>7</w:t>
            </w:r>
            <w:r w:rsidR="00510340">
              <w:rPr>
                <w:noProof/>
              </w:rPr>
              <w:fldChar w:fldCharType="end"/>
            </w:r>
          </w:hyperlink>
        </w:p>
        <w:p w14:paraId="42562E34" w14:textId="2479E88A" w:rsidR="00510340" w:rsidRDefault="00000000">
          <w:pPr>
            <w:pStyle w:val="TDC1"/>
            <w:tabs>
              <w:tab w:val="right" w:leader="dot" w:pos="8494"/>
            </w:tabs>
            <w:rPr>
              <w:noProof/>
            </w:rPr>
          </w:pPr>
          <w:hyperlink w:anchor="_Toc237443595" w:history="1">
            <w:r w:rsidR="00510340" w:rsidRPr="00F76ACE">
              <w:rPr>
                <w:rStyle w:val="Hipervnculo"/>
                <w:rFonts w:ascii="Arial" w:eastAsia="Arial" w:hAnsi="Arial" w:cs="Arial"/>
                <w:b/>
                <w:bCs/>
                <w:noProof/>
              </w:rPr>
              <w:t>5. Recomendación Transversal</w:t>
            </w:r>
            <w:r w:rsidR="00510340">
              <w:rPr>
                <w:noProof/>
              </w:rPr>
              <w:tab/>
            </w:r>
            <w:r w:rsidR="00510340">
              <w:rPr>
                <w:noProof/>
              </w:rPr>
              <w:fldChar w:fldCharType="begin"/>
            </w:r>
            <w:r w:rsidR="00510340">
              <w:rPr>
                <w:noProof/>
              </w:rPr>
              <w:instrText xml:space="preserve"> PAGEREF _Toc237443595 \h </w:instrText>
            </w:r>
            <w:r w:rsidR="00510340">
              <w:rPr>
                <w:noProof/>
              </w:rPr>
            </w:r>
            <w:r w:rsidR="00510340">
              <w:rPr>
                <w:noProof/>
              </w:rPr>
              <w:fldChar w:fldCharType="separate"/>
            </w:r>
            <w:r w:rsidR="008A072A">
              <w:rPr>
                <w:noProof/>
              </w:rPr>
              <w:t>7</w:t>
            </w:r>
            <w:r w:rsidR="00510340">
              <w:rPr>
                <w:noProof/>
              </w:rPr>
              <w:fldChar w:fldCharType="end"/>
            </w:r>
          </w:hyperlink>
        </w:p>
        <w:p w14:paraId="7F375BC6" w14:textId="28C8DEE7" w:rsidR="00510340" w:rsidRDefault="00000000">
          <w:pPr>
            <w:pStyle w:val="TDC1"/>
            <w:tabs>
              <w:tab w:val="right" w:leader="dot" w:pos="8494"/>
            </w:tabs>
            <w:rPr>
              <w:noProof/>
            </w:rPr>
          </w:pPr>
          <w:hyperlink w:anchor="_Toc237443596" w:history="1">
            <w:r w:rsidR="00510340" w:rsidRPr="00F76ACE">
              <w:rPr>
                <w:rStyle w:val="Hipervnculo"/>
                <w:rFonts w:ascii="Arial" w:eastAsia="Arial" w:hAnsi="Arial" w:cs="Arial"/>
                <w:b/>
                <w:bCs/>
                <w:noProof/>
              </w:rPr>
              <w:t>Mejoras proactivas (anticipadas, no exigidas explícitamente por un hallazgo)</w:t>
            </w:r>
            <w:r w:rsidR="00510340">
              <w:rPr>
                <w:noProof/>
              </w:rPr>
              <w:tab/>
            </w:r>
            <w:r w:rsidR="00510340">
              <w:rPr>
                <w:noProof/>
              </w:rPr>
              <w:fldChar w:fldCharType="begin"/>
            </w:r>
            <w:r w:rsidR="00510340">
              <w:rPr>
                <w:noProof/>
              </w:rPr>
              <w:instrText xml:space="preserve"> PAGEREF _Toc237443596 \h </w:instrText>
            </w:r>
            <w:r w:rsidR="00510340">
              <w:rPr>
                <w:noProof/>
              </w:rPr>
            </w:r>
            <w:r w:rsidR="00510340">
              <w:rPr>
                <w:noProof/>
              </w:rPr>
              <w:fldChar w:fldCharType="separate"/>
            </w:r>
            <w:r w:rsidR="008A072A">
              <w:rPr>
                <w:noProof/>
              </w:rPr>
              <w:t>8</w:t>
            </w:r>
            <w:r w:rsidR="00510340">
              <w:rPr>
                <w:noProof/>
              </w:rPr>
              <w:fldChar w:fldCharType="end"/>
            </w:r>
          </w:hyperlink>
        </w:p>
        <w:p w14:paraId="09C8C7CC" w14:textId="78E281D6" w:rsidR="00510340" w:rsidRDefault="00000000">
          <w:pPr>
            <w:pStyle w:val="TDC1"/>
            <w:tabs>
              <w:tab w:val="right" w:leader="dot" w:pos="8494"/>
            </w:tabs>
            <w:rPr>
              <w:noProof/>
            </w:rPr>
          </w:pPr>
          <w:hyperlink w:anchor="_Toc237443597" w:history="1">
            <w:r w:rsidR="00510340" w:rsidRPr="00F76ACE">
              <w:rPr>
                <w:rStyle w:val="Hipervnculo"/>
                <w:rFonts w:ascii="Arial" w:eastAsia="Arial" w:hAnsi="Arial" w:cs="Arial"/>
                <w:b/>
                <w:bCs/>
                <w:noProof/>
              </w:rPr>
              <w:t>Cierre</w:t>
            </w:r>
            <w:r w:rsidR="00510340">
              <w:rPr>
                <w:noProof/>
              </w:rPr>
              <w:tab/>
            </w:r>
            <w:r w:rsidR="00510340">
              <w:rPr>
                <w:noProof/>
              </w:rPr>
              <w:fldChar w:fldCharType="begin"/>
            </w:r>
            <w:r w:rsidR="00510340">
              <w:rPr>
                <w:noProof/>
              </w:rPr>
              <w:instrText xml:space="preserve"> PAGEREF _Toc237443597 \h </w:instrText>
            </w:r>
            <w:r w:rsidR="00510340">
              <w:rPr>
                <w:noProof/>
              </w:rPr>
            </w:r>
            <w:r w:rsidR="00510340">
              <w:rPr>
                <w:noProof/>
              </w:rPr>
              <w:fldChar w:fldCharType="separate"/>
            </w:r>
            <w:r w:rsidR="008A072A">
              <w:rPr>
                <w:noProof/>
              </w:rPr>
              <w:t>9</w:t>
            </w:r>
            <w:r w:rsidR="00510340">
              <w:rPr>
                <w:noProof/>
              </w:rPr>
              <w:fldChar w:fldCharType="end"/>
            </w:r>
          </w:hyperlink>
        </w:p>
        <w:p w14:paraId="76A5A32A" w14:textId="77777777" w:rsidR="000E37D4" w:rsidRDefault="00000000">
          <w:r>
            <w:fldChar w:fldCharType="end"/>
          </w:r>
        </w:p>
      </w:sdtContent>
    </w:sdt>
    <w:p w14:paraId="4B717C17" w14:textId="77777777" w:rsidR="000E37D4" w:rsidRDefault="00000000">
      <w:pPr>
        <w:spacing w:after="140"/>
      </w:pPr>
      <w:r>
        <w:rPr>
          <w:rFonts w:ascii="Arial" w:eastAsia="Arial" w:hAnsi="Arial" w:cs="Arial"/>
          <w:i/>
          <w:iCs/>
          <w:color w:val="B8860B"/>
        </w:rPr>
        <w:t>Nota: si el índice aparece vacío al abrir el documento, actualícelo con clic derecho → "Actualizar campo" (o Ctrl+A y luego F9).</w:t>
      </w:r>
    </w:p>
    <w:p w14:paraId="5BB26588" w14:textId="77777777" w:rsidR="000E37D4" w:rsidRDefault="00000000">
      <w:r>
        <w:br w:type="page"/>
      </w:r>
    </w:p>
    <w:p w14:paraId="65EDF0D0" w14:textId="77777777" w:rsidR="000E37D4" w:rsidRDefault="00000000">
      <w:pPr>
        <w:pStyle w:val="Ttulo1"/>
        <w:pBdr>
          <w:bottom w:val="single" w:sz="6" w:space="0" w:color="018D38"/>
        </w:pBdr>
        <w:spacing w:before="320" w:after="160"/>
      </w:pPr>
      <w:bookmarkStart w:id="1" w:name="_Toc237443587"/>
      <w:r>
        <w:rPr>
          <w:rFonts w:ascii="Arial" w:eastAsia="Arial" w:hAnsi="Arial" w:cs="Arial"/>
          <w:b/>
          <w:bCs/>
          <w:color w:val="018D38"/>
        </w:rPr>
        <w:lastRenderedPageBreak/>
        <w:t>Resumen Ejecutivo</w:t>
      </w:r>
      <w:bookmarkEnd w:id="1"/>
    </w:p>
    <w:p w14:paraId="743C56AB" w14:textId="77777777" w:rsidR="000E37D4" w:rsidRDefault="00000000">
      <w:pPr>
        <w:pBdr>
          <w:top w:val="single" w:sz="4" w:space="0" w:color="018D38"/>
          <w:left w:val="single" w:sz="4" w:space="0" w:color="018D38"/>
          <w:bottom w:val="single" w:sz="4" w:space="0" w:color="018D38"/>
          <w:right w:val="single" w:sz="4" w:space="0" w:color="018D38"/>
        </w:pBdr>
        <w:shd w:val="clear" w:color="auto" w:fill="F0FFF4"/>
        <w:spacing w:before="80" w:after="160"/>
      </w:pPr>
      <w:r>
        <w:rPr>
          <w:rFonts w:ascii="Arial" w:eastAsia="Arial" w:hAnsi="Arial" w:cs="Arial"/>
          <w:b/>
          <w:bCs/>
          <w:color w:val="018D38"/>
          <w:sz w:val="24"/>
          <w:szCs w:val="24"/>
        </w:rPr>
        <w:t>Hallazgos evaluados: 13  ·  Resueltos: 13</w:t>
      </w:r>
    </w:p>
    <w:p w14:paraId="49D5C8AB" w14:textId="77777777" w:rsidR="000E37D4" w:rsidRDefault="00000000">
      <w:pPr>
        <w:spacing w:after="120"/>
      </w:pPr>
      <w:r>
        <w:rPr>
          <w:rFonts w:ascii="Arial" w:eastAsia="Arial" w:hAnsi="Arial" w:cs="Arial"/>
          <w:color w:val="333333"/>
          <w:sz w:val="22"/>
          <w:szCs w:val="22"/>
        </w:rPr>
        <w:t>Este documento responde, en el mismo orden y con la misma estructura de 5 secciones de Observaciones_Revision_Documental_Verificacion_Final_v3.pdf, tanto la verificación de cierre de los hallazgos de la revisión anterior como los hallazgos nuevos identificados en la auditoría de consistencia entre los 3 documentos FINAL: Levantamiento de Requisitos de Software (LRS, FO-M7-P8-020), Propuesta Técnica y Financiera / Ajustes Técnicos v2 (PTF, FO-M7-P8-021) y Documento Integral de Desarrollo Técnico (DI, FO-M7-P8-023).</w:t>
      </w:r>
    </w:p>
    <w:p w14:paraId="29802D33" w14:textId="77777777" w:rsidR="000E37D4" w:rsidRDefault="00000000">
      <w:pPr>
        <w:spacing w:after="120"/>
      </w:pPr>
      <w:r>
        <w:rPr>
          <w:rFonts w:ascii="Arial" w:eastAsia="Arial" w:hAnsi="Arial" w:cs="Arial"/>
          <w:color w:val="333333"/>
          <w:sz w:val="22"/>
          <w:szCs w:val="22"/>
        </w:rPr>
        <w:t>Los 4 hallazgos [Crítico] quedaron resueltos: contradicción Redis/catálogo, containerización con Docker y sus 6 controles de hardening, autenticación (cuenta genérica eliminada, usuarios individuales, reCAPTCHA; la integración con el Gestor de Acceso de la Entidad citada como pendiente depende de un documento — "Manual de Lineamientos de Seguridad de la Información" — que no ha sido compartido con el equipo de desarrollo; el único requisito verificable en los documentos entregados por TI, MFA sugiriendo Entra ID, ya está en el Roadmap Técnico), y el pipeline de CI/CD: ante la falta de una plantilla institucional de TI Gobernación pese a la solicitud formal ya enviada, el proyecto adopta como estándar la arquitectura de línea base oficial de Microsoft para Azure Pipelines ("CI/CD baseline architecture", Microsoft Learn) — no es un diseño propio del contratista, es el estándar publicado por el propio fabricante de la plataforma. Si TI comparte en el futuro su plantilla institucional, el proyecto se alineará a ella sin costo adicional.</w:t>
      </w:r>
    </w:p>
    <w:p w14:paraId="3552D8A4" w14:textId="77777777" w:rsidR="000E37D4" w:rsidRDefault="00000000">
      <w:pPr>
        <w:spacing w:after="140"/>
      </w:pPr>
      <w:r>
        <w:rPr>
          <w:rFonts w:ascii="Arial" w:eastAsia="Arial" w:hAnsi="Arial" w:cs="Arial"/>
          <w:i/>
          <w:iCs/>
          <w:color w:val="B8860B"/>
        </w:rPr>
        <w:t>Los dos hallazgos de la Figura 1 (Arquitectura general) del DI — MongoDB y Redis agrupados sin distinguir su ubicación real, y sin anotación de que Entra ID es un pendiente a futuro — quedaron resueltos con un rediseño completo del diagrama, generado con un script versionado nuevo (no existía una fuente editable para este diagrama antes de esta iteración).</w:t>
      </w:r>
    </w:p>
    <w:p w14:paraId="464DE09F" w14:textId="77777777" w:rsidR="000E37D4" w:rsidRDefault="000E37D4">
      <w:pPr>
        <w:spacing w:after="100"/>
      </w:pPr>
    </w:p>
    <w:p w14:paraId="34AF13D2" w14:textId="77777777" w:rsidR="000E37D4" w:rsidRDefault="00000000">
      <w:pPr>
        <w:pStyle w:val="Ttulo1"/>
        <w:pBdr>
          <w:bottom w:val="single" w:sz="6" w:space="0" w:color="018D38"/>
        </w:pBdr>
        <w:spacing w:before="320" w:after="160"/>
      </w:pPr>
      <w:bookmarkStart w:id="2" w:name="_Toc237443588"/>
      <w:r>
        <w:rPr>
          <w:rFonts w:ascii="Arial" w:eastAsia="Arial" w:hAnsi="Arial" w:cs="Arial"/>
          <w:b/>
          <w:bCs/>
          <w:color w:val="018D38"/>
        </w:rPr>
        <w:t>1. Verificación de Cierre — Levantamiento de Requisitos de Software</w:t>
      </w:r>
      <w:bookmarkEnd w:id="2"/>
    </w:p>
    <w:p w14:paraId="3B9833E2" w14:textId="77777777" w:rsidR="000E37D4" w:rsidRDefault="00000000">
      <w:pPr>
        <w:spacing w:after="120"/>
      </w:pPr>
      <w:r>
        <w:rPr>
          <w:rFonts w:ascii="Arial" w:eastAsia="Arial" w:hAnsi="Arial" w:cs="Arial"/>
          <w:color w:val="333333"/>
          <w:sz w:val="22"/>
          <w:szCs w:val="22"/>
        </w:rPr>
        <w:t>Plantilla de referencia: FO-M7-P8-020. Archivo: Levantamiento de Requisitos de Software.docx.</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4200"/>
        <w:gridCol w:w="1660"/>
      </w:tblGrid>
      <w:tr w:rsidR="000E37D4" w14:paraId="3CB4C91B" w14:textId="77777777">
        <w:trPr>
          <w:tblHeader/>
        </w:trPr>
        <w:tc>
          <w:tcPr>
            <w:tcW w:w="2600" w:type="dxa"/>
            <w:tcBorders>
              <w:top w:val="single" w:sz="4" w:space="0" w:color="018D38"/>
              <w:left w:val="single" w:sz="4" w:space="0" w:color="018D38"/>
              <w:bottom w:val="single" w:sz="4" w:space="0" w:color="018D38"/>
              <w:right w:val="single" w:sz="4" w:space="0" w:color="018D38"/>
            </w:tcBorders>
            <w:shd w:val="clear" w:color="auto" w:fill="018D38"/>
          </w:tcPr>
          <w:p w14:paraId="590B41B6" w14:textId="77777777" w:rsidR="000E37D4" w:rsidRDefault="00000000">
            <w:pPr>
              <w:spacing w:before="60" w:after="60"/>
              <w:jc w:val="center"/>
            </w:pPr>
            <w:r>
              <w:rPr>
                <w:rFonts w:ascii="Arial" w:eastAsia="Arial" w:hAnsi="Arial" w:cs="Arial"/>
                <w:b/>
                <w:bCs/>
                <w:color w:val="FFFFFF"/>
              </w:rPr>
              <w:t>Observación de TI</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14:paraId="1FE4D071" w14:textId="77777777" w:rsidR="000E37D4" w:rsidRDefault="00000000">
            <w:pPr>
              <w:spacing w:before="60" w:after="60"/>
              <w:jc w:val="center"/>
            </w:pPr>
            <w:r>
              <w:rPr>
                <w:rFonts w:ascii="Arial" w:eastAsia="Arial" w:hAnsi="Arial" w:cs="Arial"/>
                <w:b/>
                <w:bCs/>
                <w:color w:val="FFFFFF"/>
              </w:rPr>
              <w:t>Estado</w:t>
            </w:r>
          </w:p>
        </w:tc>
        <w:tc>
          <w:tcPr>
            <w:tcW w:w="4200" w:type="dxa"/>
            <w:tcBorders>
              <w:top w:val="single" w:sz="4" w:space="0" w:color="018D38"/>
              <w:left w:val="single" w:sz="4" w:space="0" w:color="018D38"/>
              <w:bottom w:val="single" w:sz="4" w:space="0" w:color="018D38"/>
              <w:right w:val="single" w:sz="4" w:space="0" w:color="018D38"/>
            </w:tcBorders>
            <w:shd w:val="clear" w:color="auto" w:fill="018D38"/>
          </w:tcPr>
          <w:p w14:paraId="281D330E" w14:textId="77777777" w:rsidR="000E37D4" w:rsidRDefault="00000000">
            <w:pPr>
              <w:spacing w:before="60" w:after="60"/>
              <w:jc w:val="center"/>
            </w:pPr>
            <w:r>
              <w:rPr>
                <w:rFonts w:ascii="Arial" w:eastAsia="Arial" w:hAnsi="Arial" w:cs="Arial"/>
                <w:b/>
                <w:bCs/>
                <w:color w:val="FFFFFF"/>
              </w:rPr>
              <w:t>Cómo se resolvió</w:t>
            </w:r>
          </w:p>
        </w:tc>
        <w:tc>
          <w:tcPr>
            <w:tcW w:w="1660" w:type="dxa"/>
            <w:tcBorders>
              <w:top w:val="single" w:sz="4" w:space="0" w:color="018D38"/>
              <w:left w:val="single" w:sz="4" w:space="0" w:color="018D38"/>
              <w:bottom w:val="single" w:sz="4" w:space="0" w:color="018D38"/>
              <w:right w:val="single" w:sz="4" w:space="0" w:color="018D38"/>
            </w:tcBorders>
            <w:shd w:val="clear" w:color="auto" w:fill="018D38"/>
          </w:tcPr>
          <w:p w14:paraId="033C55D0" w14:textId="77777777" w:rsidR="000E37D4" w:rsidRDefault="00000000">
            <w:pPr>
              <w:spacing w:before="60" w:after="60"/>
              <w:jc w:val="center"/>
            </w:pPr>
            <w:r>
              <w:rPr>
                <w:rFonts w:ascii="Arial" w:eastAsia="Arial" w:hAnsi="Arial" w:cs="Arial"/>
                <w:b/>
                <w:bCs/>
                <w:color w:val="FFFFFF"/>
              </w:rPr>
              <w:t>Sección</w:t>
            </w:r>
          </w:p>
        </w:tc>
      </w:tr>
      <w:tr w:rsidR="000E37D4" w14:paraId="79A54E1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7E93E1A8" w14:textId="77777777" w:rsidR="000E37D4" w:rsidRDefault="00000000">
            <w:pPr>
              <w:spacing w:before="60" w:after="60"/>
            </w:pPr>
            <w:r>
              <w:rPr>
                <w:rFonts w:ascii="Arial" w:eastAsia="Arial" w:hAnsi="Arial" w:cs="Arial"/>
                <w:color w:val="333333"/>
              </w:rPr>
              <w:t>⚠ Parcial: existe la sección "Contenido" (numerales 1–6), pero los numerales 7 a 10 (soporte, garantía, derechos morales, cumplimiento de lineamientos) no aparecen indexados.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0A44DA81" w14:textId="77777777" w:rsidR="000E37D4" w:rsidRDefault="00000000">
            <w:pPr>
              <w:spacing w:before="60" w:after="60"/>
            </w:pPr>
            <w:r>
              <w:rPr>
                <w:rFonts w:ascii="Arial" w:eastAsia="Arial" w:hAnsi="Arial" w:cs="Arial"/>
                <w:color w:val="333333"/>
              </w:rPr>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Pr>
          <w:p w14:paraId="0E7F2CB5" w14:textId="77777777" w:rsidR="000E37D4" w:rsidRDefault="00000000">
            <w:pPr>
              <w:spacing w:before="60" w:after="60"/>
            </w:pPr>
            <w:r>
              <w:rPr>
                <w:rFonts w:ascii="Arial" w:eastAsia="Arial" w:hAnsi="Arial" w:cs="Arial"/>
                <w:color w:val="333333"/>
              </w:rPr>
              <w:t>Los 4 encabezados (soporte, garantía, derechos morales, cumplimiento) pasaron de estilo "Lista con viñetas" a "Título 2" (Heading 2) real — el motivo por el que no aparecían en el índice era de estilo, no de contenido faltante. Se forzó además la recalculación del campo TOC (word/settings.xml, updateFields) para que Word lo actualice al abrir el documento.</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Pr>
          <w:p w14:paraId="3FE2C4D1" w14:textId="77777777" w:rsidR="000E37D4" w:rsidRDefault="00000000">
            <w:pPr>
              <w:spacing w:before="60" w:after="60"/>
            </w:pPr>
            <w:r>
              <w:rPr>
                <w:rFonts w:ascii="Arial" w:eastAsia="Arial" w:hAnsi="Arial" w:cs="Arial"/>
                <w:color w:val="333333"/>
              </w:rPr>
              <w:t>Índice de contenido</w:t>
            </w:r>
          </w:p>
        </w:tc>
      </w:tr>
    </w:tbl>
    <w:p w14:paraId="55B15265" w14:textId="77777777" w:rsidR="000E37D4" w:rsidRDefault="00000000">
      <w:pPr>
        <w:spacing w:after="120"/>
      </w:pPr>
      <w:r>
        <w:rPr>
          <w:rFonts w:ascii="Arial" w:eastAsia="Arial" w:hAnsi="Arial" w:cs="Arial"/>
          <w:color w:val="333333"/>
          <w:sz w:val="22"/>
          <w:szCs w:val="22"/>
        </w:rPr>
        <w:t>Portada y formato (fuente, tamaño, diseño de tablas) ya habían sido reportados como Resueltos por TI y no requirieron cambios adicionales.</w:t>
      </w:r>
    </w:p>
    <w:p w14:paraId="0EB2D392" w14:textId="77777777" w:rsidR="000E37D4" w:rsidRDefault="000E37D4">
      <w:pPr>
        <w:spacing w:after="100"/>
      </w:pPr>
    </w:p>
    <w:p w14:paraId="7D6B4A92" w14:textId="77777777" w:rsidR="000E37D4" w:rsidRDefault="00000000">
      <w:pPr>
        <w:pStyle w:val="Ttulo1"/>
        <w:pBdr>
          <w:bottom w:val="single" w:sz="6" w:space="0" w:color="018D38"/>
        </w:pBdr>
        <w:spacing w:before="320" w:after="160"/>
      </w:pPr>
      <w:bookmarkStart w:id="3" w:name="_Toc237443589"/>
      <w:r>
        <w:rPr>
          <w:rFonts w:ascii="Arial" w:eastAsia="Arial" w:hAnsi="Arial" w:cs="Arial"/>
          <w:b/>
          <w:bCs/>
          <w:color w:val="018D38"/>
        </w:rPr>
        <w:t>2. Verificación de Cierre — Propuesta Técnica y Financiera / Ajustes Técnicos v2</w:t>
      </w:r>
      <w:bookmarkEnd w:id="3"/>
    </w:p>
    <w:p w14:paraId="1818CEA2" w14:textId="77777777" w:rsidR="000E37D4" w:rsidRDefault="00000000">
      <w:pPr>
        <w:spacing w:after="120"/>
      </w:pPr>
      <w:r>
        <w:rPr>
          <w:rFonts w:ascii="Arial" w:eastAsia="Arial" w:hAnsi="Arial" w:cs="Arial"/>
          <w:color w:val="333333"/>
          <w:sz w:val="22"/>
          <w:szCs w:val="22"/>
        </w:rPr>
        <w:lastRenderedPageBreak/>
        <w:t>Plantilla de referencia: FO-M7-P8-021. Archivo: Propuesta tecnica y financiera de desarrollo de software.docx.</w:t>
      </w:r>
    </w:p>
    <w:p w14:paraId="0ABBDF9E" w14:textId="77777777" w:rsidR="000E37D4" w:rsidRDefault="00000000">
      <w:pPr>
        <w:spacing w:after="120"/>
      </w:pPr>
      <w:r>
        <w:rPr>
          <w:rFonts w:ascii="Arial" w:eastAsia="Arial" w:hAnsi="Arial" w:cs="Arial"/>
          <w:color w:val="333333"/>
          <w:sz w:val="22"/>
          <w:szCs w:val="22"/>
        </w:rPr>
        <w:t>TI reportó los 8 puntos de esta sección como Resueltos en la verificación de cierre — portada, tabla de contenido, Control de Ajustes, Diccionario de Definiciones y Acrónimos, Compromisos, bloque de firmas, cronograma y formato. No quedó ningún punto abierto en esta sección que requiera acción; los únicos hallazgos relacionados con este documento están en la Sección 4 (Redis/catálogo y CI/CD propio), por tratarse de contradicciones frente a otros documentos, no de vacíos del documento en sí.</w:t>
      </w:r>
    </w:p>
    <w:p w14:paraId="647E5DCE" w14:textId="77777777" w:rsidR="000E37D4" w:rsidRDefault="000E37D4">
      <w:pPr>
        <w:spacing w:after="100"/>
      </w:pPr>
    </w:p>
    <w:p w14:paraId="5EE18485" w14:textId="77777777" w:rsidR="000E37D4" w:rsidRDefault="00000000">
      <w:pPr>
        <w:pStyle w:val="Ttulo1"/>
        <w:pBdr>
          <w:bottom w:val="single" w:sz="6" w:space="0" w:color="018D38"/>
        </w:pBdr>
        <w:spacing w:before="320" w:after="160"/>
      </w:pPr>
      <w:bookmarkStart w:id="4" w:name="_Toc237443590"/>
      <w:r>
        <w:rPr>
          <w:rFonts w:ascii="Arial" w:eastAsia="Arial" w:hAnsi="Arial" w:cs="Arial"/>
          <w:b/>
          <w:bCs/>
          <w:color w:val="018D38"/>
        </w:rPr>
        <w:t>3. Verificación de Cierre — Documento Integral de Desarrollo</w:t>
      </w:r>
      <w:bookmarkEnd w:id="4"/>
    </w:p>
    <w:p w14:paraId="0CA5D69C" w14:textId="77777777" w:rsidR="000E37D4" w:rsidRDefault="00000000">
      <w:pPr>
        <w:spacing w:after="120"/>
      </w:pPr>
      <w:r>
        <w:rPr>
          <w:rFonts w:ascii="Arial" w:eastAsia="Arial" w:hAnsi="Arial" w:cs="Arial"/>
          <w:color w:val="333333"/>
          <w:sz w:val="22"/>
          <w:szCs w:val="22"/>
        </w:rPr>
        <w:t>Plantilla de referencia: FO-M7-P8-023. Archivo: Documento Integral de Desarrollo Tecnico de la Aplicacion.docx.</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4200"/>
        <w:gridCol w:w="1660"/>
      </w:tblGrid>
      <w:tr w:rsidR="000E37D4" w14:paraId="292AC803" w14:textId="77777777">
        <w:trPr>
          <w:tblHeader/>
        </w:trPr>
        <w:tc>
          <w:tcPr>
            <w:tcW w:w="2600" w:type="dxa"/>
            <w:tcBorders>
              <w:top w:val="single" w:sz="4" w:space="0" w:color="018D38"/>
              <w:left w:val="single" w:sz="4" w:space="0" w:color="018D38"/>
              <w:bottom w:val="single" w:sz="4" w:space="0" w:color="018D38"/>
              <w:right w:val="single" w:sz="4" w:space="0" w:color="018D38"/>
            </w:tcBorders>
            <w:shd w:val="clear" w:color="auto" w:fill="018D38"/>
          </w:tcPr>
          <w:p w14:paraId="5126CE8D" w14:textId="77777777" w:rsidR="000E37D4" w:rsidRDefault="00000000">
            <w:pPr>
              <w:spacing w:before="60" w:after="60"/>
              <w:jc w:val="center"/>
            </w:pPr>
            <w:r>
              <w:rPr>
                <w:rFonts w:ascii="Arial" w:eastAsia="Arial" w:hAnsi="Arial" w:cs="Arial"/>
                <w:b/>
                <w:bCs/>
                <w:color w:val="FFFFFF"/>
              </w:rPr>
              <w:t>Observación de TI</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14:paraId="58CED3AF" w14:textId="77777777" w:rsidR="000E37D4" w:rsidRDefault="00000000">
            <w:pPr>
              <w:spacing w:before="60" w:after="60"/>
              <w:jc w:val="center"/>
            </w:pPr>
            <w:r>
              <w:rPr>
                <w:rFonts w:ascii="Arial" w:eastAsia="Arial" w:hAnsi="Arial" w:cs="Arial"/>
                <w:b/>
                <w:bCs/>
                <w:color w:val="FFFFFF"/>
              </w:rPr>
              <w:t>Estado</w:t>
            </w:r>
          </w:p>
        </w:tc>
        <w:tc>
          <w:tcPr>
            <w:tcW w:w="4200" w:type="dxa"/>
            <w:tcBorders>
              <w:top w:val="single" w:sz="4" w:space="0" w:color="018D38"/>
              <w:left w:val="single" w:sz="4" w:space="0" w:color="018D38"/>
              <w:bottom w:val="single" w:sz="4" w:space="0" w:color="018D38"/>
              <w:right w:val="single" w:sz="4" w:space="0" w:color="018D38"/>
            </w:tcBorders>
            <w:shd w:val="clear" w:color="auto" w:fill="018D38"/>
          </w:tcPr>
          <w:p w14:paraId="119BBFF6" w14:textId="77777777" w:rsidR="000E37D4" w:rsidRDefault="00000000">
            <w:pPr>
              <w:spacing w:before="60" w:after="60"/>
              <w:jc w:val="center"/>
            </w:pPr>
            <w:r>
              <w:rPr>
                <w:rFonts w:ascii="Arial" w:eastAsia="Arial" w:hAnsi="Arial" w:cs="Arial"/>
                <w:b/>
                <w:bCs/>
                <w:color w:val="FFFFFF"/>
              </w:rPr>
              <w:t>Cómo se resolvió</w:t>
            </w:r>
          </w:p>
        </w:tc>
        <w:tc>
          <w:tcPr>
            <w:tcW w:w="1660" w:type="dxa"/>
            <w:tcBorders>
              <w:top w:val="single" w:sz="4" w:space="0" w:color="018D38"/>
              <w:left w:val="single" w:sz="4" w:space="0" w:color="018D38"/>
              <w:bottom w:val="single" w:sz="4" w:space="0" w:color="018D38"/>
              <w:right w:val="single" w:sz="4" w:space="0" w:color="018D38"/>
            </w:tcBorders>
            <w:shd w:val="clear" w:color="auto" w:fill="018D38"/>
          </w:tcPr>
          <w:p w14:paraId="1F1FFC9D" w14:textId="77777777" w:rsidR="000E37D4" w:rsidRDefault="00000000">
            <w:pPr>
              <w:spacing w:before="60" w:after="60"/>
              <w:jc w:val="center"/>
            </w:pPr>
            <w:r>
              <w:rPr>
                <w:rFonts w:ascii="Arial" w:eastAsia="Arial" w:hAnsi="Arial" w:cs="Arial"/>
                <w:b/>
                <w:bCs/>
                <w:color w:val="FFFFFF"/>
              </w:rPr>
              <w:t>Sección</w:t>
            </w:r>
          </w:p>
        </w:tc>
      </w:tr>
      <w:tr w:rsidR="000E37D4" w14:paraId="3BC52A6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6947DEAC" w14:textId="77777777" w:rsidR="000E37D4" w:rsidRDefault="00000000">
            <w:pPr>
              <w:spacing w:before="60" w:after="60"/>
            </w:pPr>
            <w:r>
              <w:rPr>
                <w:rFonts w:ascii="Arial" w:eastAsia="Arial" w:hAnsi="Arial" w:cs="Arial"/>
                <w:color w:val="333333"/>
              </w:rPr>
              <w:t>❌ No resuelta: el numeral 12 "Roadmap Técnico (Opcional)" quedó con el texto instructivo de la plantilla sin diligenciar, pese a que el documento ya mencionaba, dispersos, varios ítems de roadmap real.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0536668C" w14:textId="77777777" w:rsidR="000E37D4" w:rsidRDefault="00000000">
            <w:pPr>
              <w:spacing w:before="60" w:after="60"/>
            </w:pPr>
            <w:r>
              <w:rPr>
                <w:rFonts w:ascii="Arial" w:eastAsia="Arial" w:hAnsi="Arial" w:cs="Arial"/>
                <w:color w:val="333333"/>
              </w:rPr>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Pr>
          <w:p w14:paraId="1308B838" w14:textId="77777777" w:rsidR="000E37D4" w:rsidRDefault="00000000">
            <w:pPr>
              <w:spacing w:before="60" w:after="60"/>
            </w:pPr>
            <w:r>
              <w:rPr>
                <w:rFonts w:ascii="Arial" w:eastAsia="Arial" w:hAnsi="Arial" w:cs="Arial"/>
                <w:color w:val="333333"/>
              </w:rPr>
              <w:t>Numeral 12 diligenciado, consolidando 5 ítems reales fuera del alcance contratado actual: migración a Microsoft Entra ID, migración del catálogo de especies a MongoDB con endpoint público, validación WCAG 2.1 AA con WAVE, integración con SiB Colombia/GBIF y PWA con modo offline. La containerización con Docker figuraba aquí como ítem 6 del roadmap; ya se implementó (ver Sección 4 de este documento) y se retiró de la lista de pendientes, dejando la referencia cruzada al numeral 10.</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Pr>
          <w:p w14:paraId="508FE807" w14:textId="77777777" w:rsidR="000E37D4" w:rsidRDefault="00000000">
            <w:pPr>
              <w:spacing w:before="60" w:after="60"/>
            </w:pPr>
            <w:r>
              <w:rPr>
                <w:rFonts w:ascii="Arial" w:eastAsia="Arial" w:hAnsi="Arial" w:cs="Arial"/>
                <w:color w:val="333333"/>
              </w:rPr>
              <w:t>Numeral 12</w:t>
            </w:r>
          </w:p>
        </w:tc>
      </w:tr>
    </w:tbl>
    <w:p w14:paraId="15F8DE21" w14:textId="77777777" w:rsidR="000E37D4" w:rsidRDefault="00000000">
      <w:pPr>
        <w:spacing w:after="120"/>
      </w:pPr>
      <w:r>
        <w:rPr>
          <w:rFonts w:ascii="Arial" w:eastAsia="Arial" w:hAnsi="Arial" w:cs="Arial"/>
          <w:color w:val="333333"/>
          <w:sz w:val="22"/>
          <w:szCs w:val="22"/>
        </w:rPr>
        <w:t>Los 12 puntos restantes de esta sección (portada, tabla de contenido, diagramas, numeral 4 completo, rollback, firmas, diagramas de flujo, tabla de tecnologías, entornos Dev/QA/Prod, diccionario de datos, políticas de seguridad, estrategia de pruebas y formato) ya habían sido reportados como Resueltos por TI.</w:t>
      </w:r>
    </w:p>
    <w:p w14:paraId="076E659E" w14:textId="77777777" w:rsidR="000E37D4" w:rsidRDefault="000E37D4">
      <w:pPr>
        <w:spacing w:after="100"/>
      </w:pPr>
    </w:p>
    <w:p w14:paraId="313D18C5" w14:textId="77777777" w:rsidR="000E37D4" w:rsidRDefault="00000000">
      <w:pPr>
        <w:pStyle w:val="Ttulo1"/>
        <w:pBdr>
          <w:bottom w:val="single" w:sz="6" w:space="0" w:color="018D38"/>
        </w:pBdr>
        <w:spacing w:before="320" w:after="160"/>
      </w:pPr>
      <w:bookmarkStart w:id="5" w:name="_Toc237443591"/>
      <w:r>
        <w:rPr>
          <w:rFonts w:ascii="Arial" w:eastAsia="Arial" w:hAnsi="Arial" w:cs="Arial"/>
          <w:b/>
          <w:bCs/>
          <w:color w:val="018D38"/>
        </w:rPr>
        <w:t>4. Hallazgos Nuevos — Auditoría de Consistencia entre Documentos FINAL</w:t>
      </w:r>
      <w:bookmarkEnd w:id="5"/>
    </w:p>
    <w:p w14:paraId="0FEC0427" w14:textId="77777777" w:rsidR="000E37D4" w:rsidRDefault="00000000">
      <w:pPr>
        <w:pStyle w:val="Ttulo2"/>
        <w:spacing w:before="200" w:after="100"/>
      </w:pPr>
      <w:bookmarkStart w:id="6" w:name="_Toc237443592"/>
      <w:r>
        <w:rPr>
          <w:rFonts w:ascii="Arial" w:eastAsia="Arial" w:hAnsi="Arial" w:cs="Arial"/>
          <w:b/>
          <w:bCs/>
          <w:color w:val="0B5640"/>
        </w:rPr>
        <w:t>[Crítico]</w:t>
      </w:r>
      <w:bookmarkEnd w:id="6"/>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813"/>
        <w:gridCol w:w="5834"/>
        <w:gridCol w:w="819"/>
      </w:tblGrid>
      <w:tr w:rsidR="000E37D4" w14:paraId="1E27B547" w14:textId="77777777">
        <w:trPr>
          <w:tblHeader/>
        </w:trPr>
        <w:tc>
          <w:tcPr>
            <w:tcW w:w="2600" w:type="dxa"/>
            <w:tcBorders>
              <w:top w:val="single" w:sz="4" w:space="0" w:color="018D38"/>
              <w:left w:val="single" w:sz="4" w:space="0" w:color="018D38"/>
              <w:bottom w:val="single" w:sz="4" w:space="0" w:color="018D38"/>
              <w:right w:val="single" w:sz="4" w:space="0" w:color="018D38"/>
            </w:tcBorders>
            <w:shd w:val="clear" w:color="auto" w:fill="018D38"/>
          </w:tcPr>
          <w:p w14:paraId="6C6803B0" w14:textId="77777777" w:rsidR="000E37D4" w:rsidRDefault="00000000">
            <w:pPr>
              <w:spacing w:before="60" w:after="60"/>
              <w:jc w:val="center"/>
            </w:pPr>
            <w:r>
              <w:rPr>
                <w:rFonts w:ascii="Arial" w:eastAsia="Arial" w:hAnsi="Arial" w:cs="Arial"/>
                <w:b/>
                <w:bCs/>
                <w:color w:val="FFFFFF"/>
              </w:rPr>
              <w:t>Hallazgo</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14:paraId="6D6267A1" w14:textId="77777777" w:rsidR="000E37D4" w:rsidRDefault="00000000">
            <w:pPr>
              <w:spacing w:before="60" w:after="60"/>
              <w:jc w:val="center"/>
            </w:pPr>
            <w:r>
              <w:rPr>
                <w:rFonts w:ascii="Arial" w:eastAsia="Arial" w:hAnsi="Arial" w:cs="Arial"/>
                <w:b/>
                <w:bCs/>
                <w:color w:val="FFFFFF"/>
              </w:rPr>
              <w:t>Estado</w:t>
            </w:r>
          </w:p>
        </w:tc>
        <w:tc>
          <w:tcPr>
            <w:tcW w:w="4200" w:type="dxa"/>
            <w:tcBorders>
              <w:top w:val="single" w:sz="4" w:space="0" w:color="018D38"/>
              <w:left w:val="single" w:sz="4" w:space="0" w:color="018D38"/>
              <w:bottom w:val="single" w:sz="4" w:space="0" w:color="018D38"/>
              <w:right w:val="single" w:sz="4" w:space="0" w:color="018D38"/>
            </w:tcBorders>
            <w:shd w:val="clear" w:color="auto" w:fill="018D38"/>
          </w:tcPr>
          <w:p w14:paraId="732E6C85" w14:textId="77777777" w:rsidR="000E37D4" w:rsidRDefault="00000000">
            <w:pPr>
              <w:spacing w:before="60" w:after="60"/>
              <w:jc w:val="center"/>
            </w:pPr>
            <w:r>
              <w:rPr>
                <w:rFonts w:ascii="Arial" w:eastAsia="Arial" w:hAnsi="Arial" w:cs="Arial"/>
                <w:b/>
                <w:bCs/>
                <w:color w:val="FFFFFF"/>
              </w:rPr>
              <w:t>Cómo se resolvió</w:t>
            </w:r>
          </w:p>
        </w:tc>
        <w:tc>
          <w:tcPr>
            <w:tcW w:w="1660" w:type="dxa"/>
            <w:tcBorders>
              <w:top w:val="single" w:sz="4" w:space="0" w:color="018D38"/>
              <w:left w:val="single" w:sz="4" w:space="0" w:color="018D38"/>
              <w:bottom w:val="single" w:sz="4" w:space="0" w:color="018D38"/>
              <w:right w:val="single" w:sz="4" w:space="0" w:color="018D38"/>
            </w:tcBorders>
            <w:shd w:val="clear" w:color="auto" w:fill="018D38"/>
          </w:tcPr>
          <w:p w14:paraId="57060CD9" w14:textId="77777777" w:rsidR="000E37D4" w:rsidRDefault="00000000">
            <w:pPr>
              <w:spacing w:before="60" w:after="60"/>
              <w:jc w:val="center"/>
            </w:pPr>
            <w:r>
              <w:rPr>
                <w:rFonts w:ascii="Arial" w:eastAsia="Arial" w:hAnsi="Arial" w:cs="Arial"/>
                <w:b/>
                <w:bCs/>
                <w:color w:val="FFFFFF"/>
              </w:rPr>
              <w:t>Sección</w:t>
            </w:r>
          </w:p>
        </w:tc>
      </w:tr>
      <w:tr w:rsidR="000E37D4" w14:paraId="13A88ED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74623377" w14:textId="77777777" w:rsidR="000E37D4" w:rsidRDefault="00000000">
            <w:pPr>
              <w:spacing w:before="60" w:after="60"/>
            </w:pPr>
            <w:r>
              <w:rPr>
                <w:rFonts w:ascii="Arial" w:eastAsia="Arial" w:hAnsi="Arial" w:cs="Arial"/>
                <w:color w:val="333333"/>
              </w:rPr>
              <w:t xml:space="preserve">PTF (2.2) vs. DI (3.1, 7.1) vs. LRS (3.2): la PTF justificaba Redis diciendo que cachea el catálogo de especies "en vez de una consulta directa a MongoDB (60-120 ms)", mientras el DI y el LRS afirman que el </w:t>
            </w:r>
            <w:r>
              <w:rPr>
                <w:rFonts w:ascii="Arial" w:eastAsia="Arial" w:hAnsi="Arial" w:cs="Arial"/>
                <w:color w:val="333333"/>
              </w:rPr>
              <w:lastRenderedPageBreak/>
              <w:t>catálogo nunca pasa por MongoDB ni por la API — se sirve como JSON estático.</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765D51CA" w14:textId="77777777" w:rsidR="000E37D4" w:rsidRDefault="00000000">
            <w:pPr>
              <w:spacing w:before="60" w:after="60"/>
            </w:pPr>
            <w:r>
              <w:rPr>
                <w:rFonts w:ascii="Arial" w:eastAsia="Arial" w:hAnsi="Arial" w:cs="Arial"/>
                <w:color w:val="333333"/>
              </w:rPr>
              <w:lastRenderedPageBreak/>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Pr>
          <w:p w14:paraId="7517B26F" w14:textId="77777777" w:rsidR="000E37D4" w:rsidRDefault="00000000">
            <w:pPr>
              <w:spacing w:before="60" w:after="60"/>
            </w:pPr>
            <w:r>
              <w:rPr>
                <w:rFonts w:ascii="Arial" w:eastAsia="Arial" w:hAnsi="Arial" w:cs="Arial"/>
                <w:color w:val="333333"/>
              </w:rPr>
              <w:t>Redactado de nuevo en la PTF (numeral de Ajustes Técnicos, Ajuste 2, y en la tabla de stack tecnológico): Redis cachea las consultas del panel de administración contra MongoDB (JPL, Guarda Cuencas, gestión de usuarios), nunca el catálogo público de especies. Los 3 documentos quedan consistentes: el catálogo se sirve como JSON estático, sin pasar por MongoDB, Redis ni la API REST.</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Pr>
          <w:p w14:paraId="29253680" w14:textId="77777777" w:rsidR="000E37D4" w:rsidRDefault="00000000">
            <w:pPr>
              <w:spacing w:before="60" w:after="60"/>
            </w:pPr>
            <w:r>
              <w:rPr>
                <w:rFonts w:ascii="Arial" w:eastAsia="Arial" w:hAnsi="Arial" w:cs="Arial"/>
                <w:color w:val="333333"/>
              </w:rPr>
              <w:t>PTF — Ajuste 2</w:t>
            </w:r>
          </w:p>
        </w:tc>
      </w:tr>
      <w:tr w:rsidR="000E37D4" w14:paraId="4359C6ED"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FF4"/>
          </w:tcPr>
          <w:p w14:paraId="447B91E3" w14:textId="77777777" w:rsidR="000E37D4" w:rsidRDefault="00000000">
            <w:pPr>
              <w:spacing w:before="60" w:after="60"/>
            </w:pPr>
            <w:r>
              <w:rPr>
                <w:rFonts w:ascii="Arial" w:eastAsia="Arial" w:hAnsi="Arial" w:cs="Arial"/>
                <w:color w:val="333333"/>
              </w:rPr>
              <w:t>DI (8.1) vs. Manual de Lineamientos de Seguridad: el panel usaba una sola contraseña compartida entre curadores ("cuenta genérica"), sin el formato de excepción FO-M7-P8-016, sin integración con el Gestor de Contraseñas/Acceso de la Entidad, y sin reCAPTCHA en el login.</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14:paraId="53988083" w14:textId="77777777" w:rsidR="000E37D4" w:rsidRDefault="00000000">
            <w:pPr>
              <w:spacing w:before="60" w:after="60"/>
            </w:pPr>
            <w:r>
              <w:rPr>
                <w:rFonts w:ascii="Arial" w:eastAsia="Arial" w:hAnsi="Arial" w:cs="Arial"/>
                <w:color w:val="333333"/>
              </w:rPr>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0FFF4"/>
          </w:tcPr>
          <w:p w14:paraId="1C8713A2" w14:textId="77777777" w:rsidR="000E37D4" w:rsidRDefault="00000000">
            <w:pPr>
              <w:spacing w:before="60" w:after="60"/>
            </w:pPr>
            <w:r>
              <w:rPr>
                <w:rFonts w:ascii="Arial" w:eastAsia="Arial" w:hAnsi="Arial" w:cs="Arial"/>
                <w:color w:val="333333"/>
              </w:rPr>
              <w:t>La cuenta genérica —el problema de fondo del hallazgo— quedó resuelta por completo: cada curador tiene usuario y contraseña propios (colección Usuario en MongoDB, bcrypt, nunca compartida), con 3 roles (Curador.Biodiversidad, Curador.GuardaCuencas, Admin.Contenido) y un panel de administración de usuarios (/admin/usuarios.html) para crear, editar y desactivar cuentas — la desactivación revoca el acceso de inmediato. Ya no aplica el formato de excepción FO-M7-P8-016 (no hay cuentas genéricas que excepcionar), y Acceso según Funciones / Mínimo Privilegio / Revisión Mensual de Privilegios ya son auditables. Se agregó también reCAPTCHA v2 en el login, verificado en el servidor antes de validar credenciales. Sobre la integración con el "Gestor de Contraseñas/Acceso de la Entidad": el "Manual de Lineamientos de Seguridad de la Información de la Gobernación de Antioquia" citado como fuente de ese requisito específico no ha sido compartido con el equipo de desarrollo — no aparece entre los documentos entregados formalmente por TI Gobernación (Guía de Arquitectura y Buenas Prácticas de Desarrollo, Lista de Chequeo de Conformidad, Guía de Azure DevOps, Propuesta Técnica, Levantamiento de Requerimientos). El único requisito de autenticación verificable en esos documentos (Guía de Arquitectura, numeral 9) es "Implementación de MFA para administradores, sugiriendo integración con Microsoft Entra ID" — una sugerencia sobre cómo implementar MFA, no una obligación de un Gestor de Acceso específico — y ya está contemplado como paso a futuro en el Roadmap Técnico del DI (numeral 12) y en el propio numeral 8.1.</w:t>
            </w:r>
          </w:p>
        </w:tc>
        <w:tc>
          <w:tcPr>
            <w:tcW w:w="1660" w:type="dxa"/>
            <w:tcBorders>
              <w:top w:val="single" w:sz="4" w:space="0" w:color="CCCCCC"/>
              <w:left w:val="single" w:sz="4" w:space="0" w:color="CCCCCC"/>
              <w:bottom w:val="single" w:sz="4" w:space="0" w:color="CCCCCC"/>
              <w:right w:val="single" w:sz="4" w:space="0" w:color="CCCCCC"/>
            </w:tcBorders>
            <w:shd w:val="clear" w:color="auto" w:fill="F0FFF4"/>
          </w:tcPr>
          <w:p w14:paraId="0508F2DD" w14:textId="77777777" w:rsidR="000E37D4" w:rsidRDefault="00000000">
            <w:pPr>
              <w:spacing w:before="60" w:after="60"/>
            </w:pPr>
            <w:r>
              <w:rPr>
                <w:rFonts w:ascii="Arial" w:eastAsia="Arial" w:hAnsi="Arial" w:cs="Arial"/>
                <w:color w:val="333333"/>
              </w:rPr>
              <w:t>DI — 8.1</w:t>
            </w:r>
          </w:p>
        </w:tc>
      </w:tr>
      <w:tr w:rsidR="000E37D4" w14:paraId="6260ED9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6631463D" w14:textId="77777777" w:rsidR="000E37D4" w:rsidRDefault="00000000">
            <w:pPr>
              <w:spacing w:before="60" w:after="60"/>
            </w:pPr>
            <w:r>
              <w:rPr>
                <w:rFonts w:ascii="Arial" w:eastAsia="Arial" w:hAnsi="Arial" w:cs="Arial"/>
                <w:color w:val="333333"/>
              </w:rPr>
              <w:t>PTF (Ajuste 3) vs. DI (5.4): los documentos proponen un pipeline de CI/CD propio en Azure DevOps en vez de integrarse al pipeline institucional que ya tiene la Gobernación.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0B6091B1" w14:textId="77777777" w:rsidR="000E37D4" w:rsidRDefault="00000000">
            <w:pPr>
              <w:spacing w:before="60" w:after="60"/>
            </w:pPr>
            <w:r>
              <w:rPr>
                <w:rFonts w:ascii="Arial" w:eastAsia="Arial" w:hAnsi="Arial" w:cs="Arial"/>
                <w:color w:val="333333"/>
              </w:rPr>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Pr>
          <w:p w14:paraId="12C1ECA0" w14:textId="77777777" w:rsidR="000E37D4" w:rsidRDefault="00510340">
            <w:pPr>
              <w:spacing w:before="60" w:after="60"/>
            </w:pPr>
            <w:r>
              <w:rPr>
                <w:rFonts w:ascii="Arial" w:eastAsia="Arial" w:hAnsi="Arial" w:cs="Arial"/>
                <w:color w:val="333333"/>
              </w:rPr>
              <w:t>El DI (numeral 5.4) documenta la adopción de la arquitectura de línea base oficial de Microsoft para Azure Pipelines ("CI/CD baseline architecture" — learn.microsoft.com/azure/devops/pipelines/architectures/devops-pipelines-baseline-architecture) como estándar de referencia: quality gates en CI (lint, SAST, pruebas, cobertura) → construcción de un único artefacto (imagen Docker) que se escanea y publica una sola vez → despliegue con aprobación manual obligatoria antes de producción, más smoke test post-despliegue y rollback automático. No es un pipeline propio o improvisado del contratista: es el estándar que el propio fabricante de la plataforma recomienda en ausencia de una plantilla institucional. Si TI comparte su plantilla en el futuro, el proyecto se alineará a ella sin costo adicional.</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Pr>
          <w:p w14:paraId="349F67E1" w14:textId="77777777" w:rsidR="000E37D4" w:rsidRDefault="00000000">
            <w:pPr>
              <w:spacing w:before="60" w:after="60"/>
            </w:pPr>
            <w:r>
              <w:rPr>
                <w:rFonts w:ascii="Arial" w:eastAsia="Arial" w:hAnsi="Arial" w:cs="Arial"/>
                <w:color w:val="333333"/>
              </w:rPr>
              <w:t>DI — 5.4</w:t>
            </w:r>
          </w:p>
        </w:tc>
      </w:tr>
      <w:tr w:rsidR="000E37D4" w14:paraId="5B5634BB"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FF4"/>
          </w:tcPr>
          <w:p w14:paraId="3B87A54E" w14:textId="77777777" w:rsidR="000E37D4" w:rsidRDefault="00000000">
            <w:pPr>
              <w:spacing w:before="60" w:after="60"/>
            </w:pPr>
            <w:r>
              <w:rPr>
                <w:rFonts w:ascii="Arial" w:eastAsia="Arial" w:hAnsi="Arial" w:cs="Arial"/>
                <w:color w:val="333333"/>
              </w:rPr>
              <w:t xml:space="preserve">LRS (3.5) + PTF (3.2) + DI (numeral 6): ninguno de los 3 documentos menciona Docker ni containerización. El despliegue documentado es instalación nativa (PM2 + Nginx directo </w:t>
            </w:r>
            <w:r>
              <w:rPr>
                <w:rFonts w:ascii="Arial" w:eastAsia="Arial" w:hAnsi="Arial" w:cs="Arial"/>
                <w:color w:val="333333"/>
              </w:rPr>
              <w:lastRenderedPageBreak/>
              <w:t>sobre Ubuntu), por lo que ninguno de los 6 controles de hardening de contenedores exigidos por la documentación institucional es aplicable ni evaluable.</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14:paraId="5DDD66F1" w14:textId="77777777" w:rsidR="000E37D4" w:rsidRDefault="00000000">
            <w:pPr>
              <w:spacing w:before="60" w:after="60"/>
            </w:pPr>
            <w:r>
              <w:rPr>
                <w:rFonts w:ascii="Arial" w:eastAsia="Arial" w:hAnsi="Arial" w:cs="Arial"/>
                <w:color w:val="333333"/>
              </w:rPr>
              <w:lastRenderedPageBreak/>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0FFF4"/>
          </w:tcPr>
          <w:p w14:paraId="11C321F1" w14:textId="77777777" w:rsidR="000E37D4" w:rsidRDefault="00000000">
            <w:pPr>
              <w:spacing w:before="60" w:after="60"/>
            </w:pPr>
            <w:r>
              <w:rPr>
                <w:rFonts w:ascii="Arial" w:eastAsia="Arial" w:hAnsi="Arial" w:cs="Arial"/>
                <w:color w:val="333333"/>
              </w:rPr>
              <w:t xml:space="preserve">Se implementó containerización completa del backend: Dockerfile multi-stage (etapa de dependencias + etapa de ejecución), usuario non-root, .dockerignore, HEALTHCHECK contra /api/health, secretos inyectados por variables de entorno (nunca horneados en la imagen) y escaneo de vulnerabilidades con Trivy en una nueva etapa "BuildImage" del pipeline de CI/CD, antes del build de la imagen. El Manual Técnico del DI (numeral 10 completo) se reescribió para Docker Compose: pre-requisitos, despliegue en Producción, subir/bajar la aplicación, rollback (ahora más simple: cambiar el tag de imagen en vez de </w:t>
            </w:r>
            <w:r>
              <w:rPr>
                <w:rFonts w:ascii="Arial" w:eastAsia="Arial" w:hAnsi="Arial" w:cs="Arial"/>
                <w:color w:val="333333"/>
              </w:rPr>
              <w:lastRenderedPageBreak/>
              <w:t>git checkout + reinstalar dependencias) y monitoreo. README.md y azure-pipelines.yml quedaron alineados con el mismo procedimiento. El registry de imágenes (Azure Container Registry) queda como placeholder a confirmar con TI — no bloquea la implementación técnica, que ya está completa. La Figura 3 (Diagrama de Infraestructura) ya fue regenerada mostrando el contenedor explícitamente (Docker Compose + contenedor Node.js/Express, más la etapa BuildImage del pipeline) — ver Mejoras proactivas, Sección 5.</w:t>
            </w:r>
          </w:p>
        </w:tc>
        <w:tc>
          <w:tcPr>
            <w:tcW w:w="1660" w:type="dxa"/>
            <w:tcBorders>
              <w:top w:val="single" w:sz="4" w:space="0" w:color="CCCCCC"/>
              <w:left w:val="single" w:sz="4" w:space="0" w:color="CCCCCC"/>
              <w:bottom w:val="single" w:sz="4" w:space="0" w:color="CCCCCC"/>
              <w:right w:val="single" w:sz="4" w:space="0" w:color="CCCCCC"/>
            </w:tcBorders>
            <w:shd w:val="clear" w:color="auto" w:fill="F0FFF4"/>
          </w:tcPr>
          <w:p w14:paraId="05F9CDBB" w14:textId="77777777" w:rsidR="000E37D4" w:rsidRDefault="00000000">
            <w:pPr>
              <w:spacing w:before="60" w:after="60"/>
            </w:pPr>
            <w:r>
              <w:rPr>
                <w:rFonts w:ascii="Arial" w:eastAsia="Arial" w:hAnsi="Arial" w:cs="Arial"/>
                <w:color w:val="333333"/>
              </w:rPr>
              <w:lastRenderedPageBreak/>
              <w:t>DI — 10</w:t>
            </w:r>
          </w:p>
        </w:tc>
      </w:tr>
    </w:tbl>
    <w:p w14:paraId="1531D3CF" w14:textId="77777777" w:rsidR="000E37D4" w:rsidRDefault="000E37D4">
      <w:pPr>
        <w:spacing w:after="100"/>
      </w:pPr>
    </w:p>
    <w:p w14:paraId="339778ED" w14:textId="77777777" w:rsidR="000E37D4" w:rsidRDefault="00000000">
      <w:pPr>
        <w:spacing w:after="120"/>
      </w:pPr>
      <w:r>
        <w:rPr>
          <w:rFonts w:ascii="Arial" w:eastAsia="Arial" w:hAnsi="Arial" w:cs="Arial"/>
          <w:color w:val="333333"/>
          <w:sz w:val="22"/>
          <w:szCs w:val="22"/>
        </w:rPr>
        <w:t>Detalle de los 6 controles de hardening de contenedores exigidos por la documentación institucional, ya cubiertos por la implementación de Docker: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400"/>
        <w:gridCol w:w="4840"/>
      </w:tblGrid>
      <w:tr w:rsidR="000E37D4" w14:paraId="64438949" w14:textId="77777777">
        <w:trPr>
          <w:tblHeader/>
        </w:trPr>
        <w:tc>
          <w:tcPr>
            <w:tcW w:w="3120" w:type="dxa"/>
            <w:tcBorders>
              <w:top w:val="single" w:sz="4" w:space="0" w:color="018D38"/>
              <w:left w:val="single" w:sz="4" w:space="0" w:color="018D38"/>
              <w:bottom w:val="single" w:sz="4" w:space="0" w:color="018D38"/>
              <w:right w:val="single" w:sz="4" w:space="0" w:color="018D38"/>
            </w:tcBorders>
            <w:shd w:val="clear" w:color="auto" w:fill="018D38"/>
          </w:tcPr>
          <w:p w14:paraId="5506F5F0" w14:textId="77777777" w:rsidR="000E37D4" w:rsidRDefault="00000000">
            <w:pPr>
              <w:spacing w:before="60" w:after="60"/>
              <w:jc w:val="center"/>
            </w:pPr>
            <w:r>
              <w:rPr>
                <w:rFonts w:ascii="Arial" w:eastAsia="Arial" w:hAnsi="Arial" w:cs="Arial"/>
                <w:b/>
                <w:bCs/>
                <w:color w:val="FFFFFF"/>
              </w:rPr>
              <w:t>Control exigido</w:t>
            </w:r>
          </w:p>
        </w:tc>
        <w:tc>
          <w:tcPr>
            <w:tcW w:w="1400" w:type="dxa"/>
            <w:tcBorders>
              <w:top w:val="single" w:sz="4" w:space="0" w:color="018D38"/>
              <w:left w:val="single" w:sz="4" w:space="0" w:color="018D38"/>
              <w:bottom w:val="single" w:sz="4" w:space="0" w:color="018D38"/>
              <w:right w:val="single" w:sz="4" w:space="0" w:color="018D38"/>
            </w:tcBorders>
            <w:shd w:val="clear" w:color="auto" w:fill="018D38"/>
          </w:tcPr>
          <w:p w14:paraId="0715C9DD" w14:textId="77777777" w:rsidR="000E37D4" w:rsidRDefault="00000000">
            <w:pPr>
              <w:spacing w:before="60" w:after="60"/>
              <w:jc w:val="center"/>
            </w:pPr>
            <w:r>
              <w:rPr>
                <w:rFonts w:ascii="Arial" w:eastAsia="Arial" w:hAnsi="Arial" w:cs="Arial"/>
                <w:b/>
                <w:bCs/>
                <w:color w:val="FFFFFF"/>
              </w:rPr>
              <w:t>Estado</w:t>
            </w:r>
          </w:p>
        </w:tc>
        <w:tc>
          <w:tcPr>
            <w:tcW w:w="4840" w:type="dxa"/>
            <w:tcBorders>
              <w:top w:val="single" w:sz="4" w:space="0" w:color="018D38"/>
              <w:left w:val="single" w:sz="4" w:space="0" w:color="018D38"/>
              <w:bottom w:val="single" w:sz="4" w:space="0" w:color="018D38"/>
              <w:right w:val="single" w:sz="4" w:space="0" w:color="018D38"/>
            </w:tcBorders>
            <w:shd w:val="clear" w:color="auto" w:fill="018D38"/>
          </w:tcPr>
          <w:p w14:paraId="69EDD64F" w14:textId="77777777" w:rsidR="000E37D4" w:rsidRDefault="00000000">
            <w:pPr>
              <w:spacing w:before="60" w:after="60"/>
              <w:jc w:val="center"/>
            </w:pPr>
            <w:r>
              <w:rPr>
                <w:rFonts w:ascii="Arial" w:eastAsia="Arial" w:hAnsi="Arial" w:cs="Arial"/>
                <w:b/>
                <w:bCs/>
                <w:color w:val="FFFFFF"/>
              </w:rPr>
              <w:t>Dónde queda evidenciado</w:t>
            </w:r>
          </w:p>
        </w:tc>
      </w:tr>
      <w:tr w:rsidR="000E37D4" w14:paraId="61676A17"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DF6A7A4" w14:textId="77777777" w:rsidR="000E37D4" w:rsidRDefault="00000000">
            <w:pPr>
              <w:spacing w:before="60" w:after="60"/>
            </w:pPr>
            <w:r>
              <w:rPr>
                <w:rFonts w:ascii="Arial" w:eastAsia="Arial" w:hAnsi="Arial" w:cs="Arial"/>
                <w:color w:val="333333"/>
              </w:rPr>
              <w:t>Inyección de secretos (no hardcodear credenciales en la imagen)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14:paraId="4A89E431" w14:textId="77777777" w:rsidR="000E37D4" w:rsidRDefault="00000000">
            <w:pPr>
              <w:spacing w:before="60" w:after="60"/>
            </w:pPr>
            <w:r>
              <w:rPr>
                <w:rFonts w:ascii="Arial" w:eastAsia="Arial" w:hAnsi="Arial" w:cs="Arial"/>
                <w:color w:val="333333"/>
              </w:rPr>
              <w:t>✅ Resuelto</w:t>
            </w:r>
          </w:p>
        </w:tc>
        <w:tc>
          <w:tcPr>
            <w:tcW w:w="4840" w:type="dxa"/>
            <w:tcBorders>
              <w:top w:val="single" w:sz="4" w:space="0" w:color="CCCCCC"/>
              <w:left w:val="single" w:sz="4" w:space="0" w:color="CCCCCC"/>
              <w:bottom w:val="single" w:sz="4" w:space="0" w:color="CCCCCC"/>
              <w:right w:val="single" w:sz="4" w:space="0" w:color="CCCCCC"/>
            </w:tcBorders>
            <w:shd w:val="clear" w:color="auto" w:fill="FFFFFF"/>
          </w:tcPr>
          <w:p w14:paraId="27040CAF" w14:textId="77777777" w:rsidR="000E37D4" w:rsidRDefault="00000000">
            <w:pPr>
              <w:spacing w:before="60" w:after="60"/>
            </w:pPr>
            <w:r>
              <w:rPr>
                <w:rFonts w:ascii="Arial" w:eastAsia="Arial" w:hAnsi="Arial" w:cs="Arial"/>
                <w:color w:val="333333"/>
              </w:rPr>
              <w:t>docker-compose.yml usa env_file apuntando a backend/.env; el Dockerfile no copia ni hornea secretos.</w:t>
            </w:r>
          </w:p>
        </w:tc>
      </w:tr>
      <w:tr w:rsidR="000E37D4" w14:paraId="7F3E2F09"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FF4"/>
          </w:tcPr>
          <w:p w14:paraId="575DF05C" w14:textId="77777777" w:rsidR="000E37D4" w:rsidRDefault="00000000">
            <w:pPr>
              <w:spacing w:before="60" w:after="60"/>
            </w:pPr>
            <w:r>
              <w:rPr>
                <w:rFonts w:ascii="Arial" w:eastAsia="Arial" w:hAnsi="Arial" w:cs="Arial"/>
                <w:color w:val="333333"/>
              </w:rPr>
              <w:t>.dockerignore (aislamiento de archivos innecesarios)</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14:paraId="49DAEADD" w14:textId="77777777" w:rsidR="000E37D4" w:rsidRDefault="00000000">
            <w:pPr>
              <w:spacing w:before="60" w:after="60"/>
            </w:pPr>
            <w:r>
              <w:rPr>
                <w:rFonts w:ascii="Arial" w:eastAsia="Arial" w:hAnsi="Arial" w:cs="Arial"/>
                <w:color w:val="333333"/>
              </w:rPr>
              <w:t>✅ Resuelto</w:t>
            </w:r>
          </w:p>
        </w:tc>
        <w:tc>
          <w:tcPr>
            <w:tcW w:w="4840" w:type="dxa"/>
            <w:tcBorders>
              <w:top w:val="single" w:sz="4" w:space="0" w:color="CCCCCC"/>
              <w:left w:val="single" w:sz="4" w:space="0" w:color="CCCCCC"/>
              <w:bottom w:val="single" w:sz="4" w:space="0" w:color="CCCCCC"/>
              <w:right w:val="single" w:sz="4" w:space="0" w:color="CCCCCC"/>
            </w:tcBorders>
            <w:shd w:val="clear" w:color="auto" w:fill="F0FFF4"/>
          </w:tcPr>
          <w:p w14:paraId="6E70FA46" w14:textId="77777777" w:rsidR="000E37D4" w:rsidRDefault="00000000">
            <w:pPr>
              <w:spacing w:before="60" w:after="60"/>
            </w:pPr>
            <w:r>
              <w:rPr>
                <w:rFonts w:ascii="Arial" w:eastAsia="Arial" w:hAnsi="Arial" w:cs="Arial"/>
                <w:color w:val="333333"/>
              </w:rPr>
              <w:t>.dockerignore excluye node_modules, secretos, contenido dinámico y documentos institucionales grandes/privados.</w:t>
            </w:r>
          </w:p>
        </w:tc>
      </w:tr>
      <w:tr w:rsidR="000E37D4" w14:paraId="3475F45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F9F63C9" w14:textId="77777777" w:rsidR="000E37D4" w:rsidRDefault="00000000">
            <w:pPr>
              <w:spacing w:before="60" w:after="60"/>
            </w:pPr>
            <w:r>
              <w:rPr>
                <w:rFonts w:ascii="Arial" w:eastAsia="Arial" w:hAnsi="Arial" w:cs="Arial"/>
                <w:color w:val="333333"/>
              </w:rPr>
              <w:t>Usuario non-root en el contenedor (mínimo privilegio)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14:paraId="70C3BEB4" w14:textId="77777777" w:rsidR="000E37D4" w:rsidRDefault="00000000">
            <w:pPr>
              <w:spacing w:before="60" w:after="60"/>
            </w:pPr>
            <w:r>
              <w:rPr>
                <w:rFonts w:ascii="Arial" w:eastAsia="Arial" w:hAnsi="Arial" w:cs="Arial"/>
                <w:color w:val="333333"/>
              </w:rPr>
              <w:t>✅ Resuelto</w:t>
            </w:r>
          </w:p>
        </w:tc>
        <w:tc>
          <w:tcPr>
            <w:tcW w:w="4840" w:type="dxa"/>
            <w:tcBorders>
              <w:top w:val="single" w:sz="4" w:space="0" w:color="CCCCCC"/>
              <w:left w:val="single" w:sz="4" w:space="0" w:color="CCCCCC"/>
              <w:bottom w:val="single" w:sz="4" w:space="0" w:color="CCCCCC"/>
              <w:right w:val="single" w:sz="4" w:space="0" w:color="CCCCCC"/>
            </w:tcBorders>
            <w:shd w:val="clear" w:color="auto" w:fill="FFFFFF"/>
          </w:tcPr>
          <w:p w14:paraId="2077F16F" w14:textId="77777777" w:rsidR="000E37D4" w:rsidRDefault="00000000">
            <w:pPr>
              <w:spacing w:before="60" w:after="60"/>
            </w:pPr>
            <w:r>
              <w:rPr>
                <w:rFonts w:ascii="Arial" w:eastAsia="Arial" w:hAnsi="Arial" w:cs="Arial"/>
                <w:color w:val="333333"/>
              </w:rPr>
              <w:t>Dockerfile crea los directorios de datos y aplica chown a node:node; USER node antes del CMD.</w:t>
            </w:r>
          </w:p>
        </w:tc>
      </w:tr>
      <w:tr w:rsidR="000E37D4" w14:paraId="69F7CF67"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FF4"/>
          </w:tcPr>
          <w:p w14:paraId="2C2B45E2" w14:textId="77777777" w:rsidR="000E37D4" w:rsidRDefault="00000000">
            <w:pPr>
              <w:spacing w:before="60" w:after="60"/>
            </w:pPr>
            <w:r>
              <w:rPr>
                <w:rFonts w:ascii="Arial" w:eastAsia="Arial" w:hAnsi="Arial" w:cs="Arial"/>
                <w:color w:val="333333"/>
              </w:rPr>
              <w:t>Multi-stage builds</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14:paraId="1324C340" w14:textId="77777777" w:rsidR="000E37D4" w:rsidRDefault="00000000">
            <w:pPr>
              <w:spacing w:before="60" w:after="60"/>
            </w:pPr>
            <w:r>
              <w:rPr>
                <w:rFonts w:ascii="Arial" w:eastAsia="Arial" w:hAnsi="Arial" w:cs="Arial"/>
                <w:color w:val="333333"/>
              </w:rPr>
              <w:t>✅ Resuelto</w:t>
            </w:r>
          </w:p>
        </w:tc>
        <w:tc>
          <w:tcPr>
            <w:tcW w:w="4840" w:type="dxa"/>
            <w:tcBorders>
              <w:top w:val="single" w:sz="4" w:space="0" w:color="CCCCCC"/>
              <w:left w:val="single" w:sz="4" w:space="0" w:color="CCCCCC"/>
              <w:bottom w:val="single" w:sz="4" w:space="0" w:color="CCCCCC"/>
              <w:right w:val="single" w:sz="4" w:space="0" w:color="CCCCCC"/>
            </w:tcBorders>
            <w:shd w:val="clear" w:color="auto" w:fill="F0FFF4"/>
          </w:tcPr>
          <w:p w14:paraId="0463210E" w14:textId="77777777" w:rsidR="000E37D4" w:rsidRDefault="00000000">
            <w:pPr>
              <w:spacing w:before="60" w:after="60"/>
            </w:pPr>
            <w:r>
              <w:rPr>
                <w:rFonts w:ascii="Arial" w:eastAsia="Arial" w:hAnsi="Arial" w:cs="Arial"/>
                <w:color w:val="333333"/>
              </w:rPr>
              <w:t>Etapa "deps" (npm ci) separada de la etapa "runtime" que corre la aplicación.</w:t>
            </w:r>
          </w:p>
        </w:tc>
      </w:tr>
      <w:tr w:rsidR="000E37D4" w:rsidRPr="008A072A" w14:paraId="54BA6C0B"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62DCA0E5" w14:textId="77777777" w:rsidR="000E37D4" w:rsidRDefault="00000000">
            <w:pPr>
              <w:spacing w:before="60" w:after="60"/>
            </w:pPr>
            <w:r>
              <w:rPr>
                <w:rFonts w:ascii="Arial" w:eastAsia="Arial" w:hAnsi="Arial" w:cs="Arial"/>
                <w:color w:val="333333"/>
              </w:rPr>
              <w:t>HEALTHCHECK de contenedor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14:paraId="45156268" w14:textId="77777777" w:rsidR="000E37D4" w:rsidRDefault="00000000">
            <w:pPr>
              <w:spacing w:before="60" w:after="60"/>
            </w:pPr>
            <w:r>
              <w:rPr>
                <w:rFonts w:ascii="Arial" w:eastAsia="Arial" w:hAnsi="Arial" w:cs="Arial"/>
                <w:color w:val="333333"/>
              </w:rPr>
              <w:t>✅ Resuelto</w:t>
            </w:r>
          </w:p>
        </w:tc>
        <w:tc>
          <w:tcPr>
            <w:tcW w:w="4840" w:type="dxa"/>
            <w:tcBorders>
              <w:top w:val="single" w:sz="4" w:space="0" w:color="CCCCCC"/>
              <w:left w:val="single" w:sz="4" w:space="0" w:color="CCCCCC"/>
              <w:bottom w:val="single" w:sz="4" w:space="0" w:color="CCCCCC"/>
              <w:right w:val="single" w:sz="4" w:space="0" w:color="CCCCCC"/>
            </w:tcBorders>
            <w:shd w:val="clear" w:color="auto" w:fill="FFFFFF"/>
          </w:tcPr>
          <w:p w14:paraId="606D1B3A" w14:textId="77777777" w:rsidR="000E37D4" w:rsidRPr="00510340" w:rsidRDefault="00000000">
            <w:pPr>
              <w:spacing w:before="60" w:after="60"/>
              <w:rPr>
                <w:lang w:val="en-US"/>
              </w:rPr>
            </w:pPr>
            <w:r w:rsidRPr="00510340">
              <w:rPr>
                <w:rFonts w:ascii="Arial" w:eastAsia="Arial" w:hAnsi="Arial" w:cs="Arial"/>
                <w:color w:val="333333"/>
                <w:lang w:val="en-US"/>
              </w:rPr>
              <w:t>Instrucción HEALTHCHECK del Dockerfile, contra GET /api/health cada 30s.</w:t>
            </w:r>
          </w:p>
        </w:tc>
      </w:tr>
      <w:tr w:rsidR="000E37D4" w14:paraId="14500C38"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FF4"/>
          </w:tcPr>
          <w:p w14:paraId="0ECFB206" w14:textId="77777777" w:rsidR="000E37D4" w:rsidRDefault="00000000">
            <w:pPr>
              <w:spacing w:before="60" w:after="60"/>
            </w:pPr>
            <w:r>
              <w:rPr>
                <w:rFonts w:ascii="Arial" w:eastAsia="Arial" w:hAnsi="Arial" w:cs="Arial"/>
                <w:color w:val="333333"/>
              </w:rPr>
              <w:t>Análisis de vulnerabilidades de imágenes en CI/CD</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14:paraId="50ED435B" w14:textId="77777777" w:rsidR="000E37D4" w:rsidRDefault="00000000">
            <w:pPr>
              <w:spacing w:before="60" w:after="60"/>
            </w:pPr>
            <w:r>
              <w:rPr>
                <w:rFonts w:ascii="Arial" w:eastAsia="Arial" w:hAnsi="Arial" w:cs="Arial"/>
                <w:color w:val="333333"/>
              </w:rPr>
              <w:t>✅ Resuelto</w:t>
            </w:r>
          </w:p>
        </w:tc>
        <w:tc>
          <w:tcPr>
            <w:tcW w:w="4840" w:type="dxa"/>
            <w:tcBorders>
              <w:top w:val="single" w:sz="4" w:space="0" w:color="CCCCCC"/>
              <w:left w:val="single" w:sz="4" w:space="0" w:color="CCCCCC"/>
              <w:bottom w:val="single" w:sz="4" w:space="0" w:color="CCCCCC"/>
              <w:right w:val="single" w:sz="4" w:space="0" w:color="CCCCCC"/>
            </w:tcBorders>
            <w:shd w:val="clear" w:color="auto" w:fill="F0FFF4"/>
          </w:tcPr>
          <w:p w14:paraId="393DD639" w14:textId="77777777" w:rsidR="000E37D4" w:rsidRDefault="00000000">
            <w:pPr>
              <w:spacing w:before="60" w:after="60"/>
            </w:pPr>
            <w:r>
              <w:rPr>
                <w:rFonts w:ascii="Arial" w:eastAsia="Arial" w:hAnsi="Arial" w:cs="Arial"/>
                <w:color w:val="333333"/>
              </w:rPr>
              <w:t>Etapa BuildImage de azure-pipelines.yml corre Trivy (severidad Alta/Crítica) antes del push al registry.</w:t>
            </w:r>
          </w:p>
        </w:tc>
      </w:tr>
    </w:tbl>
    <w:p w14:paraId="5DF18D12" w14:textId="77777777" w:rsidR="000E37D4" w:rsidRDefault="000E37D4">
      <w:pPr>
        <w:spacing w:after="100"/>
      </w:pPr>
    </w:p>
    <w:p w14:paraId="16BDC562" w14:textId="77777777" w:rsidR="000E37D4" w:rsidRDefault="00000000">
      <w:pPr>
        <w:pStyle w:val="Ttulo2"/>
        <w:spacing w:before="200" w:after="100"/>
      </w:pPr>
      <w:bookmarkStart w:id="7" w:name="_Toc237443593"/>
      <w:r>
        <w:rPr>
          <w:rFonts w:ascii="Arial" w:eastAsia="Arial" w:hAnsi="Arial" w:cs="Arial"/>
          <w:b/>
          <w:bCs/>
          <w:color w:val="0B5640"/>
        </w:rPr>
        <w:t>[Moderado]</w:t>
      </w:r>
      <w:bookmarkEnd w:id="7"/>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2"/>
        <w:gridCol w:w="891"/>
        <w:gridCol w:w="4010"/>
        <w:gridCol w:w="1037"/>
      </w:tblGrid>
      <w:tr w:rsidR="000E37D4" w14:paraId="10ECEBCF" w14:textId="77777777">
        <w:trPr>
          <w:tblHeader/>
        </w:trPr>
        <w:tc>
          <w:tcPr>
            <w:tcW w:w="2600" w:type="dxa"/>
            <w:tcBorders>
              <w:top w:val="single" w:sz="4" w:space="0" w:color="018D38"/>
              <w:left w:val="single" w:sz="4" w:space="0" w:color="018D38"/>
              <w:bottom w:val="single" w:sz="4" w:space="0" w:color="018D38"/>
              <w:right w:val="single" w:sz="4" w:space="0" w:color="018D38"/>
            </w:tcBorders>
            <w:shd w:val="clear" w:color="auto" w:fill="018D38"/>
          </w:tcPr>
          <w:p w14:paraId="0949EBEA" w14:textId="77777777" w:rsidR="000E37D4" w:rsidRDefault="00000000">
            <w:pPr>
              <w:spacing w:before="60" w:after="60"/>
              <w:jc w:val="center"/>
            </w:pPr>
            <w:r>
              <w:rPr>
                <w:rFonts w:ascii="Arial" w:eastAsia="Arial" w:hAnsi="Arial" w:cs="Arial"/>
                <w:b/>
                <w:bCs/>
                <w:color w:val="FFFFFF"/>
              </w:rPr>
              <w:t>Hallazgo</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14:paraId="73EC2308" w14:textId="77777777" w:rsidR="000E37D4" w:rsidRDefault="00000000">
            <w:pPr>
              <w:spacing w:before="60" w:after="60"/>
              <w:jc w:val="center"/>
            </w:pPr>
            <w:r>
              <w:rPr>
                <w:rFonts w:ascii="Arial" w:eastAsia="Arial" w:hAnsi="Arial" w:cs="Arial"/>
                <w:b/>
                <w:bCs/>
                <w:color w:val="FFFFFF"/>
              </w:rPr>
              <w:t>Estado</w:t>
            </w:r>
          </w:p>
        </w:tc>
        <w:tc>
          <w:tcPr>
            <w:tcW w:w="4200" w:type="dxa"/>
            <w:tcBorders>
              <w:top w:val="single" w:sz="4" w:space="0" w:color="018D38"/>
              <w:left w:val="single" w:sz="4" w:space="0" w:color="018D38"/>
              <w:bottom w:val="single" w:sz="4" w:space="0" w:color="018D38"/>
              <w:right w:val="single" w:sz="4" w:space="0" w:color="018D38"/>
            </w:tcBorders>
            <w:shd w:val="clear" w:color="auto" w:fill="018D38"/>
          </w:tcPr>
          <w:p w14:paraId="4508DE7F" w14:textId="77777777" w:rsidR="000E37D4" w:rsidRDefault="00000000">
            <w:pPr>
              <w:spacing w:before="60" w:after="60"/>
              <w:jc w:val="center"/>
            </w:pPr>
            <w:r>
              <w:rPr>
                <w:rFonts w:ascii="Arial" w:eastAsia="Arial" w:hAnsi="Arial" w:cs="Arial"/>
                <w:b/>
                <w:bCs/>
                <w:color w:val="FFFFFF"/>
              </w:rPr>
              <w:t>Cómo se resolvió</w:t>
            </w:r>
          </w:p>
        </w:tc>
        <w:tc>
          <w:tcPr>
            <w:tcW w:w="1660" w:type="dxa"/>
            <w:tcBorders>
              <w:top w:val="single" w:sz="4" w:space="0" w:color="018D38"/>
              <w:left w:val="single" w:sz="4" w:space="0" w:color="018D38"/>
              <w:bottom w:val="single" w:sz="4" w:space="0" w:color="018D38"/>
              <w:right w:val="single" w:sz="4" w:space="0" w:color="018D38"/>
            </w:tcBorders>
            <w:shd w:val="clear" w:color="auto" w:fill="018D38"/>
          </w:tcPr>
          <w:p w14:paraId="004C79E5" w14:textId="77777777" w:rsidR="000E37D4" w:rsidRDefault="00000000">
            <w:pPr>
              <w:spacing w:before="60" w:after="60"/>
              <w:jc w:val="center"/>
            </w:pPr>
            <w:r>
              <w:rPr>
                <w:rFonts w:ascii="Arial" w:eastAsia="Arial" w:hAnsi="Arial" w:cs="Arial"/>
                <w:b/>
                <w:bCs/>
                <w:color w:val="FFFFFF"/>
              </w:rPr>
              <w:t>Sección</w:t>
            </w:r>
          </w:p>
        </w:tc>
      </w:tr>
      <w:tr w:rsidR="000E37D4" w14:paraId="6120A18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6C1F1EB8" w14:textId="77777777" w:rsidR="000E37D4" w:rsidRDefault="00000000">
            <w:pPr>
              <w:spacing w:before="60" w:after="60"/>
            </w:pPr>
            <w:r>
              <w:rPr>
                <w:rFonts w:ascii="Arial" w:eastAsia="Arial" w:hAnsi="Arial" w:cs="Arial"/>
                <w:color w:val="333333"/>
              </w:rPr>
              <w:t>DI: el numeral 12 "Roadmap Técnico (Opcional)" quedó con el texto instructivo de la plantilla sin diligenciar.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00EA5BBC" w14:textId="77777777" w:rsidR="000E37D4" w:rsidRDefault="00000000">
            <w:pPr>
              <w:spacing w:before="60" w:after="60"/>
            </w:pPr>
            <w:r>
              <w:rPr>
                <w:rFonts w:ascii="Arial" w:eastAsia="Arial" w:hAnsi="Arial" w:cs="Arial"/>
                <w:color w:val="333333"/>
              </w:rPr>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Pr>
          <w:p w14:paraId="39CDED93" w14:textId="77777777" w:rsidR="000E37D4" w:rsidRDefault="00000000">
            <w:pPr>
              <w:spacing w:before="60" w:after="60"/>
            </w:pPr>
            <w:r>
              <w:rPr>
                <w:rFonts w:ascii="Arial" w:eastAsia="Arial" w:hAnsi="Arial" w:cs="Arial"/>
                <w:color w:val="333333"/>
              </w:rPr>
              <w:t>Ver detalle en la Sección 3 de este documento.</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Pr>
          <w:p w14:paraId="2C1FF5AC" w14:textId="77777777" w:rsidR="000E37D4" w:rsidRDefault="00000000">
            <w:pPr>
              <w:spacing w:before="60" w:after="60"/>
            </w:pPr>
            <w:r>
              <w:rPr>
                <w:rFonts w:ascii="Arial" w:eastAsia="Arial" w:hAnsi="Arial" w:cs="Arial"/>
                <w:color w:val="333333"/>
              </w:rPr>
              <w:t>DI — 12</w:t>
            </w:r>
          </w:p>
        </w:tc>
      </w:tr>
      <w:tr w:rsidR="000E37D4" w14:paraId="51A9EB6F"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FF4"/>
          </w:tcPr>
          <w:p w14:paraId="3BE25E70" w14:textId="77777777" w:rsidR="000E37D4" w:rsidRDefault="00000000">
            <w:pPr>
              <w:spacing w:before="60" w:after="60"/>
            </w:pPr>
            <w:r>
              <w:rPr>
                <w:rFonts w:ascii="Arial" w:eastAsia="Arial" w:hAnsi="Arial" w:cs="Arial"/>
                <w:color w:val="333333"/>
              </w:rPr>
              <w:t>LRS vs. DI: RQP09 ("API REST de consulta" pública de especies/familias/grupos/subregiones) no tenía soporte técnico verificable — el DI afirmaba que la API REST es consumida "únicamente por el panel de administración".</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14:paraId="764DBBB6" w14:textId="77777777" w:rsidR="000E37D4" w:rsidRDefault="00000000">
            <w:pPr>
              <w:spacing w:before="60" w:after="60"/>
            </w:pPr>
            <w:r>
              <w:rPr>
                <w:rFonts w:ascii="Arial" w:eastAsia="Arial" w:hAnsi="Arial" w:cs="Arial"/>
                <w:color w:val="333333"/>
              </w:rPr>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0FFF4"/>
          </w:tcPr>
          <w:p w14:paraId="1F272AD5" w14:textId="77777777" w:rsidR="000E37D4" w:rsidRDefault="00000000">
            <w:pPr>
              <w:spacing w:before="60" w:after="60"/>
            </w:pPr>
            <w:r>
              <w:rPr>
                <w:rFonts w:ascii="Arial" w:eastAsia="Arial" w:hAnsi="Arial" w:cs="Arial"/>
                <w:color w:val="333333"/>
              </w:rPr>
              <w:t xml:space="preserve">Reescrito en ambos documentos: el DI (numeral 3.1) ahora describe que el backend expone una API REST para el panel de administración, y que la consulta pública de especies/familias/grupos/subregiones (RQP09) se sirve como JSON estático directamente al frontend, sin pasar por esa API. El LRS (fila RQP09) documenta lo mismo, incluyendo por qué (catálogo que cambia con poca frecuencia) y que no está en el Swagger/OpenAPI (esa spec cubre solo /api/admin/*). *Queda una imprecisión menor no resuelta: la columna "Entrada" de la fila RQP09 en el LRS sigue diciendo "Petición HTTP GET con parámetros", que </w:t>
            </w:r>
            <w:r>
              <w:rPr>
                <w:rFonts w:ascii="Arial" w:eastAsia="Arial" w:hAnsi="Arial" w:cs="Arial"/>
                <w:color w:val="333333"/>
              </w:rPr>
              <w:lastRenderedPageBreak/>
              <w:t>describe mejor un endpoint REST que una carga de archivo estático — pendiente de ajustar en una siguiente iteración.</w:t>
            </w:r>
          </w:p>
        </w:tc>
        <w:tc>
          <w:tcPr>
            <w:tcW w:w="1660" w:type="dxa"/>
            <w:tcBorders>
              <w:top w:val="single" w:sz="4" w:space="0" w:color="CCCCCC"/>
              <w:left w:val="single" w:sz="4" w:space="0" w:color="CCCCCC"/>
              <w:bottom w:val="single" w:sz="4" w:space="0" w:color="CCCCCC"/>
              <w:right w:val="single" w:sz="4" w:space="0" w:color="CCCCCC"/>
            </w:tcBorders>
            <w:shd w:val="clear" w:color="auto" w:fill="F0FFF4"/>
          </w:tcPr>
          <w:p w14:paraId="3CA2EEA4" w14:textId="77777777" w:rsidR="000E37D4" w:rsidRDefault="00000000">
            <w:pPr>
              <w:spacing w:before="60" w:after="60"/>
            </w:pPr>
            <w:r>
              <w:rPr>
                <w:rFonts w:ascii="Arial" w:eastAsia="Arial" w:hAnsi="Arial" w:cs="Arial"/>
                <w:color w:val="333333"/>
              </w:rPr>
              <w:lastRenderedPageBreak/>
              <w:t>DI — 3.1 / LRS — RQP09</w:t>
            </w:r>
          </w:p>
        </w:tc>
      </w:tr>
      <w:tr w:rsidR="000E37D4" w14:paraId="3B1E0A0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7EB9E3B4" w14:textId="77777777" w:rsidR="000E37D4" w:rsidRDefault="00000000">
            <w:pPr>
              <w:spacing w:before="60" w:after="60"/>
            </w:pPr>
            <w:r>
              <w:rPr>
                <w:rFonts w:ascii="Arial" w:eastAsia="Arial" w:hAnsi="Arial" w:cs="Arial"/>
                <w:color w:val="333333"/>
              </w:rPr>
              <w:t>DI — Figura 1 (Arquitectura general) vs. 6.3/6.4 y Ajuste 2 de la PTF: el diagrama agrupa MongoDB y Redis en una misma caja "Persistencia", sin distinguir que Redis corre en el mismo servidor y MongoDB es un servicio externo (Atlas).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3C615D30" w14:textId="77777777" w:rsidR="000E37D4" w:rsidRDefault="00000000">
            <w:pPr>
              <w:spacing w:before="60" w:after="60"/>
            </w:pPr>
            <w:r>
              <w:rPr>
                <w:rFonts w:ascii="Arial" w:eastAsia="Arial" w:hAnsi="Arial" w:cs="Arial"/>
                <w:color w:val="333333"/>
              </w:rPr>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Pr>
          <w:p w14:paraId="7E40CA62" w14:textId="77777777" w:rsidR="000E37D4" w:rsidRDefault="00000000">
            <w:pPr>
              <w:spacing w:before="60" w:after="60"/>
            </w:pPr>
            <w:r>
              <w:rPr>
                <w:rFonts w:ascii="Arial" w:eastAsia="Arial" w:hAnsi="Arial" w:cs="Arial"/>
                <w:color w:val="333333"/>
              </w:rPr>
              <w:t>Figura 1 rediseñada (nuevo script versionado `generate_figura1_arquitectura_general.py`, graphviz — no existía fuente editable antes, era un PNG suelto). Redis ahora aparece dentro de la caja "Servidor Gobernación" (mismo servidor, junto al backend); MongoDB Atlas quedó fuera de esa caja, en su propia caja lila junto a la API de iNaturalist, con la etiqueta explícita "(proveedor externo)". Ya no hay una caja "Persistencia" que los agrupe.</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Pr>
          <w:p w14:paraId="16A10A8A" w14:textId="77777777" w:rsidR="000E37D4" w:rsidRDefault="00000000">
            <w:pPr>
              <w:spacing w:before="60" w:after="60"/>
            </w:pPr>
            <w:r>
              <w:rPr>
                <w:rFonts w:ascii="Arial" w:eastAsia="Arial" w:hAnsi="Arial" w:cs="Arial"/>
                <w:color w:val="333333"/>
              </w:rPr>
              <w:t>DI — Figura 1</w:t>
            </w:r>
          </w:p>
        </w:tc>
      </w:tr>
    </w:tbl>
    <w:p w14:paraId="0A747E3A" w14:textId="77777777" w:rsidR="000E37D4" w:rsidRDefault="000E37D4">
      <w:pPr>
        <w:spacing w:after="100"/>
      </w:pPr>
    </w:p>
    <w:p w14:paraId="321B20F5" w14:textId="77777777" w:rsidR="000E37D4" w:rsidRDefault="00000000">
      <w:pPr>
        <w:pStyle w:val="Ttulo2"/>
        <w:spacing w:before="200" w:after="100"/>
      </w:pPr>
      <w:bookmarkStart w:id="8" w:name="_Toc237443594"/>
      <w:r>
        <w:rPr>
          <w:rFonts w:ascii="Arial" w:eastAsia="Arial" w:hAnsi="Arial" w:cs="Arial"/>
          <w:b/>
          <w:bCs/>
          <w:color w:val="0B5640"/>
        </w:rPr>
        <w:t>[Menor]</w:t>
      </w:r>
      <w:bookmarkEnd w:id="8"/>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4200"/>
        <w:gridCol w:w="1660"/>
      </w:tblGrid>
      <w:tr w:rsidR="000E37D4" w14:paraId="77C7B496" w14:textId="77777777">
        <w:trPr>
          <w:tblHeader/>
        </w:trPr>
        <w:tc>
          <w:tcPr>
            <w:tcW w:w="2600" w:type="dxa"/>
            <w:tcBorders>
              <w:top w:val="single" w:sz="4" w:space="0" w:color="018D38"/>
              <w:left w:val="single" w:sz="4" w:space="0" w:color="018D38"/>
              <w:bottom w:val="single" w:sz="4" w:space="0" w:color="018D38"/>
              <w:right w:val="single" w:sz="4" w:space="0" w:color="018D38"/>
            </w:tcBorders>
            <w:shd w:val="clear" w:color="auto" w:fill="018D38"/>
          </w:tcPr>
          <w:p w14:paraId="55CC1F15" w14:textId="77777777" w:rsidR="000E37D4" w:rsidRDefault="00000000">
            <w:pPr>
              <w:spacing w:before="60" w:after="60"/>
              <w:jc w:val="center"/>
            </w:pPr>
            <w:r>
              <w:rPr>
                <w:rFonts w:ascii="Arial" w:eastAsia="Arial" w:hAnsi="Arial" w:cs="Arial"/>
                <w:b/>
                <w:bCs/>
                <w:color w:val="FFFFFF"/>
              </w:rPr>
              <w:t>Hallazgo</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14:paraId="12D15ECB" w14:textId="77777777" w:rsidR="000E37D4" w:rsidRDefault="00000000">
            <w:pPr>
              <w:spacing w:before="60" w:after="60"/>
              <w:jc w:val="center"/>
            </w:pPr>
            <w:r>
              <w:rPr>
                <w:rFonts w:ascii="Arial" w:eastAsia="Arial" w:hAnsi="Arial" w:cs="Arial"/>
                <w:b/>
                <w:bCs/>
                <w:color w:val="FFFFFF"/>
              </w:rPr>
              <w:t>Estado</w:t>
            </w:r>
          </w:p>
        </w:tc>
        <w:tc>
          <w:tcPr>
            <w:tcW w:w="4200" w:type="dxa"/>
            <w:tcBorders>
              <w:top w:val="single" w:sz="4" w:space="0" w:color="018D38"/>
              <w:left w:val="single" w:sz="4" w:space="0" w:color="018D38"/>
              <w:bottom w:val="single" w:sz="4" w:space="0" w:color="018D38"/>
              <w:right w:val="single" w:sz="4" w:space="0" w:color="018D38"/>
            </w:tcBorders>
            <w:shd w:val="clear" w:color="auto" w:fill="018D38"/>
          </w:tcPr>
          <w:p w14:paraId="052E5662" w14:textId="77777777" w:rsidR="000E37D4" w:rsidRDefault="00000000">
            <w:pPr>
              <w:spacing w:before="60" w:after="60"/>
              <w:jc w:val="center"/>
            </w:pPr>
            <w:r>
              <w:rPr>
                <w:rFonts w:ascii="Arial" w:eastAsia="Arial" w:hAnsi="Arial" w:cs="Arial"/>
                <w:b/>
                <w:bCs/>
                <w:color w:val="FFFFFF"/>
              </w:rPr>
              <w:t>Cómo se resolvió</w:t>
            </w:r>
          </w:p>
        </w:tc>
        <w:tc>
          <w:tcPr>
            <w:tcW w:w="1660" w:type="dxa"/>
            <w:tcBorders>
              <w:top w:val="single" w:sz="4" w:space="0" w:color="018D38"/>
              <w:left w:val="single" w:sz="4" w:space="0" w:color="018D38"/>
              <w:bottom w:val="single" w:sz="4" w:space="0" w:color="018D38"/>
              <w:right w:val="single" w:sz="4" w:space="0" w:color="018D38"/>
            </w:tcBorders>
            <w:shd w:val="clear" w:color="auto" w:fill="018D38"/>
          </w:tcPr>
          <w:p w14:paraId="5DB4AFC3" w14:textId="77777777" w:rsidR="000E37D4" w:rsidRDefault="00000000">
            <w:pPr>
              <w:spacing w:before="60" w:after="60"/>
              <w:jc w:val="center"/>
            </w:pPr>
            <w:r>
              <w:rPr>
                <w:rFonts w:ascii="Arial" w:eastAsia="Arial" w:hAnsi="Arial" w:cs="Arial"/>
                <w:b/>
                <w:bCs/>
                <w:color w:val="FFFFFF"/>
              </w:rPr>
              <w:t>Sección</w:t>
            </w:r>
          </w:p>
        </w:tc>
      </w:tr>
      <w:tr w:rsidR="000E37D4" w14:paraId="73EA88A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4367DC26" w14:textId="77777777" w:rsidR="000E37D4" w:rsidRDefault="00000000">
            <w:pPr>
              <w:spacing w:before="60" w:after="60"/>
            </w:pPr>
            <w:r>
              <w:rPr>
                <w:rFonts w:ascii="Arial" w:eastAsia="Arial" w:hAnsi="Arial" w:cs="Arial"/>
                <w:color w:val="333333"/>
              </w:rPr>
              <w:t>LRS: el índice de contenido lista solo hasta el numeral 6; los numerales 7 a 10 no están indexados.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027568D0" w14:textId="77777777" w:rsidR="000E37D4" w:rsidRDefault="00000000">
            <w:pPr>
              <w:spacing w:before="60" w:after="60"/>
            </w:pPr>
            <w:r>
              <w:rPr>
                <w:rFonts w:ascii="Arial" w:eastAsia="Arial" w:hAnsi="Arial" w:cs="Arial"/>
                <w:color w:val="333333"/>
              </w:rPr>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Pr>
          <w:p w14:paraId="6D42A038" w14:textId="77777777" w:rsidR="000E37D4" w:rsidRDefault="00000000">
            <w:pPr>
              <w:spacing w:before="60" w:after="60"/>
            </w:pPr>
            <w:r>
              <w:rPr>
                <w:rFonts w:ascii="Arial" w:eastAsia="Arial" w:hAnsi="Arial" w:cs="Arial"/>
                <w:color w:val="333333"/>
              </w:rPr>
              <w:t>Mismo fix que la Sección 1 de este documento (estilo de encabezado corregido a Título 2).</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Pr>
          <w:p w14:paraId="30096814" w14:textId="77777777" w:rsidR="000E37D4" w:rsidRDefault="00000000">
            <w:pPr>
              <w:spacing w:before="60" w:after="60"/>
            </w:pPr>
            <w:r>
              <w:rPr>
                <w:rFonts w:ascii="Arial" w:eastAsia="Arial" w:hAnsi="Arial" w:cs="Arial"/>
                <w:color w:val="333333"/>
              </w:rPr>
              <w:t>Índice de contenido</w:t>
            </w:r>
          </w:p>
        </w:tc>
      </w:tr>
      <w:tr w:rsidR="000E37D4" w14:paraId="2503BB81"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FF4"/>
          </w:tcPr>
          <w:p w14:paraId="078A44A5" w14:textId="77777777" w:rsidR="000E37D4" w:rsidRDefault="00000000">
            <w:pPr>
              <w:spacing w:before="60" w:after="60"/>
            </w:pPr>
            <w:r>
              <w:rPr>
                <w:rFonts w:ascii="Arial" w:eastAsia="Arial" w:hAnsi="Arial" w:cs="Arial"/>
                <w:color w:val="333333"/>
              </w:rPr>
              <w:t>DI: error de referencia cruzada — la introducción del numeral 9 ("Pruebas y Testing") cita subnumerales "8.1" a "8.5" en vez de "9.1" a "9.5".</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14:paraId="5E7821B7" w14:textId="77777777" w:rsidR="000E37D4" w:rsidRDefault="00000000">
            <w:pPr>
              <w:spacing w:before="60" w:after="60"/>
            </w:pPr>
            <w:r>
              <w:rPr>
                <w:rFonts w:ascii="Arial" w:eastAsia="Arial" w:hAnsi="Arial" w:cs="Arial"/>
                <w:color w:val="333333"/>
              </w:rPr>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0FFF4"/>
          </w:tcPr>
          <w:p w14:paraId="41B25707" w14:textId="77777777" w:rsidR="000E37D4" w:rsidRDefault="00000000">
            <w:pPr>
              <w:spacing w:before="60" w:after="60"/>
            </w:pPr>
            <w:r>
              <w:rPr>
                <w:rFonts w:ascii="Arial" w:eastAsia="Arial" w:hAnsi="Arial" w:cs="Arial"/>
                <w:color w:val="333333"/>
              </w:rPr>
              <w:t>Corregido a "9.1" a "9.5".</w:t>
            </w:r>
          </w:p>
        </w:tc>
        <w:tc>
          <w:tcPr>
            <w:tcW w:w="1660" w:type="dxa"/>
            <w:tcBorders>
              <w:top w:val="single" w:sz="4" w:space="0" w:color="CCCCCC"/>
              <w:left w:val="single" w:sz="4" w:space="0" w:color="CCCCCC"/>
              <w:bottom w:val="single" w:sz="4" w:space="0" w:color="CCCCCC"/>
              <w:right w:val="single" w:sz="4" w:space="0" w:color="CCCCCC"/>
            </w:tcBorders>
            <w:shd w:val="clear" w:color="auto" w:fill="F0FFF4"/>
          </w:tcPr>
          <w:p w14:paraId="71C17072" w14:textId="77777777" w:rsidR="000E37D4" w:rsidRDefault="00000000">
            <w:pPr>
              <w:spacing w:before="60" w:after="60"/>
            </w:pPr>
            <w:r>
              <w:rPr>
                <w:rFonts w:ascii="Arial" w:eastAsia="Arial" w:hAnsi="Arial" w:cs="Arial"/>
                <w:color w:val="333333"/>
              </w:rPr>
              <w:t>DI — 9</w:t>
            </w:r>
          </w:p>
        </w:tc>
      </w:tr>
      <w:tr w:rsidR="000E37D4" w14:paraId="2870A7E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1B3D0188" w14:textId="77777777" w:rsidR="000E37D4" w:rsidRDefault="00000000">
            <w:pPr>
              <w:spacing w:before="60" w:after="60"/>
            </w:pPr>
            <w:r>
              <w:rPr>
                <w:rFonts w:ascii="Arial" w:eastAsia="Arial" w:hAnsi="Arial" w:cs="Arial"/>
                <w:color w:val="333333"/>
              </w:rPr>
              <w:t>DI: error tipográfico en la introducción del numeral 5 — "control de versiones 54.3)" en vez de "(5.3)".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0E7084B1" w14:textId="77777777" w:rsidR="000E37D4" w:rsidRDefault="00000000">
            <w:pPr>
              <w:spacing w:before="60" w:after="60"/>
            </w:pPr>
            <w:r>
              <w:rPr>
                <w:rFonts w:ascii="Arial" w:eastAsia="Arial" w:hAnsi="Arial" w:cs="Arial"/>
                <w:color w:val="333333"/>
              </w:rPr>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Pr>
          <w:p w14:paraId="0D9F3C51" w14:textId="77777777" w:rsidR="000E37D4" w:rsidRDefault="00000000">
            <w:pPr>
              <w:spacing w:before="60" w:after="60"/>
            </w:pPr>
            <w:r>
              <w:rPr>
                <w:rFonts w:ascii="Arial" w:eastAsia="Arial" w:hAnsi="Arial" w:cs="Arial"/>
                <w:color w:val="333333"/>
              </w:rPr>
              <w:t>Corregido a "(5.3)": faltaba el paréntesis de apertura y sobraba un "4".</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Pr>
          <w:p w14:paraId="30D9A3E0" w14:textId="77777777" w:rsidR="000E37D4" w:rsidRDefault="00000000">
            <w:pPr>
              <w:spacing w:before="60" w:after="60"/>
            </w:pPr>
            <w:r>
              <w:rPr>
                <w:rFonts w:ascii="Arial" w:eastAsia="Arial" w:hAnsi="Arial" w:cs="Arial"/>
                <w:color w:val="333333"/>
              </w:rPr>
              <w:t>DI — 5</w:t>
            </w:r>
          </w:p>
        </w:tc>
      </w:tr>
      <w:tr w:rsidR="000E37D4" w14:paraId="3B8062D0"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FF4"/>
          </w:tcPr>
          <w:p w14:paraId="04E65FD4" w14:textId="77777777" w:rsidR="000E37D4" w:rsidRDefault="00000000">
            <w:pPr>
              <w:spacing w:before="60" w:after="60"/>
            </w:pPr>
            <w:r>
              <w:rPr>
                <w:rFonts w:ascii="Arial" w:eastAsia="Arial" w:hAnsi="Arial" w:cs="Arial"/>
                <w:color w:val="333333"/>
              </w:rPr>
              <w:t>DI — Figura 1 vs. Figura 3: el middleware de autenticación se muestra como "adminAuth" sin ninguna anotación de que ahí se integrará Microsoft Entra ID a futuro, a diferencia de la Figura 3, que sí usa anotaciones explícitas para pendientes de TI.</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14:paraId="14F6F4C0" w14:textId="77777777" w:rsidR="000E37D4" w:rsidRDefault="00000000">
            <w:pPr>
              <w:spacing w:before="60" w:after="60"/>
            </w:pPr>
            <w:r>
              <w:rPr>
                <w:rFonts w:ascii="Arial" w:eastAsia="Arial" w:hAnsi="Arial" w:cs="Arial"/>
                <w:color w:val="333333"/>
              </w:rPr>
              <w:t>✅ Resuelto</w:t>
            </w:r>
          </w:p>
        </w:tc>
        <w:tc>
          <w:tcPr>
            <w:tcW w:w="4200" w:type="dxa"/>
            <w:tcBorders>
              <w:top w:val="single" w:sz="4" w:space="0" w:color="CCCCCC"/>
              <w:left w:val="single" w:sz="4" w:space="0" w:color="CCCCCC"/>
              <w:bottom w:val="single" w:sz="4" w:space="0" w:color="CCCCCC"/>
              <w:right w:val="single" w:sz="4" w:space="0" w:color="CCCCCC"/>
            </w:tcBorders>
            <w:shd w:val="clear" w:color="auto" w:fill="F0FFF4"/>
          </w:tcPr>
          <w:p w14:paraId="61182E15" w14:textId="77777777" w:rsidR="000E37D4" w:rsidRDefault="00000000">
            <w:pPr>
              <w:spacing w:before="60" w:after="60"/>
            </w:pPr>
            <w:r>
              <w:rPr>
                <w:rFonts w:ascii="Arial" w:eastAsia="Arial" w:hAnsi="Arial" w:cs="Arial"/>
                <w:color w:val="333333"/>
              </w:rPr>
              <w:t>Mismo rediseño de la Figura 1 (ver hallazgo Moderado arriba). La caja de autenticación se renombró de "adminAuth" (nombre que ya no existe en el código) a "Auth — usuarios individuales + roles", y se agregó una caja punteada ámbar "Microsoft Entra ID (pendiente — insumo TI: Client ID / Tenant ID)" conectada con línea discontinua — mismo tratamiento visual de pendiente que ya usaba la Figura 3.</w:t>
            </w:r>
          </w:p>
        </w:tc>
        <w:tc>
          <w:tcPr>
            <w:tcW w:w="1660" w:type="dxa"/>
            <w:tcBorders>
              <w:top w:val="single" w:sz="4" w:space="0" w:color="CCCCCC"/>
              <w:left w:val="single" w:sz="4" w:space="0" w:color="CCCCCC"/>
              <w:bottom w:val="single" w:sz="4" w:space="0" w:color="CCCCCC"/>
              <w:right w:val="single" w:sz="4" w:space="0" w:color="CCCCCC"/>
            </w:tcBorders>
            <w:shd w:val="clear" w:color="auto" w:fill="F0FFF4"/>
          </w:tcPr>
          <w:p w14:paraId="77ACCEA4" w14:textId="77777777" w:rsidR="000E37D4" w:rsidRDefault="00000000">
            <w:pPr>
              <w:spacing w:before="60" w:after="60"/>
            </w:pPr>
            <w:r>
              <w:rPr>
                <w:rFonts w:ascii="Arial" w:eastAsia="Arial" w:hAnsi="Arial" w:cs="Arial"/>
                <w:color w:val="333333"/>
              </w:rPr>
              <w:t>DI — Figura 1</w:t>
            </w:r>
          </w:p>
        </w:tc>
      </w:tr>
    </w:tbl>
    <w:p w14:paraId="475B9B5B" w14:textId="77777777" w:rsidR="000E37D4" w:rsidRDefault="000E37D4">
      <w:pPr>
        <w:spacing w:after="100"/>
      </w:pPr>
    </w:p>
    <w:p w14:paraId="2063CB13" w14:textId="77777777" w:rsidR="000E37D4" w:rsidRDefault="00000000">
      <w:pPr>
        <w:pStyle w:val="Ttulo1"/>
        <w:pBdr>
          <w:bottom w:val="single" w:sz="6" w:space="0" w:color="018D38"/>
        </w:pBdr>
        <w:spacing w:before="320" w:after="160"/>
      </w:pPr>
      <w:bookmarkStart w:id="9" w:name="_Toc237443595"/>
      <w:r>
        <w:rPr>
          <w:rFonts w:ascii="Arial" w:eastAsia="Arial" w:hAnsi="Arial" w:cs="Arial"/>
          <w:b/>
          <w:bCs/>
          <w:color w:val="018D38"/>
        </w:rPr>
        <w:t>5. Recomendación Transversal</w:t>
      </w:r>
      <w:bookmarkEnd w:id="9"/>
    </w:p>
    <w:p w14:paraId="2F7269A7" w14:textId="77777777" w:rsidR="000E37D4" w:rsidRDefault="00000000">
      <w:pPr>
        <w:spacing w:after="120"/>
      </w:pPr>
      <w:r>
        <w:rPr>
          <w:rFonts w:ascii="Arial" w:eastAsia="Arial" w:hAnsi="Arial" w:cs="Arial"/>
          <w:color w:val="333333"/>
          <w:sz w:val="22"/>
          <w:szCs w:val="22"/>
        </w:rPr>
        <w:t>TI recomendó adoptar una convención uniforme de "Estado: Implementado / Pendiente de insumo TI" y aplicarla de forma consistente en: (a) la tabla de Stack Tecnológico de la PTF, (b) los diagramas de arquitectura del DI (Figura 1), y (c) reforzando el numeral 1 "Estado del documento" del DI como punto único de verdad.</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760"/>
      </w:tblGrid>
      <w:tr w:rsidR="000E37D4" w14:paraId="036BC0F8" w14:textId="77777777">
        <w:trPr>
          <w:tblHeader/>
        </w:trPr>
        <w:tc>
          <w:tcPr>
            <w:tcW w:w="3200" w:type="dxa"/>
            <w:tcBorders>
              <w:top w:val="single" w:sz="4" w:space="0" w:color="018D38"/>
              <w:left w:val="single" w:sz="4" w:space="0" w:color="018D38"/>
              <w:bottom w:val="single" w:sz="4" w:space="0" w:color="018D38"/>
              <w:right w:val="single" w:sz="4" w:space="0" w:color="018D38"/>
            </w:tcBorders>
            <w:shd w:val="clear" w:color="auto" w:fill="018D38"/>
          </w:tcPr>
          <w:p w14:paraId="534BE5A9" w14:textId="77777777" w:rsidR="000E37D4" w:rsidRDefault="00000000">
            <w:pPr>
              <w:spacing w:before="60" w:after="60"/>
              <w:jc w:val="center"/>
            </w:pPr>
            <w:r>
              <w:rPr>
                <w:rFonts w:ascii="Arial" w:eastAsia="Arial" w:hAnsi="Arial" w:cs="Arial"/>
                <w:b/>
                <w:bCs/>
                <w:color w:val="FFFFFF"/>
              </w:rPr>
              <w:lastRenderedPageBreak/>
              <w:t>Frente</w:t>
            </w:r>
          </w:p>
        </w:tc>
        <w:tc>
          <w:tcPr>
            <w:tcW w:w="1400" w:type="dxa"/>
            <w:tcBorders>
              <w:top w:val="single" w:sz="4" w:space="0" w:color="018D38"/>
              <w:left w:val="single" w:sz="4" w:space="0" w:color="018D38"/>
              <w:bottom w:val="single" w:sz="4" w:space="0" w:color="018D38"/>
              <w:right w:val="single" w:sz="4" w:space="0" w:color="018D38"/>
            </w:tcBorders>
            <w:shd w:val="clear" w:color="auto" w:fill="018D38"/>
          </w:tcPr>
          <w:p w14:paraId="21B674DD" w14:textId="77777777" w:rsidR="000E37D4" w:rsidRDefault="00000000">
            <w:pPr>
              <w:spacing w:before="60" w:after="60"/>
              <w:jc w:val="center"/>
            </w:pPr>
            <w:r>
              <w:rPr>
                <w:rFonts w:ascii="Arial" w:eastAsia="Arial" w:hAnsi="Arial" w:cs="Arial"/>
                <w:b/>
                <w:bCs/>
                <w:color w:val="FFFFFF"/>
              </w:rPr>
              <w:t>Estado</w:t>
            </w:r>
          </w:p>
        </w:tc>
        <w:tc>
          <w:tcPr>
            <w:tcW w:w="4760" w:type="dxa"/>
            <w:tcBorders>
              <w:top w:val="single" w:sz="4" w:space="0" w:color="018D38"/>
              <w:left w:val="single" w:sz="4" w:space="0" w:color="018D38"/>
              <w:bottom w:val="single" w:sz="4" w:space="0" w:color="018D38"/>
              <w:right w:val="single" w:sz="4" w:space="0" w:color="018D38"/>
            </w:tcBorders>
            <w:shd w:val="clear" w:color="auto" w:fill="018D38"/>
          </w:tcPr>
          <w:p w14:paraId="6FAE0E69" w14:textId="77777777" w:rsidR="000E37D4" w:rsidRDefault="00000000">
            <w:pPr>
              <w:spacing w:before="60" w:after="60"/>
              <w:jc w:val="center"/>
            </w:pPr>
            <w:r>
              <w:rPr>
                <w:rFonts w:ascii="Arial" w:eastAsia="Arial" w:hAnsi="Arial" w:cs="Arial"/>
                <w:b/>
                <w:bCs/>
                <w:color w:val="FFFFFF"/>
              </w:rPr>
              <w:t>Cómo se resolvió</w:t>
            </w:r>
          </w:p>
        </w:tc>
      </w:tr>
      <w:tr w:rsidR="000E37D4" w14:paraId="1E25FAF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57D69015" w14:textId="77777777" w:rsidR="000E37D4" w:rsidRDefault="00000000">
            <w:pPr>
              <w:spacing w:before="60" w:after="60"/>
            </w:pPr>
            <w:r>
              <w:rPr>
                <w:rFonts w:ascii="Arial" w:eastAsia="Arial" w:hAnsi="Arial" w:cs="Arial"/>
                <w:color w:val="333333"/>
              </w:rPr>
              <w:t>Texto del DI (numeral 8.1 y numeral 12 — Roadmap Técnico)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14:paraId="5D6252FD" w14:textId="77777777" w:rsidR="000E37D4" w:rsidRDefault="00000000">
            <w:pPr>
              <w:spacing w:before="60" w:after="60"/>
            </w:pPr>
            <w:r>
              <w:rPr>
                <w:rFonts w:ascii="Arial" w:eastAsia="Arial" w:hAnsi="Arial" w:cs="Arial"/>
                <w:color w:val="333333"/>
              </w:rPr>
              <w:t>✅ Resuelto</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Pr>
          <w:p w14:paraId="20169A31" w14:textId="77777777" w:rsidR="000E37D4" w:rsidRDefault="00000000">
            <w:pPr>
              <w:spacing w:before="60" w:after="60"/>
            </w:pPr>
            <w:r>
              <w:rPr>
                <w:rFonts w:ascii="Arial" w:eastAsia="Arial" w:hAnsi="Arial" w:cs="Arial"/>
                <w:color w:val="333333"/>
              </w:rPr>
              <w:t>Entra ID quedó explícitamente reencuadrado como "a futuro, se evaluará la posibilidad", no como un requisito bloqueante, y el Roadmap Técnico (numeral 12) consolida en un solo lugar todo lo que queda pendiente de insumo externo o fuera del alcance contratado actual.</w:t>
            </w:r>
          </w:p>
        </w:tc>
      </w:tr>
      <w:tr w:rsidR="000E37D4" w14:paraId="2D25923A"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FF4"/>
          </w:tcPr>
          <w:p w14:paraId="3219427A" w14:textId="77777777" w:rsidR="000E37D4" w:rsidRDefault="00000000">
            <w:pPr>
              <w:spacing w:before="60" w:after="60"/>
            </w:pPr>
            <w:r>
              <w:rPr>
                <w:rFonts w:ascii="Arial" w:eastAsia="Arial" w:hAnsi="Arial" w:cs="Arial"/>
                <w:color w:val="333333"/>
              </w:rPr>
              <w:t>Tabla de Stack Tecnológico de la PTF (numeral 2.2)</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14:paraId="0E180203" w14:textId="77777777" w:rsidR="000E37D4" w:rsidRDefault="00000000">
            <w:pPr>
              <w:spacing w:before="60" w:after="60"/>
            </w:pPr>
            <w:r>
              <w:rPr>
                <w:rFonts w:ascii="Arial" w:eastAsia="Arial" w:hAnsi="Arial" w:cs="Arial"/>
                <w:color w:val="333333"/>
              </w:rPr>
              <w:t>✅ Resuelto</w:t>
            </w:r>
          </w:p>
        </w:tc>
        <w:tc>
          <w:tcPr>
            <w:tcW w:w="4760" w:type="dxa"/>
            <w:tcBorders>
              <w:top w:val="single" w:sz="4" w:space="0" w:color="CCCCCC"/>
              <w:left w:val="single" w:sz="4" w:space="0" w:color="CCCCCC"/>
              <w:bottom w:val="single" w:sz="4" w:space="0" w:color="CCCCCC"/>
              <w:right w:val="single" w:sz="4" w:space="0" w:color="CCCCCC"/>
            </w:tcBorders>
            <w:shd w:val="clear" w:color="auto" w:fill="F0FFF4"/>
          </w:tcPr>
          <w:p w14:paraId="4A11EFB3" w14:textId="77777777" w:rsidR="000E37D4" w:rsidRDefault="00000000">
            <w:pPr>
              <w:spacing w:before="60" w:after="60"/>
            </w:pPr>
            <w:r>
              <w:rPr>
                <w:rFonts w:ascii="Arial" w:eastAsia="Arial" w:hAnsi="Arial" w:cs="Arial"/>
                <w:color w:val="333333"/>
              </w:rPr>
              <w:t>Se agregó una columna "Estado" a la tabla, con un valor por tecnología: Implementado (Frontend, Backend, MongoDB, Redis, SAST), Pendiente de insumo TI — Client ID / Tenant ID (Autenticación / Entra ID), y Parcial — GitHub implementado, espejo a Azure Repos pendiente de activación por TI (Repositorio). Entra ID ya no queda listado igual que Node.js o MongoDB.</w:t>
            </w:r>
          </w:p>
        </w:tc>
      </w:tr>
      <w:tr w:rsidR="000E37D4" w14:paraId="2512225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156779A3" w14:textId="77777777" w:rsidR="000E37D4" w:rsidRDefault="00000000">
            <w:pPr>
              <w:spacing w:before="60" w:after="60"/>
            </w:pPr>
            <w:r>
              <w:rPr>
                <w:rFonts w:ascii="Arial" w:eastAsia="Arial" w:hAnsi="Arial" w:cs="Arial"/>
                <w:color w:val="333333"/>
              </w:rPr>
              <w:t>Figura 1 del DI (diagramas de arquitectura)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14:paraId="3DB22F64" w14:textId="77777777" w:rsidR="000E37D4" w:rsidRDefault="00000000">
            <w:pPr>
              <w:spacing w:before="60" w:after="60"/>
            </w:pPr>
            <w:r>
              <w:rPr>
                <w:rFonts w:ascii="Arial" w:eastAsia="Arial" w:hAnsi="Arial" w:cs="Arial"/>
                <w:color w:val="333333"/>
              </w:rPr>
              <w:t>✅ Resuelto</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Pr>
          <w:p w14:paraId="77D0EC9C" w14:textId="77777777" w:rsidR="000E37D4" w:rsidRDefault="00000000">
            <w:pPr>
              <w:spacing w:before="60" w:after="60"/>
            </w:pPr>
            <w:r>
              <w:rPr>
                <w:rFonts w:ascii="Arial" w:eastAsia="Arial" w:hAnsi="Arial" w:cs="Arial"/>
                <w:color w:val="333333"/>
              </w:rPr>
              <w:t>Ver los dos hallazgos de Figura 1 en la Sección 4 (Moderado y Menor) — diagrama rediseñado.</w:t>
            </w:r>
          </w:p>
        </w:tc>
      </w:tr>
    </w:tbl>
    <w:p w14:paraId="43BC659B" w14:textId="77777777" w:rsidR="000E37D4" w:rsidRDefault="000E37D4">
      <w:pPr>
        <w:spacing w:after="100"/>
      </w:pPr>
    </w:p>
    <w:p w14:paraId="2D92CAC5" w14:textId="77777777" w:rsidR="000E37D4" w:rsidRDefault="00000000">
      <w:pPr>
        <w:pStyle w:val="Ttulo1"/>
        <w:pBdr>
          <w:bottom w:val="single" w:sz="6" w:space="0" w:color="018D38"/>
        </w:pBdr>
        <w:spacing w:before="320" w:after="160"/>
      </w:pPr>
      <w:bookmarkStart w:id="10" w:name="_Toc237443596"/>
      <w:r>
        <w:rPr>
          <w:rFonts w:ascii="Arial" w:eastAsia="Arial" w:hAnsi="Arial" w:cs="Arial"/>
          <w:b/>
          <w:bCs/>
          <w:color w:val="018D38"/>
        </w:rPr>
        <w:t>Mejoras proactivas (anticipadas, no exigidas explícitamente por un hallazgo)</w:t>
      </w:r>
      <w:bookmarkEnd w:id="10"/>
    </w:p>
    <w:p w14:paraId="7379AAC6" w14:textId="77777777" w:rsidR="000E37D4" w:rsidRDefault="00000000">
      <w:pPr>
        <w:spacing w:after="120"/>
      </w:pPr>
      <w:r>
        <w:rPr>
          <w:rFonts w:ascii="Arial" w:eastAsia="Arial" w:hAnsi="Arial" w:cs="Arial"/>
          <w:color w:val="333333"/>
          <w:sz w:val="22"/>
          <w:szCs w:val="22"/>
        </w:rPr>
        <w:t>Adicional a la respuesta punto por punto de las secciones anteriores, se adelantaron dos mejoras identificadas por análisis propio de los documentos institucionales de TI (Guía de Arquitectura y Buenas Prácticas de Desarrollo, Guía de Azure DevOps), antes de que aparecieran como hallazgo formal:</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2"/>
        <w:gridCol w:w="3643"/>
        <w:gridCol w:w="3075"/>
      </w:tblGrid>
      <w:tr w:rsidR="000E37D4" w14:paraId="32CDFB2B" w14:textId="77777777">
        <w:trPr>
          <w:tblHeader/>
        </w:trPr>
        <w:tc>
          <w:tcPr>
            <w:tcW w:w="2900" w:type="dxa"/>
            <w:tcBorders>
              <w:top w:val="single" w:sz="4" w:space="0" w:color="018D38"/>
              <w:left w:val="single" w:sz="4" w:space="0" w:color="018D38"/>
              <w:bottom w:val="single" w:sz="4" w:space="0" w:color="018D38"/>
              <w:right w:val="single" w:sz="4" w:space="0" w:color="018D38"/>
            </w:tcBorders>
            <w:shd w:val="clear" w:color="auto" w:fill="018D38"/>
          </w:tcPr>
          <w:p w14:paraId="1D996B83" w14:textId="77777777" w:rsidR="000E37D4" w:rsidRDefault="00000000">
            <w:pPr>
              <w:spacing w:before="60" w:after="60"/>
              <w:jc w:val="center"/>
            </w:pPr>
            <w:r>
              <w:rPr>
                <w:rFonts w:ascii="Arial" w:eastAsia="Arial" w:hAnsi="Arial" w:cs="Arial"/>
                <w:b/>
                <w:bCs/>
                <w:color w:val="FFFFFF"/>
              </w:rPr>
              <w:t>Mejora</w:t>
            </w:r>
          </w:p>
        </w:tc>
        <w:tc>
          <w:tcPr>
            <w:tcW w:w="4100" w:type="dxa"/>
            <w:tcBorders>
              <w:top w:val="single" w:sz="4" w:space="0" w:color="018D38"/>
              <w:left w:val="single" w:sz="4" w:space="0" w:color="018D38"/>
              <w:bottom w:val="single" w:sz="4" w:space="0" w:color="018D38"/>
              <w:right w:val="single" w:sz="4" w:space="0" w:color="018D38"/>
            </w:tcBorders>
            <w:shd w:val="clear" w:color="auto" w:fill="018D38"/>
          </w:tcPr>
          <w:p w14:paraId="21BE448D" w14:textId="77777777" w:rsidR="000E37D4" w:rsidRDefault="00000000">
            <w:pPr>
              <w:spacing w:before="60" w:after="60"/>
              <w:jc w:val="center"/>
            </w:pPr>
            <w:r>
              <w:rPr>
                <w:rFonts w:ascii="Arial" w:eastAsia="Arial" w:hAnsi="Arial" w:cs="Arial"/>
                <w:b/>
                <w:bCs/>
                <w:color w:val="FFFFFF"/>
              </w:rPr>
              <w:t>Por qué se anticipó</w:t>
            </w:r>
          </w:p>
        </w:tc>
        <w:tc>
          <w:tcPr>
            <w:tcW w:w="3360" w:type="dxa"/>
            <w:tcBorders>
              <w:top w:val="single" w:sz="4" w:space="0" w:color="018D38"/>
              <w:left w:val="single" w:sz="4" w:space="0" w:color="018D38"/>
              <w:bottom w:val="single" w:sz="4" w:space="0" w:color="018D38"/>
              <w:right w:val="single" w:sz="4" w:space="0" w:color="018D38"/>
            </w:tcBorders>
            <w:shd w:val="clear" w:color="auto" w:fill="018D38"/>
          </w:tcPr>
          <w:p w14:paraId="1B58A566" w14:textId="77777777" w:rsidR="000E37D4" w:rsidRDefault="00000000">
            <w:pPr>
              <w:spacing w:before="60" w:after="60"/>
              <w:jc w:val="center"/>
            </w:pPr>
            <w:r>
              <w:rPr>
                <w:rFonts w:ascii="Arial" w:eastAsia="Arial" w:hAnsi="Arial" w:cs="Arial"/>
                <w:b/>
                <w:bCs/>
                <w:color w:val="FFFFFF"/>
              </w:rPr>
              <w:t>Cómo quedó</w:t>
            </w:r>
          </w:p>
        </w:tc>
      </w:tr>
      <w:tr w:rsidR="000E37D4" w14:paraId="605E0FE2"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Pr>
          <w:p w14:paraId="2329748B" w14:textId="77777777" w:rsidR="000E37D4" w:rsidRDefault="00000000">
            <w:pPr>
              <w:spacing w:before="60" w:after="60"/>
            </w:pPr>
            <w:r>
              <w:rPr>
                <w:rFonts w:ascii="Arial" w:eastAsia="Arial" w:hAnsi="Arial" w:cs="Arial"/>
                <w:color w:val="333333"/>
              </w:rPr>
              <w:t>MFA (segundo factor) obligatorio para todos los curadores</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Pr>
          <w:p w14:paraId="0868BCC2" w14:textId="77777777" w:rsidR="000E37D4" w:rsidRDefault="00000000">
            <w:pPr>
              <w:spacing w:before="60" w:after="60"/>
            </w:pPr>
            <w:r>
              <w:rPr>
                <w:rFonts w:ascii="Arial" w:eastAsia="Arial" w:hAnsi="Arial" w:cs="Arial"/>
                <w:color w:val="333333"/>
              </w:rPr>
              <w:t>La Guía de Arquitectura marca "Implementación de MFA para administradores" como Obligatorio (numeral 9), de forma independiente a la sugerencia de Entra ID — un requisito propio que el hallazgo de autenticación de esta misma revisión no llegó a exigir explícitamente.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Pr>
          <w:p w14:paraId="351E2429" w14:textId="77777777" w:rsidR="000E37D4" w:rsidRDefault="00000000">
            <w:pPr>
              <w:spacing w:before="60" w:after="60"/>
            </w:pPr>
            <w:r>
              <w:rPr>
                <w:rFonts w:ascii="Arial" w:eastAsia="Arial" w:hAnsi="Arial" w:cs="Arial"/>
                <w:color w:val="333333"/>
              </w:rPr>
              <w:t>TOTP (RFC 6238) vía las librerías otplib + qrcode: enrolamiento obligatorio con código QR en el primer login, código de 6 dígitos en logins siguientes. Un Admin.Contenido puede resetear el MFA de un curador que pierda su dispositivo. Ver DI, numeral 8.1.</w:t>
            </w:r>
          </w:p>
        </w:tc>
      </w:tr>
      <w:tr w:rsidR="000E37D4" w14:paraId="004B462A" w14:textId="77777777">
        <w:tc>
          <w:tcPr>
            <w:tcW w:w="2900" w:type="dxa"/>
            <w:tcBorders>
              <w:top w:val="single" w:sz="4" w:space="0" w:color="CCCCCC"/>
              <w:left w:val="single" w:sz="4" w:space="0" w:color="CCCCCC"/>
              <w:bottom w:val="single" w:sz="4" w:space="0" w:color="CCCCCC"/>
              <w:right w:val="single" w:sz="4" w:space="0" w:color="CCCCCC"/>
            </w:tcBorders>
            <w:shd w:val="clear" w:color="auto" w:fill="F0FFF4"/>
          </w:tcPr>
          <w:p w14:paraId="13944CE3" w14:textId="77777777" w:rsidR="000E37D4" w:rsidRDefault="00000000">
            <w:pPr>
              <w:spacing w:before="60" w:after="60"/>
            </w:pPr>
            <w:r>
              <w:rPr>
                <w:rFonts w:ascii="Arial" w:eastAsia="Arial" w:hAnsi="Arial" w:cs="Arial"/>
                <w:color w:val="333333"/>
              </w:rPr>
              <w:t>Figura 3 del DI (Infraestructura) actualizada</w:t>
            </w:r>
          </w:p>
        </w:tc>
        <w:tc>
          <w:tcPr>
            <w:tcW w:w="4100" w:type="dxa"/>
            <w:tcBorders>
              <w:top w:val="single" w:sz="4" w:space="0" w:color="CCCCCC"/>
              <w:left w:val="single" w:sz="4" w:space="0" w:color="CCCCCC"/>
              <w:bottom w:val="single" w:sz="4" w:space="0" w:color="CCCCCC"/>
              <w:right w:val="single" w:sz="4" w:space="0" w:color="CCCCCC"/>
            </w:tcBorders>
            <w:shd w:val="clear" w:color="auto" w:fill="F0FFF4"/>
          </w:tcPr>
          <w:p w14:paraId="3B5656A3" w14:textId="77777777" w:rsidR="000E37D4" w:rsidRDefault="00000000">
            <w:pPr>
              <w:spacing w:before="60" w:after="60"/>
            </w:pPr>
            <w:r>
              <w:rPr>
                <w:rFonts w:ascii="Arial" w:eastAsia="Arial" w:hAnsi="Arial" w:cs="Arial"/>
                <w:color w:val="333333"/>
              </w:rPr>
              <w:t>Seguía mostrando "PM2 → Node.js 22" después de containerizar con Docker — la misma clase de inconsistencia diagrama-vs-texto que ya se había corregido en la Figura 1 (hallazgo Moderado de esta revisión).</w:t>
            </w:r>
          </w:p>
        </w:tc>
        <w:tc>
          <w:tcPr>
            <w:tcW w:w="3360" w:type="dxa"/>
            <w:tcBorders>
              <w:top w:val="single" w:sz="4" w:space="0" w:color="CCCCCC"/>
              <w:left w:val="single" w:sz="4" w:space="0" w:color="CCCCCC"/>
              <w:bottom w:val="single" w:sz="4" w:space="0" w:color="CCCCCC"/>
              <w:right w:val="single" w:sz="4" w:space="0" w:color="CCCCCC"/>
            </w:tcBorders>
            <w:shd w:val="clear" w:color="auto" w:fill="F0FFF4"/>
          </w:tcPr>
          <w:p w14:paraId="7A469190" w14:textId="77777777" w:rsidR="000E37D4" w:rsidRDefault="00000000">
            <w:pPr>
              <w:spacing w:before="60" w:after="60"/>
            </w:pPr>
            <w:r>
              <w:rPr>
                <w:rFonts w:ascii="Arial" w:eastAsia="Arial" w:hAnsi="Arial" w:cs="Arial"/>
                <w:color w:val="333333"/>
              </w:rPr>
              <w:t>Diagrama regenerado con el mismo script versionado (graphviz) usado para la Figura 1, reemplazando PM2 por Docker Compose y actualizando la etiqueta del pipeline (CI + BuildImage + CD).</w:t>
            </w:r>
          </w:p>
        </w:tc>
      </w:tr>
      <w:tr w:rsidR="000E37D4" w14:paraId="180947B7"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Pr>
          <w:p w14:paraId="62CF6EAE" w14:textId="77777777" w:rsidR="000E37D4" w:rsidRDefault="00000000">
            <w:pPr>
              <w:spacing w:before="60" w:after="60"/>
            </w:pPr>
            <w:r>
              <w:rPr>
                <w:rFonts w:ascii="Arial" w:eastAsia="Arial" w:hAnsi="Arial" w:cs="Arial"/>
                <w:color w:val="333333"/>
              </w:rPr>
              <w:t>Rate limiting en endpoints sensibles a fuerza bruta</w:t>
            </w:r>
          </w:p>
        </w:tc>
        <w:tc>
          <w:tcPr>
            <w:tcW w:w="4100" w:type="dxa"/>
            <w:tcBorders>
              <w:top w:val="single" w:sz="4" w:space="0" w:color="CCCCCC"/>
              <w:left w:val="single" w:sz="4" w:space="0" w:color="CCCCCC"/>
              <w:bottom w:val="single" w:sz="4" w:space="0" w:color="CCCCCC"/>
              <w:right w:val="single" w:sz="4" w:space="0" w:color="CCCCCC"/>
            </w:tcBorders>
            <w:shd w:val="clear" w:color="auto" w:fill="FFFFFF"/>
          </w:tcPr>
          <w:p w14:paraId="4AD5F69B" w14:textId="77777777" w:rsidR="000E37D4" w:rsidRDefault="00000000">
            <w:pPr>
              <w:spacing w:before="60" w:after="60"/>
            </w:pPr>
            <w:r>
              <w:rPr>
                <w:rFonts w:ascii="Arial" w:eastAsia="Arial" w:hAnsi="Arial" w:cs="Arial"/>
                <w:color w:val="333333"/>
              </w:rPr>
              <w:t>reCAPTCHA y el keyspace del código TOTP reducen el riesgo de fuerza bruta, pero no lo eliminan — un atacante decidido puede resolver reCAPTCHA con servicios automatizados de terceros.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Pr>
          <w:p w14:paraId="0D628808" w14:textId="77777777" w:rsidR="000E37D4" w:rsidRDefault="00000000">
            <w:pPr>
              <w:spacing w:before="60" w:after="60"/>
            </w:pPr>
            <w:r>
              <w:rPr>
                <w:rFonts w:ascii="Arial" w:eastAsia="Arial" w:hAnsi="Arial" w:cs="Arial"/>
                <w:color w:val="333333"/>
              </w:rPr>
              <w:t>/login y /login/mfa limitados a 10 solicitudes cada 15 minutos por IP; /autofill a 30/minuto (evita abuso del proxy a la API pública de iNaturalist). Desactivado en tests (NODE_ENV=test), verificado con test dedicado.</w:t>
            </w:r>
          </w:p>
        </w:tc>
      </w:tr>
    </w:tbl>
    <w:p w14:paraId="371102C9" w14:textId="77777777" w:rsidR="000E37D4" w:rsidRDefault="000E37D4">
      <w:pPr>
        <w:spacing w:after="100"/>
      </w:pPr>
    </w:p>
    <w:p w14:paraId="22A4A18D" w14:textId="77777777" w:rsidR="000E37D4" w:rsidRDefault="00000000">
      <w:pPr>
        <w:pStyle w:val="Ttulo1"/>
        <w:pBdr>
          <w:bottom w:val="single" w:sz="6" w:space="0" w:color="018D38"/>
        </w:pBdr>
        <w:spacing w:before="320" w:after="160"/>
      </w:pPr>
      <w:bookmarkStart w:id="11" w:name="_Toc237443597"/>
      <w:r>
        <w:rPr>
          <w:rFonts w:ascii="Arial" w:eastAsia="Arial" w:hAnsi="Arial" w:cs="Arial"/>
          <w:b/>
          <w:bCs/>
          <w:color w:val="018D38"/>
        </w:rPr>
        <w:lastRenderedPageBreak/>
        <w:t>Cierre</w:t>
      </w:r>
      <w:bookmarkEnd w:id="11"/>
    </w:p>
    <w:p w14:paraId="20D67178" w14:textId="77777777" w:rsidR="000E37D4" w:rsidRDefault="00000000">
      <w:pPr>
        <w:spacing w:after="120"/>
      </w:pPr>
      <w:r>
        <w:rPr>
          <w:rFonts w:ascii="Arial" w:eastAsia="Arial" w:hAnsi="Arial" w:cs="Arial"/>
          <w:color w:val="333333"/>
          <w:sz w:val="22"/>
          <w:szCs w:val="22"/>
        </w:rPr>
        <w:t>De los 13 hallazgos evaluados en este documento, los 13 quedaron resueltos por completo, incluidos los dos hallazgos de la Figura 1 del DI (rediseño completo del diagrama de arquitectura), la autenticación (cuenta genérica eliminada, usuarios individuales, reCAPTCHA — la integración con el Gestor de Acceso de la Entidad depende de un documento que TI no ha compartido con el equipo de desarrollo, y el único requisito verificable al respecto ya está en el Roadmap Técnico), y el pipeline de CI/CD (ante la falta de una plantilla institucional pese a la solicitud formal ya enviada, se adopta la arquitectura de línea base oficial de Microsoft para Azure Pipelines como estándar de referencia — ver Sección 4). Ninguno de los hallazgos [Crítico] queda sin una acción concreta tomada. Adicionalmente, se adelantaron 2 mejoras no exigidas todavía por ningún hallazgo formal (MFA obligatorio, Figura 3 actualizada — ver sección anterior). Una nota menor sin cerrar del todo: la columna "Entrada" de RQP09 en el LRS sigue describiendo mejor una API que un archivo estático — ajuste de redacción pendiente para una próxima iteración.</w:t>
      </w:r>
    </w:p>
    <w:sectPr w:rsidR="000E37D4">
      <w:footerReference w:type="default" r:id="rId7"/>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828FE" w14:textId="77777777" w:rsidR="00E3165B" w:rsidRDefault="00E3165B">
      <w:r>
        <w:separator/>
      </w:r>
    </w:p>
  </w:endnote>
  <w:endnote w:type="continuationSeparator" w:id="0">
    <w:p w14:paraId="2C8CBEA1" w14:textId="77777777" w:rsidR="00E3165B" w:rsidRDefault="00E31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B20DC" w14:textId="77777777" w:rsidR="000E37D4" w:rsidRDefault="00000000">
    <w:pPr>
      <w:jc w:val="center"/>
    </w:pP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510340">
      <w:rPr>
        <w:rFonts w:ascii="Arial" w:eastAsia="Arial" w:hAnsi="Arial" w:cs="Arial"/>
        <w:noProof/>
        <w:color w:val="555555"/>
        <w:sz w:val="18"/>
        <w:szCs w:val="18"/>
      </w:rPr>
      <w:t>1</w:t>
    </w:r>
    <w:r>
      <w:rPr>
        <w:rFonts w:ascii="Arial" w:eastAsia="Arial" w:hAnsi="Arial" w:cs="Arial"/>
        <w:color w:val="555555"/>
        <w:sz w:val="18"/>
        <w:szCs w:val="18"/>
      </w:rPr>
      <w:fldChar w:fldCharType="end"/>
    </w:r>
    <w:r>
      <w:rPr>
        <w:rFonts w:ascii="Arial" w:eastAsia="Arial" w:hAnsi="Arial" w:cs="Arial"/>
        <w:color w:val="555555"/>
        <w:sz w:val="18"/>
        <w:szCs w:val="18"/>
      </w:rPr>
      <w:t xml:space="preserve"> / </w:t>
    </w:r>
    <w:r>
      <w:rPr>
        <w:rFonts w:ascii="Arial" w:eastAsia="Arial" w:hAnsi="Arial" w:cs="Arial"/>
        <w:color w:val="555555"/>
        <w:sz w:val="18"/>
        <w:szCs w:val="18"/>
      </w:rPr>
      <w:fldChar w:fldCharType="begin"/>
    </w:r>
    <w:r>
      <w:rPr>
        <w:rFonts w:ascii="Arial" w:eastAsia="Arial" w:hAnsi="Arial" w:cs="Arial"/>
        <w:color w:val="555555"/>
        <w:sz w:val="18"/>
        <w:szCs w:val="18"/>
      </w:rPr>
      <w:instrText>NUMPAGES</w:instrText>
    </w:r>
    <w:r>
      <w:rPr>
        <w:rFonts w:ascii="Arial" w:eastAsia="Arial" w:hAnsi="Arial" w:cs="Arial"/>
        <w:color w:val="555555"/>
        <w:sz w:val="18"/>
        <w:szCs w:val="18"/>
      </w:rPr>
      <w:fldChar w:fldCharType="separate"/>
    </w:r>
    <w:r w:rsidR="00510340">
      <w:rPr>
        <w:rFonts w:ascii="Arial" w:eastAsia="Arial" w:hAnsi="Arial" w:cs="Arial"/>
        <w:noProof/>
        <w:color w:val="555555"/>
        <w:sz w:val="18"/>
        <w:szCs w:val="18"/>
      </w:rPr>
      <w:t>2</w:t>
    </w:r>
    <w:r>
      <w:rPr>
        <w:rFonts w:ascii="Arial" w:eastAsia="Arial" w:hAnsi="Arial"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388B7" w14:textId="77777777" w:rsidR="00E3165B" w:rsidRDefault="00E3165B">
      <w:r>
        <w:separator/>
      </w:r>
    </w:p>
  </w:footnote>
  <w:footnote w:type="continuationSeparator" w:id="0">
    <w:p w14:paraId="2915D947" w14:textId="77777777" w:rsidR="00E3165B" w:rsidRDefault="00E316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42151"/>
    <w:multiLevelType w:val="hybridMultilevel"/>
    <w:tmpl w:val="D2DAB0A8"/>
    <w:lvl w:ilvl="0" w:tplc="9E4E9D80">
      <w:start w:val="1"/>
      <w:numFmt w:val="bullet"/>
      <w:lvlText w:val="●"/>
      <w:lvlJc w:val="left"/>
      <w:pPr>
        <w:ind w:left="720" w:hanging="360"/>
      </w:pPr>
    </w:lvl>
    <w:lvl w:ilvl="1" w:tplc="CE702BA2">
      <w:start w:val="1"/>
      <w:numFmt w:val="bullet"/>
      <w:lvlText w:val="○"/>
      <w:lvlJc w:val="left"/>
      <w:pPr>
        <w:ind w:left="1440" w:hanging="360"/>
      </w:pPr>
    </w:lvl>
    <w:lvl w:ilvl="2" w:tplc="5172E81E">
      <w:start w:val="1"/>
      <w:numFmt w:val="bullet"/>
      <w:lvlText w:val="■"/>
      <w:lvlJc w:val="left"/>
      <w:pPr>
        <w:ind w:left="2160" w:hanging="360"/>
      </w:pPr>
    </w:lvl>
    <w:lvl w:ilvl="3" w:tplc="5560DAA8">
      <w:start w:val="1"/>
      <w:numFmt w:val="bullet"/>
      <w:lvlText w:val="●"/>
      <w:lvlJc w:val="left"/>
      <w:pPr>
        <w:ind w:left="2880" w:hanging="360"/>
      </w:pPr>
    </w:lvl>
    <w:lvl w:ilvl="4" w:tplc="F36E4994">
      <w:start w:val="1"/>
      <w:numFmt w:val="bullet"/>
      <w:lvlText w:val="○"/>
      <w:lvlJc w:val="left"/>
      <w:pPr>
        <w:ind w:left="3600" w:hanging="360"/>
      </w:pPr>
    </w:lvl>
    <w:lvl w:ilvl="5" w:tplc="0890C8D6">
      <w:start w:val="1"/>
      <w:numFmt w:val="bullet"/>
      <w:lvlText w:val="■"/>
      <w:lvlJc w:val="left"/>
      <w:pPr>
        <w:ind w:left="4320" w:hanging="360"/>
      </w:pPr>
    </w:lvl>
    <w:lvl w:ilvl="6" w:tplc="75BE5FA0">
      <w:start w:val="1"/>
      <w:numFmt w:val="bullet"/>
      <w:lvlText w:val="●"/>
      <w:lvlJc w:val="left"/>
      <w:pPr>
        <w:ind w:left="5040" w:hanging="360"/>
      </w:pPr>
    </w:lvl>
    <w:lvl w:ilvl="7" w:tplc="D68E9342">
      <w:start w:val="1"/>
      <w:numFmt w:val="bullet"/>
      <w:lvlText w:val="●"/>
      <w:lvlJc w:val="left"/>
      <w:pPr>
        <w:ind w:left="5760" w:hanging="360"/>
      </w:pPr>
    </w:lvl>
    <w:lvl w:ilvl="8" w:tplc="DC86836E">
      <w:start w:val="1"/>
      <w:numFmt w:val="bullet"/>
      <w:lvlText w:val="●"/>
      <w:lvlJc w:val="left"/>
      <w:pPr>
        <w:ind w:left="6480" w:hanging="360"/>
      </w:pPr>
    </w:lvl>
  </w:abstractNum>
  <w:num w:numId="1" w16cid:durableId="1338269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7D4"/>
    <w:rsid w:val="000E37D4"/>
    <w:rsid w:val="00510340"/>
    <w:rsid w:val="008A072A"/>
    <w:rsid w:val="009F06C7"/>
    <w:rsid w:val="00E316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D6796FD"/>
  <w15:docId w15:val="{07228476-F054-7044-8375-D8E63CCE1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10340"/>
    <w:pPr>
      <w:spacing w:after="100"/>
    </w:pPr>
  </w:style>
  <w:style w:type="paragraph" w:styleId="TDC2">
    <w:name w:val="toc 2"/>
    <w:basedOn w:val="Normal"/>
    <w:next w:val="Normal"/>
    <w:autoRedefine/>
    <w:uiPriority w:val="39"/>
    <w:unhideWhenUsed/>
    <w:rsid w:val="0051034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3138</Words>
  <Characters>17263</Characters>
  <Application>Microsoft Office Word</Application>
  <DocSecurity>0</DocSecurity>
  <Lines>143</Lines>
  <Paragraphs>40</Paragraphs>
  <ScaleCrop>false</ScaleCrop>
  <Company/>
  <LinksUpToDate>false</LinksUpToDate>
  <CharactersWithSpaces>20361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cp:lastModifiedBy>
  <cp:revision>3</cp:revision>
  <cp:lastPrinted>2026-08-12T21:15:00Z</cp:lastPrinted>
  <dcterms:created xsi:type="dcterms:W3CDTF">2026-08-12T21:15:00Z</dcterms:created>
  <dcterms:modified xsi:type="dcterms:W3CDTF">2026-08-12T21:15:00Z</dcterms:modified>
</cp:coreProperties>
</file>