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jc w:val="center"/>
      </w:pPr>
      <w:r>
        <w:rPr>
          <w:b/>
          <w:bCs/>
          <w:color w:val="018D38"/>
          <w:sz w:val="44"/>
          <w:szCs w:val="44"/>
        </w:rPr>
        <w:t xml:space="preserve">LEVANTAMIENTO DE REQUISITOS DE SOFTWARE</w:t>
      </w:r>
    </w:p>
    <w:p>
      <w:pPr>
        <w:spacing w:after="400"/>
        <w:jc w:val="center"/>
      </w:pPr>
      <w:r>
        <w:rPr>
          <w:b/>
          <w:bCs/>
          <w:color w:val="018D38"/>
          <w:sz w:val="44"/>
          <w:szCs w:val="44"/>
        </w:rPr>
        <w:t xml:space="preserve">Y PROPUESTA TÉCNICA</w:t>
      </w:r>
    </w:p>
    <w:p>
      <w:pPr>
        <w:spacing w:after="120"/>
        <w:jc w:val="right"/>
      </w:pPr>
      <w:r>
        <w:rPr>
          <w:color w:val="0B5640"/>
          <w:sz w:val="28"/>
          <w:szCs w:val="28"/>
        </w:rPr>
        <w:t xml:space="preserve">Antioquia Natural</w:t>
      </w:r>
    </w:p>
    <w:p>
      <w:pPr>
        <w:spacing w:after="80"/>
        <w:jc w:val="right"/>
      </w:pPr>
      <w:r>
        <w:rPr>
          <w:i/>
          <w:iCs/>
          <w:color w:val="555555"/>
          <w:sz w:val="20"/>
          <w:szCs w:val="20"/>
        </w:rPr>
        <w:t xml:space="preserve">Puesta en producción de la aplicación web mobile-first para la exploración</w:t>
      </w:r>
    </w:p>
    <w:p>
      <w:pPr>
        <w:spacing w:after="400"/>
        <w:jc w:val="right"/>
      </w:pPr>
      <w:r>
        <w:rPr>
          <w:i/>
          <w:iCs/>
          <w:color w:val="555555"/>
          <w:sz w:val="20"/>
          <w:szCs w:val="20"/>
        </w:rPr>
        <w:t xml:space="preserve">de la biodiversidad, recursos hídricos y programas comunitarios de Antioquia.</w:t>
      </w:r>
    </w:p>
    <w:p>
      <w:pPr>
        <w:spacing w:after="80"/>
        <w:jc w:val="right"/>
      </w:pPr>
      <w:r>
        <w:rPr>
          <w:color w:val="333333"/>
          <w:sz w:val="20"/>
          <w:szCs w:val="20"/>
        </w:rPr>
        <w:t xml:space="preserve">Sebastián Guzmán Díaz</w:t>
      </w:r>
    </w:p>
    <w:p>
      <w:pPr>
        <w:spacing w:after="80"/>
        <w:jc w:val="right"/>
      </w:pPr>
      <w:r>
        <w:rPr>
          <w:color w:val="555555"/>
          <w:sz w:val="20"/>
          <w:szCs w:val="20"/>
        </w:rPr>
        <w:t xml:space="preserve">sguzmand@gmail.com  |  3006552511</w:t>
      </w:r>
    </w:p>
    <w:p>
      <w:pPr>
        <w:spacing w:after="80"/>
        <w:jc w:val="right"/>
      </w:pPr>
      <w:r>
        <w:rPr>
          <w:color w:val="555555"/>
          <w:sz w:val="20"/>
          <w:szCs w:val="20"/>
        </w:rPr>
        <w:t xml:space="preserve">Gobernación de Antioquia - Secretaría de Ambiente</w:t>
      </w:r>
    </w:p>
    <w:p>
      <w:r>
        <w:br w:type="page"/>
      </w:r>
    </w:p>
    <w:p>
      <w:pPr>
        <w:pBdr>
          <w:bottom w:val="single" w:color="018D38" w:sz="6"/>
        </w:pBdr>
        <w:spacing w:after="160" w:before="320"/>
      </w:pPr>
      <w:r>
        <w:rPr>
          <w:b/>
          <w:bCs/>
          <w:color w:val="018D38"/>
          <w:sz w:val="28"/>
          <w:szCs w:val="28"/>
        </w:rPr>
        <w:t xml:space="preserve">1.  Introducción</w:t>
      </w:r>
    </w:p>
    <w:p>
      <w:pPr>
        <w:spacing w:after="120" w:before="240"/>
      </w:pPr>
      <w:r>
        <w:rPr>
          <w:b/>
          <w:bCs/>
          <w:color w:val="0B5640"/>
          <w:sz w:val="24"/>
          <w:szCs w:val="24"/>
        </w:rPr>
        <w:t xml:space="preserve">1.1.  Propósito</w:t>
      </w:r>
    </w:p>
    <w:p>
      <w:pPr>
        <w:spacing w:after="120"/>
      </w:pPr>
      <w:r>
        <w:rPr>
          <w:color w:val="333333"/>
          <w:sz w:val="20"/>
          <w:szCs w:val="20"/>
        </w:rPr>
        <w:t xml:space="preserve">El propósito de este proyecto es llevar a producción la aplicación web </w:t>
      </w:r>
      <w:r>
        <w:rPr>
          <w:b/>
          <w:bCs/>
          <w:color w:val="333333"/>
          <w:sz w:val="20"/>
          <w:szCs w:val="20"/>
        </w:rPr>
        <w:t xml:space="preserve">"Antioquia Natural"</w:t>
      </w:r>
      <w:r>
        <w:rPr>
          <w:color w:val="333333"/>
          <w:sz w:val="20"/>
          <w:szCs w:val="20"/>
        </w:rPr>
        <w:t xml:space="preserve">, desarrollada para la Gobernación de Antioquia, que permita a los ciudadanos explorar la biodiversidad del departamento (flora y fauna por subregión y grupo taxonómico), los recursos hídricos y los programas comunitarios, en español e inglés, desde cualquier dispositivo móvil mediante código QR, sin necesidad de instalación.</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3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Campo</w:t>
            </w:r>
          </w:p>
        </w:tc>
        <w:tc>
          <w:tcPr>
            <w:tcW w:type="dxa" w:w="6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Información</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Nombre del sistema</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Antioquia Natural</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Administrador del sistema</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Secretaría de Ambiente - Gobernación de Antioquia</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Dependencia responsable</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Dirección de Agua y Saneamiento</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Líder funcional Gobernación</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i/>
                <w:iCs/>
                <w:color w:val="CC0000"/>
                <w:sz w:val="18"/>
                <w:szCs w:val="18"/>
              </w:rPr>
              <w:t xml:space="preserve">[PENDIENTE - nombre del responsable]</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Contratista</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Sebastián Guzmán Díaz</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Correo contratista</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sguzmand@gmail.com</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Teléfono contratista</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3006552511</w:t>
            </w:r>
          </w:p>
        </w:tc>
      </w:tr>
    </w:tbl>
    <w:p>
      <w:pPr>
        <w:spacing w:after="120"/>
      </w:pPr>
    </w:p>
    <w:p>
      <w:pPr>
        <w:spacing w:after="120" w:before="240"/>
      </w:pPr>
      <w:r>
        <w:rPr>
          <w:b/>
          <w:bCs/>
          <w:color w:val="0B5640"/>
          <w:sz w:val="24"/>
          <w:szCs w:val="24"/>
        </w:rPr>
        <w:t xml:space="preserve">1.2.  Alcance</w:t>
      </w:r>
    </w:p>
    <w:p>
      <w:pPr>
        <w:spacing w:after="120"/>
      </w:pPr>
      <w:r>
        <w:rPr>
          <w:b/>
          <w:bCs/>
          <w:color w:val="333333"/>
          <w:sz w:val="20"/>
          <w:szCs w:val="20"/>
        </w:rPr>
        <w:t xml:space="preserve">Incluido en este contrato:</w:t>
      </w:r>
    </w:p>
    <w:p>
      <w:pPr>
        <w:pStyle w:val="ListParagraph"/>
        <w:numPr>
          <w:ilvl w:val="0"/>
          <w:numId w:val="1"/>
        </w:numPr>
        <w:spacing w:after="80"/>
      </w:pPr>
      <w:r>
        <w:rPr>
          <w:b w:val="false"/>
          <w:bCs w:val="false"/>
          <w:color w:val="333333"/>
          <w:sz w:val="20"/>
          <w:szCs w:val="20"/>
        </w:rPr>
        <w:t xml:space="preserve">Despliegue de la aplicación en infraestructura provista por la Gobernación de Antioquia</w:t>
      </w:r>
    </w:p>
    <w:p>
      <w:pPr>
        <w:pStyle w:val="ListParagraph"/>
        <w:numPr>
          <w:ilvl w:val="0"/>
          <w:numId w:val="1"/>
        </w:numPr>
        <w:spacing w:after="80"/>
      </w:pPr>
      <w:r>
        <w:rPr>
          <w:b w:val="false"/>
          <w:bCs w:val="false"/>
          <w:color w:val="333333"/>
          <w:sz w:val="20"/>
          <w:szCs w:val="20"/>
        </w:rPr>
        <w:t xml:space="preserve">Módulo Biodiversidad: catálogo de especies insignia con galería fotográfica, mapa SVG interactivo de 9 subregiones, búsqueda en tiempo real y ficha con categoría IUCN</w:t>
      </w:r>
    </w:p>
    <w:p>
      <w:pPr>
        <w:pStyle w:val="ListParagraph"/>
        <w:numPr>
          <w:ilvl w:val="0"/>
          <w:numId w:val="1"/>
        </w:numPr>
        <w:spacing w:after="80"/>
      </w:pPr>
      <w:r>
        <w:rPr>
          <w:b w:val="false"/>
          <w:bCs w:val="false"/>
          <w:color w:val="333333"/>
          <w:sz w:val="20"/>
          <w:szCs w:val="20"/>
        </w:rPr>
        <w:t xml:space="preserve">Módulo Agua: exploración de fuentes hídricas y cuencas abastecedoras por subregión</w:t>
      </w:r>
    </w:p>
    <w:p>
      <w:pPr>
        <w:pStyle w:val="ListParagraph"/>
        <w:numPr>
          <w:ilvl w:val="0"/>
          <w:numId w:val="1"/>
        </w:numPr>
        <w:spacing w:after="80"/>
      </w:pPr>
      <w:r>
        <w:rPr>
          <w:b w:val="false"/>
          <w:bCs w:val="false"/>
          <w:color w:val="333333"/>
          <w:sz w:val="20"/>
          <w:szCs w:val="20"/>
        </w:rPr>
        <w:t xml:space="preserve">Módulo Comunidad - Jóvenes pa' Lante: información del programa con mapa interactivo de 90 municipios beneficiados</w:t>
      </w:r>
    </w:p>
    <w:p>
      <w:pPr>
        <w:pStyle w:val="ListParagraph"/>
        <w:numPr>
          <w:ilvl w:val="0"/>
          <w:numId w:val="1"/>
        </w:numPr>
        <w:spacing w:after="80"/>
      </w:pPr>
      <w:r>
        <w:rPr>
          <w:b w:val="false"/>
          <w:bCs w:val="false"/>
          <w:color w:val="333333"/>
          <w:sz w:val="20"/>
          <w:szCs w:val="20"/>
        </w:rPr>
        <w:t xml:space="preserve">Módulo Comunidad - Especie del Mes: especie destacada mensual con galería de avistamientos ciudadanos</w:t>
      </w:r>
    </w:p>
    <w:p>
      <w:pPr>
        <w:pStyle w:val="ListParagraph"/>
        <w:numPr>
          <w:ilvl w:val="0"/>
          <w:numId w:val="1"/>
        </w:numPr>
        <w:spacing w:after="80"/>
      </w:pPr>
      <w:r>
        <w:rPr>
          <w:b w:val="false"/>
          <w:bCs w:val="false"/>
          <w:color w:val="333333"/>
          <w:sz w:val="20"/>
          <w:szCs w:val="20"/>
        </w:rPr>
        <w:t xml:space="preserve">Galería fotográfica Jóvenes pa' Lante (JPL): 50 fotografías de biodiversidad por mes, con filtros por grupo taxonómico, subregión y mes, y archivo histórico. Crecimiento proyectado: ~4.000 registros al final del programa</w:t>
      </w:r>
    </w:p>
    <w:p>
      <w:pPr>
        <w:pStyle w:val="ListParagraph"/>
        <w:numPr>
          <w:ilvl w:val="0"/>
          <w:numId w:val="1"/>
        </w:numPr>
        <w:spacing w:after="80"/>
      </w:pPr>
      <w:r>
        <w:rPr>
          <w:b w:val="false"/>
          <w:bCs w:val="false"/>
          <w:color w:val="333333"/>
          <w:sz w:val="20"/>
          <w:szCs w:val="20"/>
        </w:rPr>
        <w:t xml:space="preserve">Galería fotográfica Guarda Cuencas: 10 fotografías de cuencas hídricas por mes en formato 16:9, con filtros por cuenca, subregión y mes, y archivo histórico. Crecimiento proyectado: ~800 registros al final del programa</w:t>
      </w:r>
    </w:p>
    <w:p>
      <w:pPr>
        <w:pStyle w:val="ListParagraph"/>
        <w:numPr>
          <w:ilvl w:val="0"/>
          <w:numId w:val="1"/>
        </w:numPr>
        <w:spacing w:after="80"/>
      </w:pPr>
      <w:r>
        <w:rPr>
          <w:b w:val="false"/>
          <w:bCs w:val="false"/>
          <w:color w:val="333333"/>
          <w:sz w:val="20"/>
          <w:szCs w:val="20"/>
        </w:rPr>
        <w:t xml:space="preserve">Panel de administración web para curadores: autenticación con sesión, CRUD completo de fotografías JPL y Guarda Cuencas, publicación de archivos JSON mensuales y optimización automática de imágenes a WebP</w:t>
      </w:r>
    </w:p>
    <w:p>
      <w:pPr>
        <w:pStyle w:val="ListParagraph"/>
        <w:numPr>
          <w:ilvl w:val="0"/>
          <w:numId w:val="1"/>
        </w:numPr>
        <w:spacing w:after="80"/>
      </w:pPr>
      <w:r>
        <w:rPr>
          <w:b w:val="false"/>
          <w:bCs w:val="false"/>
          <w:color w:val="333333"/>
          <w:sz w:val="20"/>
          <w:szCs w:val="20"/>
        </w:rPr>
        <w:t xml:space="preserve">API REST documentada (Swagger/OpenAPI) para consulta del catálogo de biodiversidad</w:t>
      </w:r>
    </w:p>
    <w:p>
      <w:pPr>
        <w:pStyle w:val="ListParagraph"/>
        <w:numPr>
          <w:ilvl w:val="0"/>
          <w:numId w:val="1"/>
        </w:numPr>
        <w:spacing w:after="80"/>
      </w:pPr>
      <w:r>
        <w:rPr>
          <w:b w:val="false"/>
          <w:bCs w:val="false"/>
          <w:color w:val="333333"/>
          <w:sz w:val="20"/>
          <w:szCs w:val="20"/>
        </w:rPr>
        <w:t xml:space="preserve">Base de datos MongoDB con catálogo de 150 especies de flora y fauna (9 grupos taxonómicos)</w:t>
      </w:r>
    </w:p>
    <w:p>
      <w:pPr>
        <w:pStyle w:val="ListParagraph"/>
        <w:numPr>
          <w:ilvl w:val="0"/>
          <w:numId w:val="1"/>
        </w:numPr>
        <w:spacing w:after="80"/>
      </w:pPr>
      <w:r>
        <w:rPr>
          <w:b w:val="false"/>
          <w:bCs w:val="false"/>
          <w:color w:val="333333"/>
          <w:sz w:val="20"/>
          <w:szCs w:val="20"/>
        </w:rPr>
        <w:t xml:space="preserve">Herramienta de importación masiva de especies mediante plantilla Excel</w:t>
      </w:r>
    </w:p>
    <w:p>
      <w:pPr>
        <w:pStyle w:val="ListParagraph"/>
        <w:numPr>
          <w:ilvl w:val="0"/>
          <w:numId w:val="1"/>
        </w:numPr>
        <w:spacing w:after="80"/>
      </w:pPr>
      <w:r>
        <w:rPr>
          <w:b w:val="false"/>
          <w:bCs w:val="false"/>
          <w:color w:val="333333"/>
          <w:sz w:val="20"/>
          <w:szCs w:val="20"/>
        </w:rPr>
        <w:t xml:space="preserve">Interfaz bilingüe español/inglés en todos los módulos</w:t>
      </w:r>
    </w:p>
    <w:p>
      <w:pPr>
        <w:pStyle w:val="ListParagraph"/>
        <w:numPr>
          <w:ilvl w:val="0"/>
          <w:numId w:val="1"/>
        </w:numPr>
        <w:spacing w:after="80"/>
      </w:pPr>
      <w:r>
        <w:rPr>
          <w:b w:val="false"/>
          <w:bCs w:val="false"/>
          <w:color w:val="333333"/>
          <w:sz w:val="20"/>
          <w:szCs w:val="20"/>
        </w:rPr>
        <w:t xml:space="preserve">Configuración de servidor, dominio, HTTPS y entorno de producción</w:t>
      </w:r>
    </w:p>
    <w:p>
      <w:pPr>
        <w:spacing w:after="120"/>
      </w:pPr>
    </w:p>
    <w:p>
      <w:pPr>
        <w:spacing w:after="120"/>
      </w:pPr>
      <w:r>
        <w:rPr>
          <w:b/>
          <w:bCs/>
          <w:color w:val="333333"/>
          <w:sz w:val="20"/>
          <w:szCs w:val="20"/>
        </w:rPr>
        <w:t xml:space="preserve">No incluido en este contrato:</w:t>
      </w:r>
    </w:p>
    <w:p>
      <w:pPr>
        <w:pStyle w:val="ListParagraph"/>
        <w:numPr>
          <w:ilvl w:val="0"/>
          <w:numId w:val="1"/>
        </w:numPr>
        <w:spacing w:after="80"/>
      </w:pPr>
      <w:r>
        <w:rPr>
          <w:b w:val="false"/>
          <w:bCs w:val="false"/>
          <w:color w:val="333333"/>
          <w:sz w:val="20"/>
          <w:szCs w:val="20"/>
        </w:rPr>
        <w:t xml:space="preserve">Integración con ArcGIS o Survey123</w:t>
      </w:r>
    </w:p>
    <w:p>
      <w:pPr>
        <w:pStyle w:val="ListParagraph"/>
        <w:numPr>
          <w:ilvl w:val="0"/>
          <w:numId w:val="1"/>
        </w:numPr>
        <w:spacing w:after="80"/>
      </w:pPr>
      <w:r>
        <w:rPr>
          <w:b w:val="false"/>
          <w:bCs w:val="false"/>
          <w:color w:val="333333"/>
          <w:sz w:val="20"/>
          <w:szCs w:val="20"/>
        </w:rPr>
        <w:t xml:space="preserve">Autenticación de usuarios ciudadanos (login público)</w:t>
      </w:r>
    </w:p>
    <w:p>
      <w:pPr>
        <w:pStyle w:val="ListParagraph"/>
        <w:numPr>
          <w:ilvl w:val="0"/>
          <w:numId w:val="1"/>
        </w:numPr>
        <w:spacing w:after="80"/>
      </w:pPr>
      <w:r>
        <w:rPr>
          <w:b w:val="false"/>
          <w:bCs w:val="false"/>
          <w:color w:val="333333"/>
          <w:sz w:val="20"/>
          <w:szCs w:val="20"/>
        </w:rPr>
        <w:t xml:space="preserve">Aplicación nativa móvil (iOS/Android)</w:t>
      </w:r>
    </w:p>
    <w:p>
      <w:pPr>
        <w:pStyle w:val="ListParagraph"/>
        <w:numPr>
          <w:ilvl w:val="0"/>
          <w:numId w:val="1"/>
        </w:numPr>
        <w:spacing w:after="80"/>
      </w:pPr>
      <w:r>
        <w:rPr>
          <w:b w:val="false"/>
          <w:bCs w:val="false"/>
          <w:color w:val="333333"/>
          <w:sz w:val="20"/>
          <w:szCs w:val="20"/>
        </w:rPr>
        <w:t xml:space="preserve">Módulos adicionales no descritos en este documento</w:t>
      </w:r>
    </w:p>
    <w:p>
      <w:pPr>
        <w:spacing w:after="120"/>
      </w:pPr>
    </w:p>
    <w:p>
      <w:pPr>
        <w:pBdr>
          <w:bottom w:val="single" w:color="018D38" w:sz="6"/>
        </w:pBdr>
        <w:spacing w:after="160" w:before="320"/>
      </w:pPr>
      <w:r>
        <w:rPr>
          <w:b/>
          <w:bCs/>
          <w:color w:val="018D38"/>
          <w:sz w:val="28"/>
          <w:szCs w:val="28"/>
        </w:rPr>
        <w:t xml:space="preserve">2.  Descripción General</w:t>
      </w:r>
    </w:p>
    <w:p>
      <w:pPr>
        <w:spacing w:after="120"/>
      </w:pPr>
      <w:r>
        <w:rPr>
          <w:color w:val="333333"/>
          <w:sz w:val="20"/>
          <w:szCs w:val="20"/>
        </w:rPr>
        <w:t xml:space="preserve">Antioquia Natural centraliza en un único canal digital la información sobre la riqueza natural del departamento y sus programas sociales asociados. La aplicación permite a visitantes, estudiantes, investigadores y ciudadanos consultar especies de flora y fauna representativas, explorar la red hídrica y conocer los programas Jóvenes pa' Lante y Guarda Cuencas, sin requerir instalación ni registro previo.</w:t>
      </w:r>
    </w:p>
    <w:p>
      <w:pPr>
        <w:spacing w:after="120"/>
      </w:pPr>
      <w:r>
        <w:rPr>
          <w:b/>
          <w:bCs/>
          <w:color w:val="333333"/>
          <w:sz w:val="20"/>
          <w:szCs w:val="20"/>
        </w:rPr>
        <w:t xml:space="preserve">Impacto esperado: </w:t>
      </w:r>
      <w:r>
        <w:rPr>
          <w:color w:val="333333"/>
          <w:sz w:val="20"/>
          <w:szCs w:val="20"/>
        </w:rPr>
        <w:t xml:space="preserve">mayor visibilidad de la biodiversidad del departamento, acceso ciudadano a información actualizada sobre programas sociales y posicionamiento digital de la Gobernación de Antioquia como entidad innovadora en divulgación ambiental.</w:t>
      </w:r>
    </w:p>
    <w:p>
      <w:pPr>
        <w:spacing w:after="120"/>
      </w:pPr>
    </w:p>
    <w:p>
      <w:pPr>
        <w:pBdr>
          <w:bottom w:val="single" w:color="018D38" w:sz="6"/>
        </w:pBdr>
        <w:spacing w:after="160" w:before="320"/>
      </w:pPr>
      <w:r>
        <w:rPr>
          <w:b/>
          <w:bCs/>
          <w:color w:val="018D38"/>
          <w:sz w:val="28"/>
          <w:szCs w:val="28"/>
        </w:rPr>
        <w:t xml:space="preserve">3.  Análisis del Requerimiento de Software</w:t>
      </w:r>
    </w:p>
    <w:p>
      <w:pPr>
        <w:spacing w:after="120" w:before="240"/>
      </w:pPr>
      <w:r>
        <w:rPr>
          <w:b/>
          <w:bCs/>
          <w:color w:val="0B5640"/>
          <w:sz w:val="24"/>
          <w:szCs w:val="24"/>
        </w:rPr>
        <w:t xml:space="preserve">3.1.  Descripción General del Producto</w:t>
      </w:r>
    </w:p>
    <w:p>
      <w:pPr>
        <w:spacing w:after="120"/>
      </w:pPr>
      <w:r>
        <w:rPr>
          <w:color w:val="333333"/>
          <w:sz w:val="20"/>
          <w:szCs w:val="20"/>
        </w:rPr>
        <w:t xml:space="preserve">Los requerimientos fueron identificados con el equipo de la Secretaría de Ambiente de la Gobernación de Antioquia, a partir de la necesidad de contar con un canal digital moderno, accesible vía código QR, que divulgue la biodiversidad insignia del departamento y los programas comunitarios asociados, con soporte bilingüe y optimizado para dispositivos móviles.</w:t>
      </w:r>
    </w:p>
    <w:p>
      <w:pPr>
        <w:spacing w:after="120"/>
      </w:pPr>
    </w:p>
    <w:p>
      <w:pPr>
        <w:spacing w:after="120" w:before="240"/>
      </w:pPr>
      <w:r>
        <w:rPr>
          <w:b/>
          <w:bCs/>
          <w:color w:val="0B5640"/>
          <w:sz w:val="24"/>
          <w:szCs w:val="24"/>
        </w:rPr>
        <w:t xml:space="preserve">3.2.  Módulos Nuevos Identificados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6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Módulo</w:t>
            </w:r>
          </w:p>
        </w:tc>
        <w:tc>
          <w:tcPr>
            <w:tcW w:type="dxa" w:w="67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Biodiversidad</w:t>
            </w:r>
          </w:p>
        </w:tc>
        <w:tc>
          <w:tcPr>
            <w:tcW w:type="dxa" w:w="67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Catálogo de especies de flora y fauna por subregión y grupo taxonómico, con galería fotográfica y ficha detallada (nombre científico, IUCN, distribución, descripción bilingüe)</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Agua</w:t>
            </w:r>
          </w:p>
        </w:tc>
        <w:tc>
          <w:tcPr>
            <w:tcW w:type="dxa" w:w="67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Exploración de la red hídrica: fuentes hídricas y cuencas abastecedoras por subregión</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Comunidad - Jóvenes pa' Lante</w:t>
            </w:r>
          </w:p>
        </w:tc>
        <w:tc>
          <w:tcPr>
            <w:tcW w:type="dxa" w:w="67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Información del programa de formación superior y mapa interactivo con 90 municipios beneficiados filtrable por subregión</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Comunidad - Especie del Mes</w:t>
            </w:r>
          </w:p>
        </w:tc>
        <w:tc>
          <w:tcPr>
            <w:tcW w:type="dxa" w:w="67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Especie destacada mensual seleccionada por el equipo editorial, con galería de avistamientos ciudadanos e historial</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Galería JPL - Jóvenes pa' Lante</w:t>
            </w:r>
          </w:p>
        </w:tc>
        <w:tc>
          <w:tcPr>
            <w:tcW w:type="dxa" w:w="67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50 fotografías de biodiversidad por mes subidas por el curador. Filtros por grupo taxonómico, subregión y mes. Ficha de especie con nombre científico, categoría IUCN y descripción bilingüe. Archivo histórico de galerías anteriores.</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Galería Guarda Cuencas</w:t>
            </w:r>
          </w:p>
        </w:tc>
        <w:tc>
          <w:tcPr>
            <w:tcW w:type="dxa" w:w="67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10 fotografías de cuencas hídricas por mes en formato 16:9. Filtros por cuenca, subregión y mes. Archivo histórico de galerías anteriores.</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Panel de Administración Curadores</w:t>
            </w:r>
          </w:p>
        </w:tc>
        <w:tc>
          <w:tcPr>
            <w:tcW w:type="dxa" w:w="67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Panel web con autenticación por sesión para curadores. CRUD completo de fotografías JPL y Guarda Cuencas. Publicación de archivos JSON mensuales. Optimización automática de imágenes a WebP mediante librería sharp.</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API REST</w:t>
            </w:r>
          </w:p>
        </w:tc>
        <w:tc>
          <w:tcPr>
            <w:tcW w:type="dxa" w:w="67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Capa de servicios para el consumo de datos del catálogo desde el frontend</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Base de Datos</w:t>
            </w:r>
          </w:p>
        </w:tc>
        <w:tc>
          <w:tcPr>
            <w:tcW w:type="dxa" w:w="67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Dos bases de datos MongoDB en el mismo cluster Atlas: (1) BD Biodiversidad — catálogo estático de 150 especies de flora y fauna, 9 grupos taxonómicos, 9 subregiones; (2) BD Comunidad — registros del programa JPL (50 fotos/mes, ~4.000 registros al final del programa) y Guarda Cuencas (10 fotos/mes, ~800 registros)</w:t>
            </w:r>
          </w:p>
        </w:tc>
      </w:tr>
    </w:tbl>
    <w:p>
      <w:pPr>
        <w:spacing w:after="120"/>
      </w:pPr>
    </w:p>
    <w:p>
      <w:pPr>
        <w:spacing w:after="120" w:before="240"/>
      </w:pPr>
      <w:r>
        <w:rPr>
          <w:b/>
          <w:bCs/>
          <w:color w:val="0B5640"/>
          <w:sz w:val="24"/>
          <w:szCs w:val="24"/>
        </w:rPr>
        <w:t xml:space="preserve">3.3.  Roles Identificados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3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Rol</w:t>
            </w:r>
          </w:p>
        </w:tc>
        <w:tc>
          <w:tcPr>
            <w:tcW w:type="dxa" w:w="6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Visitante / Ciudadano</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Acceso de lectura a todos los módulos públicos. Sin autenticación requerida.</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Curador de Contenido</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Funcionario o contratista de la Secretaría de Ambiente. Accede al panel de administración web con usuario y contraseña. Carga, edita y publica las fotografías JPL y Guarda Cuencas mensualmente.</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Administrador de Contenido</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Personal de la Secretaría de Ambiente. Actualiza el catálogo de especies y la Especie del Mes mediante plantilla Excel e importación directa a la base de datos.</w:t>
            </w:r>
          </w:p>
        </w:tc>
      </w:tr>
    </w:tbl>
    <w:p>
      <w:pPr>
        <w:spacing w:after="120"/>
      </w:pPr>
    </w:p>
    <w:p>
      <w:pPr>
        <w:spacing w:after="120" w:before="240"/>
      </w:pPr>
      <w:r>
        <w:rPr>
          <w:b/>
          <w:bCs/>
          <w:color w:val="0B5640"/>
          <w:sz w:val="24"/>
          <w:szCs w:val="24"/>
        </w:rPr>
        <w:t xml:space="preserve">3.4.  Módulos Afectados</w:t>
      </w:r>
    </w:p>
    <w:p>
      <w:pPr>
        <w:spacing w:after="120"/>
      </w:pPr>
      <w:r>
        <w:rPr>
          <w:color w:val="333333"/>
          <w:sz w:val="20"/>
          <w:szCs w:val="20"/>
        </w:rPr>
        <w:t xml:space="preserve">Esta es la primera puesta en producción del aplicativo. El prototipo funcional desarrollado previamente sirve como base de diseño y experiencia de usuario validada; el presente contrato formaliza su despliegue en infraestructura institucional de la Gobernación de Antioquia.</w:t>
      </w:r>
    </w:p>
    <w:p>
      <w:pPr>
        <w:spacing w:after="120"/>
      </w:pPr>
    </w:p>
    <w:p>
      <w:pPr>
        <w:spacing w:after="120" w:before="240"/>
      </w:pPr>
      <w:r>
        <w:rPr>
          <w:b/>
          <w:bCs/>
          <w:color w:val="0B5640"/>
          <w:sz w:val="24"/>
          <w:szCs w:val="24"/>
        </w:rPr>
        <w:t xml:space="preserve">3.5.  Requisitos del Sistema</w:t>
      </w:r>
    </w:p>
    <w:p>
      <w:pPr>
        <w:pStyle w:val="ListParagraph"/>
        <w:numPr>
          <w:ilvl w:val="0"/>
          <w:numId w:val="1"/>
        </w:numPr>
        <w:spacing w:after="80"/>
      </w:pPr>
      <w:r>
        <w:rPr>
          <w:b w:val="false"/>
          <w:bCs w:val="false"/>
          <w:color w:val="333333"/>
          <w:sz w:val="20"/>
          <w:szCs w:val="20"/>
        </w:rPr>
        <w:t xml:space="preserve">Servidor: Ubuntu Server 24.04 LTS - 4 vCPU, 16 GB RAM, 2 TB almacenamiento</w:t>
      </w:r>
    </w:p>
    <w:p>
      <w:pPr>
        <w:pStyle w:val="ListParagraph"/>
        <w:numPr>
          <w:ilvl w:val="0"/>
          <w:numId w:val="1"/>
        </w:numPr>
        <w:spacing w:after="80"/>
      </w:pPr>
      <w:r>
        <w:rPr>
          <w:b w:val="false"/>
          <w:bCs w:val="false"/>
          <w:color w:val="333333"/>
          <w:sz w:val="20"/>
          <w:szCs w:val="20"/>
        </w:rPr>
        <w:t xml:space="preserve">Software: Node.js 22 LTS, MongoDB 7.x, PM2, Nginx, Certbot / Let's Encrypt</w:t>
      </w:r>
    </w:p>
    <w:p>
      <w:pPr>
        <w:pStyle w:val="ListParagraph"/>
        <w:numPr>
          <w:ilvl w:val="0"/>
          <w:numId w:val="1"/>
        </w:numPr>
        <w:spacing w:after="80"/>
      </w:pPr>
      <w:r>
        <w:rPr>
          <w:b w:val="false"/>
          <w:bCs w:val="false"/>
          <w:color w:val="333333"/>
          <w:sz w:val="20"/>
          <w:szCs w:val="20"/>
        </w:rPr>
        <w:t xml:space="preserve">Dominio institucional con certificado SSL activo</w:t>
      </w:r>
    </w:p>
    <w:p>
      <w:pPr>
        <w:pStyle w:val="ListParagraph"/>
        <w:numPr>
          <w:ilvl w:val="0"/>
          <w:numId w:val="1"/>
        </w:numPr>
        <w:spacing w:after="80"/>
      </w:pPr>
      <w:r>
        <w:rPr>
          <w:b w:val="false"/>
          <w:bCs w:val="false"/>
          <w:color w:val="333333"/>
          <w:sz w:val="20"/>
          <w:szCs w:val="20"/>
        </w:rPr>
        <w:t xml:space="preserve">IP pública con acceso a internet</w:t>
      </w:r>
    </w:p>
    <w:p>
      <w:pPr>
        <w:spacing w:after="120"/>
      </w:pPr>
    </w:p>
    <w:p>
      <w:r>
        <w:br w:type="page"/>
      </w:r>
    </w:p>
    <w:p>
      <w:pPr>
        <w:pBdr>
          <w:bottom w:val="single" w:color="018D38" w:sz="6"/>
        </w:pBdr>
        <w:spacing w:after="160" w:before="320"/>
      </w:pPr>
      <w:r>
        <w:rPr>
          <w:b/>
          <w:bCs/>
          <w:color w:val="018D38"/>
          <w:sz w:val="28"/>
          <w:szCs w:val="28"/>
        </w:rPr>
        <w:t xml:space="preserve">4.  Requerimientos Funcionales</w:t>
      </w:r>
    </w:p>
    <w:p>
      <w:pPr>
        <w:spacing w:after="120" w:before="240"/>
      </w:pPr>
      <w:r>
        <w:rPr>
          <w:b/>
          <w:bCs/>
          <w:color w:val="0B5640"/>
          <w:sz w:val="24"/>
          <w:szCs w:val="24"/>
        </w:rPr>
        <w:t xml:space="preserve">4.1.  Detalle por módulo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tblGrid>
      <w:tr>
        <w:trPr>
          <w:tblHeader/>
        </w:trPr>
        <w:tc>
          <w:tcPr>
            <w:tcW w:type="dxa" w:w="9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Código</w:t>
            </w:r>
          </w:p>
        </w:tc>
        <w:tc>
          <w:tcPr>
            <w:tcW w:type="dxa" w:w="15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Propósito</w:t>
            </w:r>
          </w:p>
        </w:tc>
        <w:tc>
          <w:tcPr>
            <w:tcW w:type="dxa" w:w="2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c>
          <w:tcPr>
            <w:tcW w:type="dxa" w:w="14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Entrada</w:t>
            </w:r>
          </w:p>
        </w:tc>
        <w:tc>
          <w:tcPr>
            <w:tcW w:type="dxa" w:w="17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Salida</w:t>
            </w:r>
          </w:p>
        </w:tc>
        <w:tc>
          <w:tcPr>
            <w:tcW w:type="dxa" w:w="1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Comentarios</w:t>
            </w:r>
          </w:p>
        </w:tc>
      </w:tr>
      <w:tr>
        <w:tc>
          <w:tcPr>
            <w:tcW w:type="dxa" w:w="9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RQP01</w:t>
            </w:r>
          </w:p>
        </w:tc>
        <w:tc>
          <w:tcPr>
            <w:tcW w:type="dxa" w:w="1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Exploración por subregión</w:t>
            </w:r>
          </w:p>
        </w:tc>
        <w:tc>
          <w:tcPr>
            <w:tcW w:type="dxa" w:w="2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El sistema permite seleccionar una de las 9 subregiones mediante mapa SVG interactivo</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Toque o clic sobre el mapa</w:t>
            </w:r>
          </w:p>
        </w:tc>
        <w:tc>
          <w:tcPr>
            <w:tcW w:type="dxa" w:w="17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Grupos de biodiversidad disponibles con conteo de especies</w:t>
            </w:r>
          </w:p>
        </w:tc>
        <w:tc>
          <w:tcPr>
            <w:tcW w:type="dxa" w:w="1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RQP02</w:t>
            </w:r>
          </w:p>
        </w:tc>
        <w:tc>
          <w:tcPr>
            <w:tcW w:type="dxa" w:w="1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Exploración por grupo taxonómico</w:t>
            </w:r>
          </w:p>
        </w:tc>
        <w:tc>
          <w:tcPr>
            <w:tcW w:type="dxa" w:w="2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El sistema filtra especies por los 9 grupos taxonómicos (Aves, Anfibios y Reptiles, Mariposas, Polillas, Mamíferos, Animales Domésticos, Peces de Agua Dulce, Orquídeas, Árboles Nativos) y por reino (Flora / Fauna)</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Selección de grupo o reino</w:t>
            </w:r>
          </w:p>
        </w:tc>
        <w:tc>
          <w:tcPr>
            <w:tcW w:type="dxa" w:w="17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Listado de familias y especies en acordeón</w:t>
            </w:r>
          </w:p>
        </w:tc>
        <w:tc>
          <w:tcPr>
            <w:tcW w:type="dxa" w:w="1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RQP03</w:t>
            </w:r>
          </w:p>
        </w:tc>
        <w:tc>
          <w:tcPr>
            <w:tcW w:type="dxa" w:w="1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Búsqueda de especies</w:t>
            </w:r>
          </w:p>
        </w:tc>
        <w:tc>
          <w:tcPr>
            <w:tcW w:type="dxa" w:w="2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El sistema implementa búsqueda en tiempo real por nombre científico y nombre común (ES/EN)</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Texto ingresado por el usuario</w:t>
            </w:r>
          </w:p>
        </w:tc>
        <w:tc>
          <w:tcPr>
            <w:tcW w:type="dxa" w:w="17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Resultados filtrados en &lt; 300 ms</w:t>
            </w:r>
          </w:p>
        </w:tc>
        <w:tc>
          <w:tcPr>
            <w:tcW w:type="dxa" w:w="1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RQP04</w:t>
            </w:r>
          </w:p>
        </w:tc>
        <w:tc>
          <w:tcPr>
            <w:tcW w:type="dxa" w:w="1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Ficha de especie</w:t>
            </w:r>
          </w:p>
        </w:tc>
        <w:tc>
          <w:tcPr>
            <w:tcW w:type="dxa" w:w="2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El sistema muestra galería fotográfica, nombre científico, categoría IUCN, subregiones de distribución y descripción bilingüe</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ID de especie</w:t>
            </w:r>
          </w:p>
        </w:tc>
        <w:tc>
          <w:tcPr>
            <w:tcW w:type="dxa" w:w="17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Pantalla completa con todos los datos de la especie</w:t>
            </w:r>
          </w:p>
        </w:tc>
        <w:tc>
          <w:tcPr>
            <w:tcW w:type="dxa" w:w="1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RQP05</w:t>
            </w:r>
          </w:p>
        </w:tc>
        <w:tc>
          <w:tcPr>
            <w:tcW w:type="dxa" w:w="1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Bilingüismo ES/EN</w:t>
            </w:r>
          </w:p>
        </w:tc>
        <w:tc>
          <w:tcPr>
            <w:tcW w:type="dxa" w:w="2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El sistema cambia toda la interfaz entre español e inglés sin recargar la página</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Toggle de idioma</w:t>
            </w:r>
          </w:p>
        </w:tc>
        <w:tc>
          <w:tcPr>
            <w:tcW w:type="dxa" w:w="17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Todos los textos de UI y descripciones en el idioma seleccionado</w:t>
            </w:r>
          </w:p>
        </w:tc>
        <w:tc>
          <w:tcPr>
            <w:tcW w:type="dxa" w:w="1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Preferencia guardada entre sesiones</w:t>
            </w:r>
          </w:p>
        </w:tc>
      </w:tr>
      <w:tr>
        <w:tc>
          <w:tcPr>
            <w:tcW w:type="dxa" w:w="9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RQP06</w:t>
            </w:r>
          </w:p>
        </w:tc>
        <w:tc>
          <w:tcPr>
            <w:tcW w:type="dxa" w:w="1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Red hídrica por subregión</w:t>
            </w:r>
          </w:p>
        </w:tc>
        <w:tc>
          <w:tcPr>
            <w:tcW w:type="dxa" w:w="2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El sistema presenta fuentes hídricas y cuencas abastecedoras filtradas por subregión y tipo de recurso</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Selección de subregión y tipo</w:t>
            </w:r>
          </w:p>
        </w:tc>
        <w:tc>
          <w:tcPr>
            <w:tcW w:type="dxa" w:w="17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Mapa y listado de ríos, cuencas y municipios abastecidos</w:t>
            </w:r>
          </w:p>
        </w:tc>
        <w:tc>
          <w:tcPr>
            <w:tcW w:type="dxa" w:w="1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RQP07</w:t>
            </w:r>
          </w:p>
        </w:tc>
        <w:tc>
          <w:tcPr>
            <w:tcW w:type="dxa" w:w="1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Programa Jóvenes pa' Lante</w:t>
            </w:r>
          </w:p>
        </w:tc>
        <w:tc>
          <w:tcPr>
            <w:tcW w:type="dxa" w:w="2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El sistema presenta descripción del programa y mapa con los 90 municipios beneficiados, filtrable por subregión</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Selección de subregión (opcional)</w:t>
            </w:r>
          </w:p>
        </w:tc>
        <w:tc>
          <w:tcPr>
            <w:tcW w:type="dxa" w:w="17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Información del programa y municipios en mapa interactivo Leaflet</w:t>
            </w:r>
          </w:p>
        </w:tc>
        <w:tc>
          <w:tcPr>
            <w:tcW w:type="dxa" w:w="1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RQP08</w:t>
            </w:r>
          </w:p>
        </w:tc>
        <w:tc>
          <w:tcPr>
            <w:tcW w:type="dxa" w:w="1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Especie del Mes</w:t>
            </w:r>
          </w:p>
        </w:tc>
        <w:tc>
          <w:tcPr>
            <w:tcW w:type="dxa" w:w="2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El sistema presenta la especie destacada del mes con descripción, galería y canal para envío de fotos comunitarias</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Ninguna (carga automática)</w:t>
            </w:r>
          </w:p>
        </w:tc>
        <w:tc>
          <w:tcPr>
            <w:tcW w:type="dxa" w:w="17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Ficha de la especie del mes con historial</w:t>
            </w:r>
          </w:p>
        </w:tc>
        <w:tc>
          <w:tcPr>
            <w:tcW w:type="dxa" w:w="1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Actualizable por el administrador</w:t>
            </w:r>
          </w:p>
        </w:tc>
      </w:tr>
      <w:tr>
        <w:tc>
          <w:tcPr>
            <w:tcW w:type="dxa" w:w="9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RQP09</w:t>
            </w:r>
          </w:p>
        </w:tc>
        <w:tc>
          <w:tcPr>
            <w:tcW w:type="dxa" w:w="1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API REST de consulta</w:t>
            </w:r>
          </w:p>
        </w:tc>
        <w:tc>
          <w:tcPr>
            <w:tcW w:type="dxa" w:w="2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El sistema expone endpoints documentados para consulta de especies, familias, grupos y subregiones</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Petición HTTP GET con parámetros</w:t>
            </w:r>
          </w:p>
        </w:tc>
        <w:tc>
          <w:tcPr>
            <w:tcW w:type="dxa" w:w="17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Respuesta JSON con datos de biodiversidad</w:t>
            </w:r>
          </w:p>
        </w:tc>
        <w:tc>
          <w:tcPr>
            <w:tcW w:type="dxa" w:w="1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Documentada con Swagger/OpenAPI. Diseño API First.</w:t>
            </w:r>
          </w:p>
        </w:tc>
      </w:tr>
      <w:tr>
        <w:tc>
          <w:tcPr>
            <w:tcW w:type="dxa" w:w="9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RQP10</w:t>
            </w:r>
          </w:p>
        </w:tc>
        <w:tc>
          <w:tcPr>
            <w:tcW w:type="dxa" w:w="1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Importación masiva de especies</w:t>
            </w:r>
          </w:p>
        </w:tc>
        <w:tc>
          <w:tcPr>
            <w:tcW w:type="dxa" w:w="2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El administrador carga nuevas especies mediante plantilla Excel estructurada</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Archivo Excel diligenciado</w:t>
            </w:r>
          </w:p>
        </w:tc>
        <w:tc>
          <w:tcPr>
            <w:tcW w:type="dxa" w:w="17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Especies registradas en BD con reporte de resultados</w:t>
            </w:r>
          </w:p>
        </w:tc>
        <w:tc>
          <w:tcPr>
            <w:tcW w:type="dxa" w:w="1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RQP11</w:t>
            </w:r>
          </w:p>
        </w:tc>
        <w:tc>
          <w:tcPr>
            <w:tcW w:type="dxa" w:w="1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Despliegue en producción</w:t>
            </w:r>
          </w:p>
        </w:tc>
        <w:tc>
          <w:tcPr>
            <w:tcW w:type="dxa" w:w="2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La aplicación opera en el servidor de la Gobernación bajo dominio institucional con HTTPS</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Configuración de servidor</w:t>
            </w:r>
          </w:p>
        </w:tc>
        <w:tc>
          <w:tcPr>
            <w:tcW w:type="dxa" w:w="17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Aplicación accesible al público</w:t>
            </w:r>
          </w:p>
        </w:tc>
        <w:tc>
          <w:tcPr>
            <w:tcW w:type="dxa" w:w="1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RQP12</w:t>
            </w:r>
          </w:p>
        </w:tc>
        <w:tc>
          <w:tcPr>
            <w:tcW w:type="dxa" w:w="1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Galería fotográfica JPL</w:t>
            </w:r>
          </w:p>
        </w:tc>
        <w:tc>
          <w:tcPr>
            <w:tcW w:type="dxa" w:w="2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El sistema presenta 50 fotografías de biodiversidad por mes subidas por el curador, con filtros por grupo taxonómico, subregión y mes, y archivo de galerías anteriores</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Selección de filtros por el visitante</w:t>
            </w:r>
          </w:p>
        </w:tc>
        <w:tc>
          <w:tcPr>
            <w:tcW w:type="dxa" w:w="17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Galería filtrada con fichas de especie (nombre científico, IUCN, descripción bilingüe)</w:t>
            </w:r>
          </w:p>
        </w:tc>
        <w:tc>
          <w:tcPr>
            <w:tcW w:type="dxa" w:w="1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Imágenes almacenadas en WebP, optimizadas automáticamente en el servidor</w:t>
            </w:r>
          </w:p>
        </w:tc>
      </w:tr>
      <w:tr>
        <w:tc>
          <w:tcPr>
            <w:tcW w:type="dxa" w:w="9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RQP13</w:t>
            </w:r>
          </w:p>
        </w:tc>
        <w:tc>
          <w:tcPr>
            <w:tcW w:type="dxa" w:w="15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Galería fotográfica Guarda Cuencas</w:t>
            </w:r>
          </w:p>
        </w:tc>
        <w:tc>
          <w:tcPr>
            <w:tcW w:type="dxa" w:w="2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El sistema presenta 10 fotografías de cuencas hídricas por mes en formato 16:9, con filtros por cuenca, subregión y mes, y archivo histórico</w:t>
            </w:r>
          </w:p>
        </w:tc>
        <w:tc>
          <w:tcPr>
            <w:tcW w:type="dxa" w:w="14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Selección de filtros por el visitante</w:t>
            </w:r>
          </w:p>
        </w:tc>
        <w:tc>
          <w:tcPr>
            <w:tcW w:type="dxa" w:w="17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Galería filtrada con fichas de foto (cuenca, municipio, descripción bilingüe)</w:t>
            </w:r>
          </w:p>
        </w:tc>
        <w:tc>
          <w:tcPr>
            <w:tcW w:type="dxa" w:w="12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w:t>
            </w:r>
          </w:p>
        </w:tc>
      </w:tr>
      <w:tr>
        <w:tc>
          <w:tcPr>
            <w:tcW w:type="dxa" w:w="9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RQP14</w:t>
            </w:r>
          </w:p>
        </w:tc>
        <w:tc>
          <w:tcPr>
            <w:tcW w:type="dxa" w:w="15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Panel de administración curadores</w:t>
            </w:r>
          </w:p>
        </w:tc>
        <w:tc>
          <w:tcPr>
            <w:tcW w:type="dxa" w:w="2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El sistema provee un panel web protegido con autenticación por sesión que permite al curador cargar, editar y eliminar fotografías JPL y Guarda Cuencas, y publicar el JSON mensual</w:t>
            </w:r>
          </w:p>
        </w:tc>
        <w:tc>
          <w:tcPr>
            <w:tcW w:type="dxa" w:w="14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Credenciales del curador (usuario/contraseña), archivos de imagen (JPG/PNG/WebP)</w:t>
            </w:r>
          </w:p>
        </w:tc>
        <w:tc>
          <w:tcPr>
            <w:tcW w:type="dxa" w:w="17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Fotografías publicadas en la galería; imágenes optimizadas a WebP (máx. 1200 px, q82) automáticamente</w:t>
            </w:r>
          </w:p>
        </w:tc>
        <w:tc>
          <w:tcPr>
            <w:tcW w:type="dxa" w:w="12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Contraseñas almacenadas con hash bcrypt. Sesión gestionada con express-session.</w:t>
            </w:r>
          </w:p>
        </w:tc>
      </w:tr>
    </w:tbl>
    <w:p>
      <w:pPr>
        <w:spacing w:after="120"/>
      </w:pPr>
    </w:p>
    <w:p>
      <w:pPr>
        <w:pBdr>
          <w:bottom w:val="single" w:color="018D38" w:sz="6"/>
        </w:pBdr>
        <w:spacing w:after="160" w:before="320"/>
      </w:pPr>
      <w:r>
        <w:rPr>
          <w:b/>
          <w:bCs/>
          <w:color w:val="018D38"/>
          <w:sz w:val="28"/>
          <w:szCs w:val="28"/>
        </w:rPr>
        <w:t xml:space="preserve">5.  Requerimientos No Funcionales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11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Código</w:t>
            </w:r>
          </w:p>
        </w:tc>
        <w:tc>
          <w:tcPr>
            <w:tcW w:type="dxa" w:w="19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Nombre</w:t>
            </w:r>
          </w:p>
        </w:tc>
        <w:tc>
          <w:tcPr>
            <w:tcW w:type="dxa" w:w="4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c>
          <w:tcPr>
            <w:tcW w:type="dxa" w:w="2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Comentarios</w:t>
            </w:r>
          </w:p>
        </w:tc>
      </w:tr>
      <w:tr>
        <w:tc>
          <w:tcPr>
            <w:tcW w:type="dxa" w:w="11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RNF01</w:t>
            </w:r>
          </w:p>
        </w:tc>
        <w:tc>
          <w:tcPr>
            <w:tcW w:type="dxa" w:w="19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Mobile-First / Responsive</w:t>
            </w:r>
          </w:p>
        </w:tc>
        <w:tc>
          <w:tcPr>
            <w:tcW w:type="dxa" w:w="4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La interfaz debe ser funcional y visualmente correcta en dispositivos de 375 px a 1440 px de ancho</w:t>
            </w:r>
          </w:p>
        </w:tc>
        <w:tc>
          <w:tcPr>
            <w:tcW w:type="dxa" w:w="2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Optimizado para iPhone estándar (375-430 px)</w:t>
            </w:r>
          </w:p>
        </w:tc>
      </w:tr>
      <w:tr>
        <w:tc>
          <w:tcPr>
            <w:tcW w:type="dxa" w:w="11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RNF02</w:t>
            </w:r>
          </w:p>
        </w:tc>
        <w:tc>
          <w:tcPr>
            <w:tcW w:type="dxa" w:w="19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Rendimiento</w:t>
            </w:r>
          </w:p>
        </w:tc>
        <w:tc>
          <w:tcPr>
            <w:tcW w:type="dxa" w:w="40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Tiempo de carga inicial &lt; 3 segundos en conexión 4G estándar. Imágenes servidas en formato WebP.</w:t>
            </w:r>
          </w:p>
        </w:tc>
        <w:tc>
          <w:tcPr>
            <w:tcW w:type="dxa" w:w="2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w:t>
            </w:r>
          </w:p>
        </w:tc>
      </w:tr>
      <w:tr>
        <w:tc>
          <w:tcPr>
            <w:tcW w:type="dxa" w:w="11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RNF03</w:t>
            </w:r>
          </w:p>
        </w:tc>
        <w:tc>
          <w:tcPr>
            <w:tcW w:type="dxa" w:w="19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Identidad Visual Institucional</w:t>
            </w:r>
          </w:p>
        </w:tc>
        <w:tc>
          <w:tcPr>
            <w:tcW w:type="dxa" w:w="4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Aplicación del Manual de Identidad Visual de la Gobernación de Antioquia: colores oficiales, tipografía Poppins, logo del Escudo de Armas</w:t>
            </w:r>
          </w:p>
        </w:tc>
        <w:tc>
          <w:tcPr>
            <w:tcW w:type="dxa" w:w="2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w:t>
            </w:r>
          </w:p>
        </w:tc>
      </w:tr>
      <w:tr>
        <w:tc>
          <w:tcPr>
            <w:tcW w:type="dxa" w:w="11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RNF04</w:t>
            </w:r>
          </w:p>
        </w:tc>
        <w:tc>
          <w:tcPr>
            <w:tcW w:type="dxa" w:w="19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Accesibilidad</w:t>
            </w:r>
          </w:p>
        </w:tc>
        <w:tc>
          <w:tcPr>
            <w:tcW w:type="dxa" w:w="40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Cumplimiento WCAG 2.1 nivel AA: contraste mínimo 4.5:1, textos alternativos en imágenes. Validación con herramienta WAVE. (Res. 1519 de 2020)</w:t>
            </w:r>
          </w:p>
        </w:tc>
        <w:tc>
          <w:tcPr>
            <w:tcW w:type="dxa" w:w="2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w:t>
            </w:r>
          </w:p>
        </w:tc>
      </w:tr>
      <w:tr>
        <w:tc>
          <w:tcPr>
            <w:tcW w:type="dxa" w:w="11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RNF05</w:t>
            </w:r>
          </w:p>
        </w:tc>
        <w:tc>
          <w:tcPr>
            <w:tcW w:type="dxa" w:w="19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Seguridad</w:t>
            </w:r>
          </w:p>
        </w:tc>
        <w:tc>
          <w:tcPr>
            <w:tcW w:type="dxa" w:w="4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Protección OWASP Top 10. HTTPS obligatorio. TLS 1.2 mínimo. Contraseñas del panel de curadores almacenadas con hash bcrypt (prohibido texto plano). Cumplimiento Ley 1581 (Habeas Data).</w:t>
            </w:r>
          </w:p>
        </w:tc>
        <w:tc>
          <w:tcPr>
            <w:tcW w:type="dxa" w:w="2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w:t>
            </w:r>
          </w:p>
        </w:tc>
      </w:tr>
      <w:tr>
        <w:tc>
          <w:tcPr>
            <w:tcW w:type="dxa" w:w="11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RNF06</w:t>
            </w:r>
          </w:p>
        </w:tc>
        <w:tc>
          <w:tcPr>
            <w:tcW w:type="dxa" w:w="19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Disponibilidad</w:t>
            </w:r>
          </w:p>
        </w:tc>
        <w:tc>
          <w:tcPr>
            <w:tcW w:type="dxa" w:w="40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99% de tiempo de operación mensual</w:t>
            </w:r>
          </w:p>
        </w:tc>
        <w:tc>
          <w:tcPr>
            <w:tcW w:type="dxa" w:w="2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w:t>
            </w:r>
          </w:p>
        </w:tc>
      </w:tr>
      <w:tr>
        <w:tc>
          <w:tcPr>
            <w:tcW w:type="dxa" w:w="11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RNF07</w:t>
            </w:r>
          </w:p>
        </w:tc>
        <w:tc>
          <w:tcPr>
            <w:tcW w:type="dxa" w:w="19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Mantenibilidad</w:t>
            </w:r>
          </w:p>
        </w:tc>
        <w:tc>
          <w:tcPr>
            <w:tcW w:type="dxa" w:w="400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Código y comentarios en español (neutro). GitFlow (ramas main/develop). Conventional Commits (feat:, fix:, docs:). Clean Architecture en el backend. Licencias OSS compatibles con uso institucional (MIT, Apache 2.0). Cumplimiento de la Guía de Arquitectura y Buenas Prácticas de la Gobernación de Antioquia.</w:t>
            </w:r>
          </w:p>
        </w:tc>
        <w:tc>
          <w:tcPr>
            <w:tcW w:type="dxa" w:w="2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Entrega de código fuente completo sin ofuscación en repositorio Azure DevOps institucional.</w:t>
            </w:r>
          </w:p>
        </w:tc>
      </w:tr>
      <w:tr>
        <w:tc>
          <w:tcPr>
            <w:tcW w:type="dxa" w:w="11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RNF08</w:t>
            </w:r>
          </w:p>
        </w:tc>
        <w:tc>
          <w:tcPr>
            <w:tcW w:type="dxa" w:w="19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Privacidad de Datos</w:t>
            </w:r>
          </w:p>
        </w:tc>
        <w:tc>
          <w:tcPr>
            <w:tcW w:type="dxa" w:w="400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Los entornos de Desarrollo y QA/Staging no deben contener datos reales de ciudadanos. Datos de prueba anonimizados o sintéticos. Política de privacidad visible en la aplicación.</w:t>
            </w:r>
          </w:p>
        </w:tc>
        <w:tc>
          <w:tcPr>
            <w:tcW w:type="dxa" w:w="2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Ley 1581 (Habeas Data). Anonimización obligatoria en entornos no productivos.</w:t>
            </w:r>
          </w:p>
        </w:tc>
      </w:tr>
    </w:tbl>
    <w:p>
      <w:pPr>
        <w:spacing w:after="120"/>
      </w:pPr>
    </w:p>
    <w:p>
      <w:pPr>
        <w:pBdr>
          <w:bottom w:val="single" w:color="018D38" w:sz="6"/>
        </w:pBdr>
        <w:spacing w:after="160" w:before="320"/>
      </w:pPr>
      <w:r>
        <w:rPr>
          <w:b/>
          <w:bCs/>
          <w:color w:val="018D38"/>
          <w:sz w:val="28"/>
          <w:szCs w:val="28"/>
        </w:rPr>
        <w:t xml:space="preserve">6.  Diccionario de Definiciones y Acrónimos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Término</w:t>
            </w:r>
          </w:p>
        </w:tc>
        <w:tc>
          <w:tcPr>
            <w:tcW w:type="dxa" w:w="7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Definición</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API</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Interfaz de Programación de Aplicaciones.</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bcrypt</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Algoritmo de hash de contraseñas resistente a ataques de fuerza bruta.</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CRUD</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Create, Read, Update, Delete (Crear, Leer, Actualizar, Eliminar).</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HTTPS</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Protocolo de transferencia de hipertexto seguro.</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IUCN</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Unión Internacional para la Conservación de la Naturaleza.</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MongoDB</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Base de datos NoSQL orientada a documentos.</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QR</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Código de Respuesta Rápida.</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REST</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Transferencia de Estado Representacional (estilo de arquitectura de APIs).</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SVG</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Gráficos Vectoriales Escalables.</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TLS</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Transport Layer Security - protocolo de cifrado para comunicaciones web.</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i w:val="false"/>
                <w:iCs w:val="false"/>
                <w:color w:val="333333"/>
                <w:sz w:val="18"/>
                <w:szCs w:val="18"/>
              </w:rPr>
              <w:t xml:space="preserve">WCAG</w:t>
            </w:r>
          </w:p>
        </w:tc>
        <w:tc>
          <w:tcPr>
            <w:tcW w:type="dxa" w:w="7360"/>
            <w:tcBorders>
              <w:top w:val="single" w:color="CCCCCC" w:sz="4"/>
              <w:left w:val="single" w:color="CCCCCC" w:sz="4"/>
              <w:bottom w:val="single" w:color="CCCCCC" w:sz="4"/>
              <w:right w:val="single" w:color="CCCCCC" w:sz="4"/>
            </w:tcBorders>
            <w:shd w:fill="FFFFFF" w:val="clear"/>
          </w:tcPr>
          <w:p>
            <w:pPr>
              <w:spacing w:after="80" w:before="80"/>
              <w:jc w:val="left"/>
            </w:pPr>
            <w:r>
              <w:rPr>
                <w:i w:val="false"/>
                <w:iCs w:val="false"/>
                <w:color w:val="333333"/>
                <w:sz w:val="18"/>
                <w:szCs w:val="18"/>
              </w:rPr>
              <w:t xml:space="preserve">Pautas de Accesibilidad para el Contenido Web.</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i w:val="false"/>
                <w:iCs w:val="false"/>
                <w:color w:val="333333"/>
                <w:sz w:val="18"/>
                <w:szCs w:val="18"/>
              </w:rPr>
              <w:t xml:space="preserve">WebP</w:t>
            </w:r>
          </w:p>
        </w:tc>
        <w:tc>
          <w:tcPr>
            <w:tcW w:type="dxa" w:w="7360"/>
            <w:tcBorders>
              <w:top w:val="single" w:color="CCCCCC" w:sz="4"/>
              <w:left w:val="single" w:color="CCCCCC" w:sz="4"/>
              <w:bottom w:val="single" w:color="CCCCCC" w:sz="4"/>
              <w:right w:val="single" w:color="CCCCCC" w:sz="4"/>
            </w:tcBorders>
            <w:shd w:fill="F0FFF4" w:val="clear"/>
          </w:tcPr>
          <w:p>
            <w:pPr>
              <w:spacing w:after="80" w:before="80"/>
              <w:jc w:val="left"/>
            </w:pPr>
            <w:r>
              <w:rPr>
                <w:i w:val="false"/>
                <w:iCs w:val="false"/>
                <w:color w:val="333333"/>
                <w:sz w:val="18"/>
                <w:szCs w:val="18"/>
              </w:rPr>
              <w:t xml:space="preserve">Formato de imagen moderno con compresión superior a JPG/PNG.</w:t>
            </w:r>
          </w:p>
        </w:tc>
      </w:tr>
    </w:tbl>
    <w:p>
      <w:pPr>
        <w:spacing w:after="120"/>
      </w:pPr>
    </w:p>
    <w:p>
      <w:pPr>
        <w:pBdr>
          <w:bottom w:val="single" w:color="018D38" w:sz="6"/>
        </w:pBdr>
        <w:spacing w:after="160" w:before="320"/>
      </w:pPr>
      <w:r>
        <w:rPr>
          <w:b/>
          <w:bCs/>
          <w:color w:val="018D38"/>
          <w:sz w:val="28"/>
          <w:szCs w:val="28"/>
        </w:rPr>
        <w:t xml:space="preserve">Notas Finales</w:t>
      </w:r>
    </w:p>
    <w:p>
      <w:pPr>
        <w:spacing w:after="120"/>
      </w:pPr>
      <w:r>
        <w:rPr>
          <w:b/>
          <w:bCs/>
          <w:color w:val="333333"/>
          <w:sz w:val="20"/>
          <w:szCs w:val="20"/>
        </w:rPr>
        <w:t xml:space="preserve">Soporte y mantenimiento: </w:t>
      </w:r>
      <w:r>
        <w:rPr>
          <w:color w:val="333333"/>
          <w:sz w:val="20"/>
          <w:szCs w:val="20"/>
        </w:rPr>
        <w:t xml:space="preserve">6 meses de soporte correctivo luego de la firma del acta de entrega final. Cubre corrección de errores imputables al código desarrollado. No incluye nuevas funcionalidades ni cambios en infraestructura de terceros.</w:t>
      </w:r>
    </w:p>
    <w:p>
      <w:pPr>
        <w:spacing w:after="120"/>
      </w:pPr>
      <w:r>
        <w:rPr>
          <w:b/>
          <w:bCs/>
          <w:color w:val="333333"/>
          <w:sz w:val="20"/>
          <w:szCs w:val="20"/>
        </w:rPr>
        <w:t xml:space="preserve">Garantía: </w:t>
      </w:r>
      <w:r>
        <w:rPr>
          <w:color w:val="333333"/>
          <w:sz w:val="20"/>
          <w:szCs w:val="20"/>
        </w:rPr>
        <w:t xml:space="preserve">6 meses.</w:t>
      </w:r>
    </w:p>
    <w:p>
      <w:pPr>
        <w:spacing w:after="120"/>
      </w:pPr>
      <w:r>
        <w:rPr>
          <w:b/>
          <w:bCs/>
          <w:color w:val="333333"/>
          <w:sz w:val="20"/>
          <w:szCs w:val="20"/>
        </w:rPr>
        <w:t xml:space="preserve">Derechos morales y patrimoniales: </w:t>
      </w:r>
      <w:r>
        <w:rPr>
          <w:color w:val="333333"/>
          <w:sz w:val="20"/>
          <w:szCs w:val="20"/>
        </w:rPr>
        <w:t xml:space="preserve">El código fuente desarrollado bajo este contrato es propiedad patrimonial de la Gobernación de Antioquia, en cumplimiento de la sección 1.4 de la Guía de Arquitectura y Buenas Prácticas de Desarrollo de la entidad. El contratista conserva sus derechos morales como autor del desarrollo.</w:t>
      </w:r>
    </w:p>
    <w:p>
      <w:pPr>
        <w:spacing w:after="120"/>
      </w:pPr>
      <w:r>
        <w:rPr>
          <w:b/>
          <w:bCs/>
          <w:color w:val="333333"/>
          <w:sz w:val="20"/>
          <w:szCs w:val="20"/>
        </w:rPr>
        <w:t xml:space="preserve">Cumplimiento de lineamientos: </w:t>
      </w:r>
      <w:r>
        <w:rPr>
          <w:color w:val="333333"/>
          <w:sz w:val="20"/>
          <w:szCs w:val="20"/>
        </w:rPr>
        <w:t xml:space="preserve">El desarrollo seguirá los lineamientos definidos en la Guía de Arquitectura y Buenas Prácticas de Desarrollo de la Gobernación de Antioquia, incluyendo Monolito Modular, Clean Architecture, GitFlow, Conventional Commits, código en español, licencias OSS compatibles y gestión mediante Azure DevOps institucional.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2026-07-10T21:45:07.386Z</dcterms:created>
  <dcterms:modified xsi:type="dcterms:W3CDTF">2026-07-10T21:45:07.390Z</dcterms:modified>
</cp:coreProperties>
</file>

<file path=docProps/custom.xml><?xml version="1.0" encoding="utf-8"?>
<Properties xmlns="http://schemas.openxmlformats.org/officeDocument/2006/custom-properties" xmlns:vt="http://schemas.openxmlformats.org/officeDocument/2006/docPropsVTypes"/>
</file>