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jc w:val="center"/>
      </w:pPr>
      <w:r>
        <w:rPr>
          <w:b/>
          <w:bCs/>
          <w:color w:val="018D38"/>
          <w:sz w:val="44"/>
          <w:szCs w:val="44"/>
        </w:rPr>
        <w:t xml:space="preserve">PROPUESTA TÉCNICA DE</w:t>
      </w:r>
    </w:p>
    <w:p>
      <w:pPr>
        <w:spacing w:after="400"/>
        <w:jc w:val="center"/>
      </w:pPr>
      <w:r>
        <w:rPr>
          <w:b/>
          <w:bCs/>
          <w:color w:val="018D38"/>
          <w:sz w:val="44"/>
          <w:szCs w:val="44"/>
        </w:rPr>
        <w:t xml:space="preserve">DESARROLLO DE SOFTWARE</w:t>
      </w:r>
    </w:p>
    <w:p>
      <w:pPr>
        <w:spacing w:after="160"/>
        <w:jc w:val="center"/>
      </w:pPr>
      <w:r>
        <w:rPr>
          <w:color w:val="0B5640"/>
          <w:sz w:val="24"/>
          <w:szCs w:val="24"/>
        </w:rPr>
        <w:t xml:space="preserve">Antioquia Natural</w:t>
      </w:r>
    </w:p>
    <w:p>
      <w:pPr>
        <w:spacing w:after="400"/>
        <w:jc w:val="center"/>
      </w:pPr>
      <w:r>
        <w:rPr>
          <w:i/>
          <w:iCs/>
          <w:color w:val="555555"/>
          <w:sz w:val="20"/>
          <w:szCs w:val="20"/>
        </w:rPr>
        <w:t xml:space="preserve">Propuesta realizada por el contratista</w:t>
      </w:r>
    </w:p>
    <w:p>
      <w:pPr>
        <w:spacing w:after="80"/>
        <w:jc w:val="center"/>
      </w:pPr>
      <w:r>
        <w:rPr>
          <w:color w:val="333333"/>
          <w:sz w:val="20"/>
          <w:szCs w:val="20"/>
        </w:rPr>
        <w:t xml:space="preserve">Sebastián Guzmán Díaz  |  sguzmand@gmail.com  |  3006552511</w:t>
      </w:r>
    </w:p>
    <w:p>
      <w:pPr>
        <w:spacing w:after="80"/>
        <w:jc w:val="center"/>
      </w:pPr>
      <w:r>
        <w:rPr>
          <w:color w:val="555555"/>
          <w:sz w:val="20"/>
          <w:szCs w:val="20"/>
        </w:rPr>
        <w:t xml:space="preserve">Gobernación de Antioquia - Secretaría de Ambiente</w:t>
      </w:r>
    </w:p>
    <w:p>
      <w:r>
        <w:br w:type="page"/>
      </w:r>
    </w:p>
    <w:p>
      <w:pPr>
        <w:pBdr>
          <w:bottom w:val="single" w:color="018D38" w:sz="6"/>
        </w:pBdr>
        <w:spacing w:after="160" w:before="320"/>
      </w:pPr>
      <w:r>
        <w:rPr>
          <w:b/>
          <w:bCs/>
          <w:color w:val="018D38"/>
          <w:sz w:val="28"/>
          <w:szCs w:val="28"/>
        </w:rPr>
        <w:t xml:space="preserve">1.  Introducción a la Solución</w:t>
      </w:r>
    </w:p>
    <w:p>
      <w:pPr>
        <w:spacing w:after="120"/>
      </w:pPr>
      <w:r>
        <w:rPr>
          <w:color w:val="333333"/>
          <w:sz w:val="20"/>
          <w:szCs w:val="20"/>
        </w:rPr>
        <w:t xml:space="preserve">Antioquia Natural es una aplicación web mobile-first que centraliza la información sobre la biodiversidad del departamento de Antioquia, accesible desde cualquier dispositivo mediante código QR, sin necesidad de instalación. La solución incluye módulos de biodiversidad, recursos hídricos y programas comunitarios (Jóvenes pa' Lante, Guarda Cuencas, Especie del Mes), galerías fotográficas mensuales para JPL y Guarda Cuencas, un panel de administración web para curadores de contenido, y una API REST documentada. Está construida sobre un stack tecnológico moderno de código abierto, optimizado para bajo costo de operación, alta accesibilidad ciudadana y mantenibilidad a largo plazo por el equipo institucional de la Gobernación.</w:t>
      </w:r>
    </w:p>
    <w:p>
      <w:pPr>
        <w:spacing w:after="120"/>
      </w:pPr>
    </w:p>
    <w:p>
      <w:pPr>
        <w:pBdr>
          <w:bottom w:val="single" w:color="018D38" w:sz="6"/>
        </w:pBdr>
        <w:spacing w:after="160" w:before="320"/>
      </w:pPr>
      <w:r>
        <w:rPr>
          <w:b/>
          <w:bCs/>
          <w:color w:val="018D38"/>
          <w:sz w:val="28"/>
          <w:szCs w:val="28"/>
        </w:rPr>
        <w:t xml:space="preserve">2.  Detalles Técnicos</w:t>
      </w:r>
    </w:p>
    <w:p>
      <w:pPr>
        <w:spacing w:after="120" w:before="240"/>
      </w:pPr>
      <w:r>
        <w:rPr>
          <w:b/>
          <w:bCs/>
          <w:color w:val="0B5640"/>
          <w:sz w:val="24"/>
          <w:szCs w:val="24"/>
        </w:rPr>
        <w:t xml:space="preserve">2.1.  Metodología de Desarrollo</w:t>
      </w:r>
    </w:p>
    <w:p>
      <w:pPr>
        <w:spacing w:after="120"/>
      </w:pPr>
      <w:r>
        <w:rPr>
          <w:color w:val="333333"/>
          <w:sz w:val="20"/>
          <w:szCs w:val="20"/>
        </w:rPr>
        <w:t xml:space="preserve">Se utilizará una metodología </w:t>
      </w:r>
      <w:r>
        <w:rPr>
          <w:b/>
          <w:bCs/>
          <w:color w:val="333333"/>
          <w:sz w:val="20"/>
          <w:szCs w:val="20"/>
        </w:rPr>
        <w:t xml:space="preserve">ágil incremental</w:t>
      </w:r>
      <w:r>
        <w:rPr>
          <w:color w:val="333333"/>
          <w:sz w:val="20"/>
          <w:szCs w:val="20"/>
        </w:rPr>
        <w:t xml:space="preserve"> con entregas quincenales sujetas a revisión y aprobación del líder funcional de la Gobernación.</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Fases del ciclo:</w:t>
      </w:r>
      <w:r>
        <w:rPr>
          <w:b w:val="false"/>
          <w:bCs w:val="false"/>
          <w:color w:val="333333"/>
          <w:sz w:val="20"/>
          <w:szCs w:val="20"/>
        </w:rPr>
        <w:t xml:space="preserve"> Análisis y Diseño - Construcción (sprints) - Pruebas QA - Transición a producción - Capacitación</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Gestión de tareas:</w:t>
      </w:r>
      <w:r>
        <w:rPr>
          <w:b w:val="false"/>
          <w:bCs w:val="false"/>
          <w:color w:val="333333"/>
          <w:sz w:val="20"/>
          <w:szCs w:val="20"/>
        </w:rPr>
        <w:t xml:space="preserve"> Azure DevOps institucional (repositorio Git + tablero de seguimiento)</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Entregables:</w:t>
      </w:r>
      <w:r>
        <w:rPr>
          <w:b w:val="false"/>
          <w:bCs w:val="false"/>
          <w:color w:val="333333"/>
          <w:sz w:val="20"/>
          <w:szCs w:val="20"/>
        </w:rPr>
        <w:t xml:space="preserve"> quincenales con acta de aprobación por fase</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Control de versiones:</w:t>
      </w:r>
      <w:r>
        <w:rPr>
          <w:b w:val="false"/>
          <w:bCs w:val="false"/>
          <w:color w:val="333333"/>
          <w:sz w:val="20"/>
          <w:szCs w:val="20"/>
        </w:rPr>
        <w:t xml:space="preserve"> GitFlow con ramas main (producción estable) y develop (integración continua)</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Convención de commits:</w:t>
      </w:r>
      <w:r>
        <w:rPr>
          <w:b w:val="false"/>
          <w:bCs w:val="false"/>
          <w:color w:val="333333"/>
          <w:sz w:val="20"/>
          <w:szCs w:val="20"/>
        </w:rPr>
        <w:t xml:space="preserve"> Conventional Commits (feat:, fix:, docs:, refactor:) para mantener historial legible y auditable</w:t>
      </w:r>
    </w:p>
    <w:p>
      <w:pPr>
        <w:spacing w:after="120"/>
      </w:pPr>
    </w:p>
    <w:p>
      <w:pPr>
        <w:spacing w:after="120" w:before="240"/>
      </w:pPr>
      <w:r>
        <w:rPr>
          <w:b/>
          <w:bCs/>
          <w:color w:val="0B5640"/>
          <w:sz w:val="24"/>
          <w:szCs w:val="24"/>
        </w:rPr>
        <w:t xml:space="preserve">2.2.  Stack Tecnológico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2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Capa</w:t>
            </w:r>
          </w:p>
        </w:tc>
        <w:tc>
          <w:tcPr>
            <w:tcW w:type="dxa" w:w="2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Tecnología / Herramienta</w:t>
            </w:r>
          </w:p>
        </w:tc>
        <w:tc>
          <w:tcPr>
            <w:tcW w:type="dxa" w:w="45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Justificación Técnica</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Frontend (Cliente)</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HTML5 + CSS3 + JavaScript Vanilla</w:t>
            </w:r>
          </w:p>
        </w:tc>
        <w:tc>
          <w:tcPr>
            <w:tcW w:type="dxa" w:w="45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Máxima compatibilidad, sin dependencias de framework, carga rápida en red móvil. En catálogo de tecnologías de referencia de la Gobernación.</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Backend (Servidor)</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Node.js 22 LTS + Express.js</w:t>
            </w:r>
          </w:p>
        </w:tc>
        <w:tc>
          <w:tcPr>
            <w:tcW w:type="dxa" w:w="45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Open source, alto rendimiento, en catálogo oficial de tecnologías de la Gobernación</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Base de Datos</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MongoDB Atlas — 2 bases de datos</w:t>
            </w:r>
          </w:p>
        </w:tc>
        <w:tc>
          <w:tcPr>
            <w:tcW w:type="dxa" w:w="45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Separación de responsabilidades: BD Biodiversidad (catálogo estático de 150 especies) y BD Comunidad (registros JPL ~4.000 y GC ~800 al final del programa). Mismo cluster Atlas M0, conexiones Mongoose independientes por base de datos (MONGODB_URI_BIO / MONGODB_URI_COM).</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Optimización de Imágenes</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sharp 0.34 (Node.js)</w:t>
            </w:r>
          </w:p>
        </w:tc>
        <w:tc>
          <w:tcPr>
            <w:tcW w:type="dxa" w:w="45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Conversión automática de JPG/PNG a WebP en el servidor con control de dimensiones (máx. 1200 px) y calidad (q82). Ahorro de hasta 73% en peso de imágenes.</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Carga de Archivos</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multer (Node.js)</w:t>
            </w:r>
          </w:p>
        </w:tc>
        <w:tc>
          <w:tcPr>
            <w:tcW w:type="dxa" w:w="45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Gestión de uploads multipart/form-data en el panel de administración. Validación de tipo y tamaño de archivo en el servidor.</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Autenticación Admin</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express-session + bcrypt</w:t>
            </w:r>
          </w:p>
        </w:tc>
        <w:tc>
          <w:tcPr>
            <w:tcW w:type="dxa" w:w="45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Sesiones seguras para el panel de curadores. Contraseñas almacenadas con hash bcrypt. Cumplimiento del lineamiento: prohibido almacenamiento en texto plano.</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Servidor Web</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Nginx + PM2</w:t>
            </w:r>
          </w:p>
        </w:tc>
        <w:tc>
          <w:tcPr>
            <w:tcW w:type="dxa" w:w="45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Estándar de industria para Node.js en producción: proxy inverso, SSL termination, reinicio automático</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Control de Versiones</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Git + Azure DevOps</w:t>
            </w:r>
          </w:p>
        </w:tc>
        <w:tc>
          <w:tcPr>
            <w:tcW w:type="dxa" w:w="45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Plataforma institucional de la Gobernación de Antioquia</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Infraestructura</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Ubuntu Server 24.04 LTS</w:t>
            </w:r>
          </w:p>
        </w:tc>
        <w:tc>
          <w:tcPr>
            <w:tcW w:type="dxa" w:w="45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Sistema operativo Open Source con soporte LTS hasta abril de 2029</w:t>
            </w:r>
          </w:p>
        </w:tc>
      </w:tr>
    </w:tbl>
    <w:p>
      <w:pPr>
        <w:spacing w:after="120"/>
      </w:pPr>
    </w:p>
    <w:p>
      <w:pPr>
        <w:pBdr>
          <w:bottom w:val="single" w:color="018D38" w:sz="6"/>
        </w:pBdr>
        <w:spacing w:after="160" w:before="320"/>
      </w:pPr>
      <w:r>
        <w:rPr>
          <w:b/>
          <w:bCs/>
          <w:color w:val="018D38"/>
          <w:sz w:val="28"/>
          <w:szCs w:val="28"/>
        </w:rPr>
        <w:t xml:space="preserve">3.  Arquitectura General</w:t>
      </w:r>
    </w:p>
    <w:p>
      <w:pPr>
        <w:spacing w:after="120" w:before="240"/>
      </w:pPr>
      <w:r>
        <w:rPr>
          <w:b/>
          <w:bCs/>
          <w:color w:val="0B5640"/>
          <w:sz w:val="24"/>
          <w:szCs w:val="24"/>
        </w:rPr>
        <w:t xml:space="preserve">3.1.  Diagrama de Arquitectura</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Estilo:</w:t>
      </w:r>
      <w:r>
        <w:rPr>
          <w:b w:val="false"/>
          <w:bCs w:val="false"/>
          <w:color w:val="333333"/>
          <w:sz w:val="20"/>
          <w:szCs w:val="20"/>
        </w:rPr>
        <w:t xml:space="preserve"> Monolito Modular (recomendado en los lineamientos de la Gobernación para aplicaciones de dominio unificado)</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Patrón de diseño backend:</w:t>
      </w:r>
      <w:r>
        <w:rPr>
          <w:b w:val="false"/>
          <w:bCs w:val="false"/>
          <w:color w:val="333333"/>
          <w:sz w:val="20"/>
          <w:szCs w:val="20"/>
        </w:rPr>
        <w:t xml:space="preserve"> Clean Architecture - separación entre Dominio (lógica de negocio), Aplicación (casos de uso) e Infraestructura (Express/MongoDB) para proteger las reglas de negocio de la obsolescencia tecnológica</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Comunicación:</w:t>
      </w:r>
      <w:r>
        <w:rPr>
          <w:b w:val="false"/>
          <w:bCs w:val="false"/>
          <w:color w:val="333333"/>
          <w:sz w:val="20"/>
          <w:szCs w:val="20"/>
        </w:rPr>
        <w:t xml:space="preserve"> API RESTful bajo protocolo HTTPS con contratos Swagger/OpenAPI definidos antes de la codificación (API First)</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Seguridad:</w:t>
      </w:r>
      <w:r>
        <w:rPr>
          <w:b w:val="false"/>
          <w:bCs w:val="false"/>
          <w:color w:val="333333"/>
          <w:sz w:val="20"/>
          <w:szCs w:val="20"/>
        </w:rPr>
        <w:t xml:space="preserve"> TLS 1.2+ (Certbot/Let's Encrypt), validación de entradas en todos los endpoints, protección OWASP Top 10, hash bcrypt para contraseñas del panel admin</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Entornos:</w:t>
      </w:r>
      <w:r>
        <w:rPr>
          <w:b w:val="false"/>
          <w:bCs w:val="false"/>
          <w:color w:val="333333"/>
          <w:sz w:val="20"/>
          <w:szCs w:val="20"/>
        </w:rPr>
        <w:t xml:space="preserve"> Desarrollo (Dev) - QA/Staging (réplica de producción) - Producción (solo tras aprobación de QA). Solo se despliega en producción con aprobación explícita.</w:t>
      </w:r>
    </w:p>
    <w:p>
      <w:pPr>
        <w:spacing w:after="120"/>
      </w:pPr>
    </w:p>
    <w:p>
      <w:pPr>
        <w:spacing w:after="80" w:before="120"/>
      </w:pPr>
      <w:r>
        <w:rPr>
          <w:b/>
          <w:bCs/>
          <w:color w:val="0B5640"/>
          <w:sz w:val="20"/>
          <w:szCs w:val="20"/>
        </w:rPr>
        <w:t xml:space="preserve">Flujo de petición:</w:t>
      </w:r>
    </w:p>
    <w:p>
      <w:pPr>
        <w:spacing w:after="120"/>
      </w:pPr>
      <w:r>
        <w:rPr>
          <w:i/>
          <w:iCs/>
          <w:color w:val="555555"/>
          <w:sz w:val="18"/>
          <w:szCs w:val="18"/>
        </w:rPr>
        <w:t xml:space="preserve">Ciudadano (móvil / escritorio)  -&gt;  [HTTPS]  -&gt;  Nginx (proxy + SSL)  -&gt;  Node.js / Express + PM2  -&gt;  MongoDB</w:t>
      </w:r>
    </w:p>
    <w:p>
      <w:pPr>
        <w:spacing w:after="120"/>
      </w:pPr>
    </w:p>
    <w:p>
      <w:pPr>
        <w:spacing w:after="120" w:before="240"/>
      </w:pPr>
      <w:r>
        <w:rPr>
          <w:b/>
          <w:bCs/>
          <w:color w:val="0B5640"/>
          <w:sz w:val="24"/>
          <w:szCs w:val="24"/>
        </w:rPr>
        <w:t xml:space="preserve">3.2.  Requisitos de Despliegue</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Servidor de Aplicaciones:</w:t>
      </w:r>
      <w:r>
        <w:rPr>
          <w:b w:val="false"/>
          <w:bCs w:val="false"/>
          <w:color w:val="333333"/>
          <w:sz w:val="20"/>
          <w:szCs w:val="20"/>
        </w:rPr>
        <w:t xml:space="preserve"> Ubuntu Server 24.04 LTS - 4 vCPU, 16 GB RAM</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Almacenamiento:</w:t>
      </w:r>
      <w:r>
        <w:rPr>
          <w:b w:val="false"/>
          <w:bCs w:val="false"/>
          <w:color w:val="333333"/>
          <w:sz w:val="20"/>
          <w:szCs w:val="20"/>
        </w:rPr>
        <w:t xml:space="preserve"> 2 TB (aplicación + fotos de especies + base de datos)</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Dominio y SSL:</w:t>
      </w:r>
      <w:r>
        <w:rPr>
          <w:b w:val="false"/>
          <w:bCs w:val="false"/>
          <w:color w:val="333333"/>
          <w:sz w:val="20"/>
          <w:szCs w:val="20"/>
        </w:rPr>
        <w:t xml:space="preserve"> Dominio institucional .gov.co con certificado SSL</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Entornos separados:</w:t>
      </w:r>
      <w:r>
        <w:rPr>
          <w:b w:val="false"/>
          <w:bCs w:val="false"/>
          <w:color w:val="333333"/>
          <w:sz w:val="20"/>
          <w:szCs w:val="20"/>
        </w:rPr>
        <w:t xml:space="preserve"> al menos tres ambientes lógicos independientes: Desarrollo, QA/Staging y Producción</w:t>
      </w:r>
    </w:p>
    <w:p>
      <w:pPr>
        <w:spacing w:after="120"/>
      </w:pPr>
    </w:p>
    <w:p>
      <w:pPr>
        <w:pBdr>
          <w:bottom w:val="single" w:color="018D38" w:sz="6"/>
        </w:pBdr>
        <w:spacing w:after="160" w:before="320"/>
      </w:pPr>
      <w:r>
        <w:rPr>
          <w:b/>
          <w:bCs/>
          <w:color w:val="018D38"/>
          <w:sz w:val="28"/>
          <w:szCs w:val="28"/>
        </w:rPr>
        <w:t xml:space="preserve">4.  Soporte y Mantenimiento</w:t>
      </w:r>
    </w:p>
    <w:p>
      <w:pPr>
        <w:spacing w:after="120" w:before="240"/>
      </w:pPr>
      <w:r>
        <w:rPr>
          <w:b/>
          <w:bCs/>
          <w:color w:val="0B5640"/>
          <w:sz w:val="24"/>
          <w:szCs w:val="24"/>
        </w:rPr>
        <w:t xml:space="preserve">4.1.  Período de Garantía</w:t>
      </w:r>
    </w:p>
    <w:p>
      <w:pPr>
        <w:spacing w:after="120"/>
      </w:pPr>
      <w:r>
        <w:rPr>
          <w:color w:val="333333"/>
          <w:sz w:val="20"/>
          <w:szCs w:val="20"/>
        </w:rPr>
        <w:t xml:space="preserve">Se ofrece un período de garantía de </w:t>
      </w:r>
      <w:r>
        <w:rPr>
          <w:b/>
          <w:bCs/>
          <w:color w:val="333333"/>
          <w:sz w:val="20"/>
          <w:szCs w:val="20"/>
        </w:rPr>
        <w:t xml:space="preserve">6 meses</w:t>
      </w:r>
      <w:r>
        <w:rPr>
          <w:color w:val="333333"/>
          <w:sz w:val="20"/>
          <w:szCs w:val="20"/>
        </w:rPr>
        <w:t xml:space="preserve"> contados a partir de la firma del acta de entrega final.</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Cobertura:</w:t>
      </w:r>
      <w:r>
        <w:rPr>
          <w:b w:val="false"/>
          <w:bCs w:val="false"/>
          <w:color w:val="333333"/>
          <w:sz w:val="20"/>
          <w:szCs w:val="20"/>
        </w:rPr>
        <w:t xml:space="preserve"> Corrección de errores (bugs) imputables al código desarrollado.</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Exclusiones:</w:t>
      </w:r>
      <w:r>
        <w:rPr>
          <w:b w:val="false"/>
          <w:bCs w:val="false"/>
          <w:color w:val="333333"/>
          <w:sz w:val="20"/>
          <w:szCs w:val="20"/>
        </w:rPr>
        <w:t xml:space="preserve"> Nuevas funcionalidades, cambios en reglas de negocio posteriores a la aprobación, fallos ocasionados por infraestructura de terceros o mal uso del sistema.</w:t>
      </w:r>
    </w:p>
    <w:p>
      <w:pPr>
        <w:spacing w:after="120"/>
      </w:pPr>
    </w:p>
    <w:p>
      <w:pPr>
        <w:spacing w:after="120" w:before="240"/>
      </w:pPr>
      <w:r>
        <w:rPr>
          <w:b/>
          <w:bCs/>
          <w:color w:val="0B5640"/>
          <w:sz w:val="24"/>
          <w:szCs w:val="24"/>
        </w:rPr>
        <w:t xml:space="preserve">4.2.  Acuerdo de Nivel de Servicio (SLA)</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14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Prioridad</w:t>
            </w:r>
          </w:p>
        </w:tc>
        <w:tc>
          <w:tcPr>
            <w:tcW w:type="dxa" w:w="35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c>
          <w:tcPr>
            <w:tcW w:type="dxa" w:w="2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Tiempo de Respuesta</w:t>
            </w:r>
          </w:p>
        </w:tc>
        <w:tc>
          <w:tcPr>
            <w:tcW w:type="dxa" w:w="24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Tiempo de Resolución (Est.)</w:t>
            </w:r>
          </w:p>
        </w:tc>
      </w:tr>
      <w:tr>
        <w:tc>
          <w:tcPr>
            <w:tcW w:type="dxa" w:w="14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Crítica</w:t>
            </w:r>
          </w:p>
        </w:tc>
        <w:tc>
          <w:tcPr>
            <w:tcW w:type="dxa" w:w="35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Sistema caído o función principal bloqueada</w:t>
            </w:r>
          </w:p>
        </w:tc>
        <w:tc>
          <w:tcPr>
            <w:tcW w:type="dxa" w:w="20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&lt; 4 horas</w:t>
            </w:r>
          </w:p>
        </w:tc>
        <w:tc>
          <w:tcPr>
            <w:tcW w:type="dxa" w:w="24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&lt; 24 horas</w:t>
            </w:r>
          </w:p>
        </w:tc>
      </w:tr>
      <w:tr>
        <w:tc>
          <w:tcPr>
            <w:tcW w:type="dxa" w:w="14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Alta</w:t>
            </w:r>
          </w:p>
        </w:tc>
        <w:tc>
          <w:tcPr>
            <w:tcW w:type="dxa" w:w="35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Funcionalidad importante con fallos, existe alternativa temporal</w:t>
            </w:r>
          </w:p>
        </w:tc>
        <w:tc>
          <w:tcPr>
            <w:tcW w:type="dxa" w:w="20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&lt; 24 horas</w:t>
            </w:r>
          </w:p>
        </w:tc>
        <w:tc>
          <w:tcPr>
            <w:tcW w:type="dxa" w:w="24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2-3 días hábiles</w:t>
            </w:r>
          </w:p>
        </w:tc>
      </w:tr>
      <w:tr>
        <w:tc>
          <w:tcPr>
            <w:tcW w:type="dxa" w:w="14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Media/Baja</w:t>
            </w:r>
          </w:p>
        </w:tc>
        <w:tc>
          <w:tcPr>
            <w:tcW w:type="dxa" w:w="35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Errores cosméticos o mejoras menores</w:t>
            </w:r>
          </w:p>
        </w:tc>
        <w:tc>
          <w:tcPr>
            <w:tcW w:type="dxa" w:w="20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&lt; 48 horas</w:t>
            </w:r>
          </w:p>
        </w:tc>
        <w:tc>
          <w:tcPr>
            <w:tcW w:type="dxa" w:w="24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A convenir</w:t>
            </w:r>
          </w:p>
        </w:tc>
      </w:tr>
    </w:tbl>
    <w:p>
      <w:pPr>
        <w:spacing w:after="120"/>
      </w:pPr>
    </w:p>
    <w:p>
      <w:pPr>
        <w:spacing w:after="120" w:before="240"/>
      </w:pPr>
      <w:r>
        <w:rPr>
          <w:b/>
          <w:bCs/>
          <w:color w:val="0B5640"/>
          <w:sz w:val="24"/>
          <w:szCs w:val="24"/>
        </w:rPr>
        <w:t xml:space="preserve">4.3.  Mantenimiento Evolutivo (Opcional)</w:t>
      </w:r>
    </w:p>
    <w:p>
      <w:pPr>
        <w:spacing w:after="120"/>
      </w:pPr>
      <w:r>
        <w:rPr>
          <w:color w:val="333333"/>
          <w:sz w:val="20"/>
          <w:szCs w:val="20"/>
        </w:rPr>
        <w:t xml:space="preserve">Finalizado el período de garantía, cualquier soporte o nueva funcionalidad se cotizará por hora de desarrollo o mediante contrato de mantenimiento mensual.</w:t>
      </w:r>
    </w:p>
    <w:p>
      <w:pPr>
        <w:spacing w:after="120"/>
      </w:pPr>
    </w:p>
    <w:p>
      <w:r>
        <w:br w:type="page"/>
      </w:r>
    </w:p>
    <w:p>
      <w:pPr>
        <w:pBdr>
          <w:bottom w:val="single" w:color="018D38" w:sz="6"/>
        </w:pBdr>
        <w:spacing w:after="160" w:before="320"/>
      </w:pPr>
      <w:r>
        <w:rPr>
          <w:b/>
          <w:bCs/>
          <w:color w:val="018D38"/>
          <w:sz w:val="28"/>
          <w:szCs w:val="28"/>
        </w:rPr>
        <w:t xml:space="preserve">5.  Cronograma de Ejecución</w:t>
      </w:r>
    </w:p>
    <w:p>
      <w:pPr>
        <w:spacing w:after="120"/>
      </w:pPr>
      <w:r>
        <w:rPr>
          <w:color w:val="333333"/>
          <w:sz w:val="20"/>
          <w:szCs w:val="20"/>
        </w:rPr>
        <w:t xml:space="preserve">Este calendario es una estimación para un proyecto de </w:t>
      </w:r>
      <w:r>
        <w:rPr>
          <w:b/>
          <w:bCs/>
          <w:color w:val="333333"/>
          <w:sz w:val="20"/>
          <w:szCs w:val="20"/>
        </w:rPr>
        <w:t xml:space="preserve">2-3 meses</w:t>
      </w:r>
      <w:r>
        <w:rPr>
          <w:color w:val="333333"/>
          <w:sz w:val="20"/>
          <w:szCs w:val="20"/>
        </w:rPr>
        <w:t xml:space="preserve">, sujeta a la aprobación oportuna de los entregables por parte del líder funcional y a la disponibilidad del servidor.</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Fase / Módulo</w:t>
            </w:r>
          </w:p>
        </w:tc>
        <w:tc>
          <w:tcPr>
            <w:tcW w:type="dxa" w:w="2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Actividad Principal</w:t>
            </w:r>
          </w:p>
        </w:tc>
        <w:tc>
          <w:tcPr>
            <w:tcW w:type="dxa" w:w="13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Fecha Inicio</w:t>
            </w:r>
          </w:p>
        </w:tc>
        <w:tc>
          <w:tcPr>
            <w:tcW w:type="dxa" w:w="13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Fecha Fin</w:t>
            </w:r>
          </w:p>
        </w:tc>
        <w:tc>
          <w:tcPr>
            <w:tcW w:type="dxa" w:w="21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Entregable</w:t>
            </w:r>
          </w:p>
        </w:tc>
      </w:tr>
      <w:tr>
        <w:tc>
          <w:tcPr>
            <w:tcW w:type="dxa" w:w="18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Fase 1</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Configuración de servidor, base de datos y entornos (Dev / QA / Prod)</w:t>
            </w:r>
          </w:p>
        </w:tc>
        <w:tc>
          <w:tcPr>
            <w:tcW w:type="dxa" w:w="1300"/>
            <w:tcBorders>
              <w:top w:val="single" w:color="CCCCCC" w:sz="4"/>
              <w:left w:val="single" w:color="CCCCCC" w:sz="4"/>
              <w:bottom w:val="single" w:color="CCCCCC" w:sz="4"/>
              <w:right w:val="single" w:color="CCCCCC" w:sz="4"/>
            </w:tcBorders>
            <w:shd w:fill="FFFFFF" w:val="clear"/>
          </w:tcPr>
          <w:p>
            <w:pPr>
              <w:spacing w:after="80" w:before="80"/>
              <w:jc w:val="left"/>
            </w:pPr>
            <w:r>
              <w:rPr>
                <w:i/>
                <w:iCs/>
                <w:color w:val="CC0000"/>
                <w:sz w:val="18"/>
                <w:szCs w:val="18"/>
              </w:rPr>
              <w:t xml:space="preserve">[PENDIENTE]</w:t>
            </w:r>
          </w:p>
        </w:tc>
        <w:tc>
          <w:tcPr>
            <w:tcW w:type="dxa" w:w="1300"/>
            <w:tcBorders>
              <w:top w:val="single" w:color="CCCCCC" w:sz="4"/>
              <w:left w:val="single" w:color="CCCCCC" w:sz="4"/>
              <w:bottom w:val="single" w:color="CCCCCC" w:sz="4"/>
              <w:right w:val="single" w:color="CCCCCC" w:sz="4"/>
            </w:tcBorders>
            <w:shd w:fill="FFFFFF" w:val="clear"/>
          </w:tcPr>
          <w:p>
            <w:pPr>
              <w:spacing w:after="80" w:before="80"/>
              <w:jc w:val="left"/>
            </w:pPr>
            <w:r>
              <w:rPr>
                <w:i/>
                <w:iCs/>
                <w:color w:val="CC0000"/>
                <w:sz w:val="18"/>
                <w:szCs w:val="18"/>
              </w:rPr>
              <w:t xml:space="preserve">[PENDIENTE]</w:t>
            </w:r>
          </w:p>
        </w:tc>
        <w:tc>
          <w:tcPr>
            <w:tcW w:type="dxa" w:w="21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Ambientes operativos</w:t>
            </w:r>
          </w:p>
        </w:tc>
      </w:tr>
      <w:tr>
        <w:tc>
          <w:tcPr>
            <w:tcW w:type="dxa" w:w="18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Módulo Biodiversidad</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Despliegue y validación del módulo de especies en producción</w:t>
            </w:r>
          </w:p>
        </w:tc>
        <w:tc>
          <w:tcPr>
            <w:tcW w:type="dxa" w:w="1300"/>
            <w:tcBorders>
              <w:top w:val="single" w:color="CCCCCC" w:sz="4"/>
              <w:left w:val="single" w:color="CCCCCC" w:sz="4"/>
              <w:bottom w:val="single" w:color="CCCCCC" w:sz="4"/>
              <w:right w:val="single" w:color="CCCCCC" w:sz="4"/>
            </w:tcBorders>
            <w:shd w:fill="F0FFF4" w:val="clear"/>
          </w:tcPr>
          <w:p>
            <w:pPr>
              <w:spacing w:after="80" w:before="80"/>
              <w:jc w:val="left"/>
            </w:pPr>
            <w:r>
              <w:rPr>
                <w:i/>
                <w:iCs/>
                <w:color w:val="CC0000"/>
                <w:sz w:val="18"/>
                <w:szCs w:val="18"/>
              </w:rPr>
              <w:t xml:space="preserve">[PENDIENTE]</w:t>
            </w:r>
          </w:p>
        </w:tc>
        <w:tc>
          <w:tcPr>
            <w:tcW w:type="dxa" w:w="1300"/>
            <w:tcBorders>
              <w:top w:val="single" w:color="CCCCCC" w:sz="4"/>
              <w:left w:val="single" w:color="CCCCCC" w:sz="4"/>
              <w:bottom w:val="single" w:color="CCCCCC" w:sz="4"/>
              <w:right w:val="single" w:color="CCCCCC" w:sz="4"/>
            </w:tcBorders>
            <w:shd w:fill="F0FFF4" w:val="clear"/>
          </w:tcPr>
          <w:p>
            <w:pPr>
              <w:spacing w:after="80" w:before="80"/>
              <w:jc w:val="left"/>
            </w:pPr>
            <w:r>
              <w:rPr>
                <w:i/>
                <w:iCs/>
                <w:color w:val="CC0000"/>
                <w:sz w:val="18"/>
                <w:szCs w:val="18"/>
              </w:rPr>
              <w:t xml:space="preserve">[PENDIENTE]</w:t>
            </w:r>
          </w:p>
        </w:tc>
        <w:tc>
          <w:tcPr>
            <w:tcW w:type="dxa" w:w="21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Módulo en producción</w:t>
            </w:r>
          </w:p>
        </w:tc>
      </w:tr>
      <w:tr>
        <w:tc>
          <w:tcPr>
            <w:tcW w:type="dxa" w:w="18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Módulos Comunidad</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Despliegue de Agua, JPL, Guarda Cuencas, Especie del Mes y panel de administración</w:t>
            </w:r>
          </w:p>
        </w:tc>
        <w:tc>
          <w:tcPr>
            <w:tcW w:type="dxa" w:w="1300"/>
            <w:tcBorders>
              <w:top w:val="single" w:color="CCCCCC" w:sz="4"/>
              <w:left w:val="single" w:color="CCCCCC" w:sz="4"/>
              <w:bottom w:val="single" w:color="CCCCCC" w:sz="4"/>
              <w:right w:val="single" w:color="CCCCCC" w:sz="4"/>
            </w:tcBorders>
            <w:shd w:fill="FFFFFF" w:val="clear"/>
          </w:tcPr>
          <w:p>
            <w:pPr>
              <w:spacing w:after="80" w:before="80"/>
              <w:jc w:val="left"/>
            </w:pPr>
            <w:r>
              <w:rPr>
                <w:i/>
                <w:iCs/>
                <w:color w:val="CC0000"/>
                <w:sz w:val="18"/>
                <w:szCs w:val="18"/>
              </w:rPr>
              <w:t xml:space="preserve">[PENDIENTE]</w:t>
            </w:r>
          </w:p>
        </w:tc>
        <w:tc>
          <w:tcPr>
            <w:tcW w:type="dxa" w:w="1300"/>
            <w:tcBorders>
              <w:top w:val="single" w:color="CCCCCC" w:sz="4"/>
              <w:left w:val="single" w:color="CCCCCC" w:sz="4"/>
              <w:bottom w:val="single" w:color="CCCCCC" w:sz="4"/>
              <w:right w:val="single" w:color="CCCCCC" w:sz="4"/>
            </w:tcBorders>
            <w:shd w:fill="FFFFFF" w:val="clear"/>
          </w:tcPr>
          <w:p>
            <w:pPr>
              <w:spacing w:after="80" w:before="80"/>
              <w:jc w:val="left"/>
            </w:pPr>
            <w:r>
              <w:rPr>
                <w:i/>
                <w:iCs/>
                <w:color w:val="CC0000"/>
                <w:sz w:val="18"/>
                <w:szCs w:val="18"/>
              </w:rPr>
              <w:t xml:space="preserve">[PENDIENTE]</w:t>
            </w:r>
          </w:p>
        </w:tc>
        <w:tc>
          <w:tcPr>
            <w:tcW w:type="dxa" w:w="21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Módulos en producción</w:t>
            </w:r>
          </w:p>
        </w:tc>
      </w:tr>
      <w:tr>
        <w:tc>
          <w:tcPr>
            <w:tcW w:type="dxa" w:w="18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QA</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Pruebas integrales (Jest, Postman/Newman, WAVE WCAG, SAST), correcciones y validación de seguridad</w:t>
            </w:r>
          </w:p>
        </w:tc>
        <w:tc>
          <w:tcPr>
            <w:tcW w:type="dxa" w:w="1300"/>
            <w:tcBorders>
              <w:top w:val="single" w:color="CCCCCC" w:sz="4"/>
              <w:left w:val="single" w:color="CCCCCC" w:sz="4"/>
              <w:bottom w:val="single" w:color="CCCCCC" w:sz="4"/>
              <w:right w:val="single" w:color="CCCCCC" w:sz="4"/>
            </w:tcBorders>
            <w:shd w:fill="F0FFF4" w:val="clear"/>
          </w:tcPr>
          <w:p>
            <w:pPr>
              <w:spacing w:after="80" w:before="80"/>
              <w:jc w:val="left"/>
            </w:pPr>
            <w:r>
              <w:rPr>
                <w:i/>
                <w:iCs/>
                <w:color w:val="CC0000"/>
                <w:sz w:val="18"/>
                <w:szCs w:val="18"/>
              </w:rPr>
              <w:t xml:space="preserve">[PENDIENTE]</w:t>
            </w:r>
          </w:p>
        </w:tc>
        <w:tc>
          <w:tcPr>
            <w:tcW w:type="dxa" w:w="1300"/>
            <w:tcBorders>
              <w:top w:val="single" w:color="CCCCCC" w:sz="4"/>
              <w:left w:val="single" w:color="CCCCCC" w:sz="4"/>
              <w:bottom w:val="single" w:color="CCCCCC" w:sz="4"/>
              <w:right w:val="single" w:color="CCCCCC" w:sz="4"/>
            </w:tcBorders>
            <w:shd w:fill="F0FFF4" w:val="clear"/>
          </w:tcPr>
          <w:p>
            <w:pPr>
              <w:spacing w:after="80" w:before="80"/>
              <w:jc w:val="left"/>
            </w:pPr>
            <w:r>
              <w:rPr>
                <w:i/>
                <w:iCs/>
                <w:color w:val="CC0000"/>
                <w:sz w:val="18"/>
                <w:szCs w:val="18"/>
              </w:rPr>
              <w:t xml:space="preserve">[PENDIENTE]</w:t>
            </w:r>
          </w:p>
        </w:tc>
        <w:tc>
          <w:tcPr>
            <w:tcW w:type="dxa" w:w="21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Informe de QA</w:t>
            </w:r>
          </w:p>
        </w:tc>
      </w:tr>
      <w:tr>
        <w:tc>
          <w:tcPr>
            <w:tcW w:type="dxa" w:w="18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Despliegue</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Puesta en producción final y capacitación al equipo de curadores</w:t>
            </w:r>
          </w:p>
        </w:tc>
        <w:tc>
          <w:tcPr>
            <w:tcW w:type="dxa" w:w="1300"/>
            <w:tcBorders>
              <w:top w:val="single" w:color="CCCCCC" w:sz="4"/>
              <w:left w:val="single" w:color="CCCCCC" w:sz="4"/>
              <w:bottom w:val="single" w:color="CCCCCC" w:sz="4"/>
              <w:right w:val="single" w:color="CCCCCC" w:sz="4"/>
            </w:tcBorders>
            <w:shd w:fill="FFFFFF" w:val="clear"/>
          </w:tcPr>
          <w:p>
            <w:pPr>
              <w:spacing w:after="80" w:before="80"/>
              <w:jc w:val="left"/>
            </w:pPr>
            <w:r>
              <w:rPr>
                <w:i/>
                <w:iCs/>
                <w:color w:val="CC0000"/>
                <w:sz w:val="18"/>
                <w:szCs w:val="18"/>
              </w:rPr>
              <w:t xml:space="preserve">[PENDIENTE]</w:t>
            </w:r>
          </w:p>
        </w:tc>
        <w:tc>
          <w:tcPr>
            <w:tcW w:type="dxa" w:w="1300"/>
            <w:tcBorders>
              <w:top w:val="single" w:color="CCCCCC" w:sz="4"/>
              <w:left w:val="single" w:color="CCCCCC" w:sz="4"/>
              <w:bottom w:val="single" w:color="CCCCCC" w:sz="4"/>
              <w:right w:val="single" w:color="CCCCCC" w:sz="4"/>
            </w:tcBorders>
            <w:shd w:fill="FFFFFF" w:val="clear"/>
          </w:tcPr>
          <w:p>
            <w:pPr>
              <w:spacing w:after="80" w:before="80"/>
              <w:jc w:val="left"/>
            </w:pPr>
            <w:r>
              <w:rPr>
                <w:i/>
                <w:iCs/>
                <w:color w:val="CC0000"/>
                <w:sz w:val="18"/>
                <w:szCs w:val="18"/>
              </w:rPr>
              <w:t xml:space="preserve">[PENDIENTE]</w:t>
            </w:r>
          </w:p>
        </w:tc>
        <w:tc>
          <w:tcPr>
            <w:tcW w:type="dxa" w:w="21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Sistema en vivo + acta de entrega</w:t>
            </w:r>
          </w:p>
        </w:tc>
      </w:tr>
    </w:tbl>
    <w:p>
      <w:pPr>
        <w:spacing w:after="120"/>
      </w:pPr>
    </w:p>
    <w:p>
      <w:pPr>
        <w:pBdr>
          <w:bottom w:val="single" w:color="018D38" w:sz="6"/>
        </w:pBdr>
        <w:spacing w:after="160" w:before="320"/>
      </w:pPr>
      <w:r>
        <w:rPr>
          <w:b/>
          <w:bCs/>
          <w:color w:val="018D38"/>
          <w:sz w:val="28"/>
          <w:szCs w:val="28"/>
        </w:rPr>
        <w:t xml:space="preserve">6.  Diccionario de Definiciones y Acrónimos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2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Término</w:t>
            </w:r>
          </w:p>
        </w:tc>
        <w:tc>
          <w:tcPr>
            <w:tcW w:type="dxa" w:w="7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Definición</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API</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Interfaz de Programación de Aplicaciones.</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Backend</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Parte lógica del sistema que procesa los datos, no visible directamente por el usuario.</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bcrypt</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Algoritmo de hash de contraseñas de uso estándar en la industria.</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Clean Architecture</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Patrón de diseño que separa el dominio de la infraestructura para mayor mantenibilidad (recomendado por la Gobernación).</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Frontend</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Capa de presentación visible al usuario en el navegador.</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GitFlow</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Modelo de ramificación Git con ramas main (producción) y develop (integración continua).</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MongoDB</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Base de datos NoSQL orientada a documentos.</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Nginx</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Servidor web y proxy inverso de código abierto.</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PM2</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Gestor de procesos para aplicaciones Node.js en producción.</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QA</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Quality Assurance - aseguramiento de calidad.</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SAST</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Static Application Security Testing - análisis estático de seguridad.</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SLA</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Service Level Agreement - acuerdo de nivel de servicio.</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TLS</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Transport Layer Security - protocolo de cifrado para comunicaciones web.</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WebP</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Formato de imagen moderno con compresión superior a JPG/PNG.</w:t>
            </w:r>
          </w:p>
        </w:tc>
      </w:tr>
    </w:tbl>
    <w:p>
      <w:pPr>
        <w:spacing w:after="120"/>
      </w:pPr>
    </w:p>
    <w:p>
      <w:pPr>
        <w:pBdr>
          <w:bottom w:val="single" w:color="018D38" w:sz="6"/>
        </w:pBdr>
        <w:spacing w:after="160" w:before="320"/>
      </w:pPr>
      <w:r>
        <w:rPr>
          <w:b/>
          <w:bCs/>
          <w:color w:val="018D38"/>
          <w:sz w:val="28"/>
          <w:szCs w:val="28"/>
        </w:rPr>
        <w:t xml:space="preserve">7.  Compromisos del Contratista</w:t>
      </w:r>
    </w:p>
    <w:p>
      <w:pPr>
        <w:pStyle w:val="ListParagraph"/>
        <w:numPr>
          <w:ilvl w:val="0"/>
          <w:numId w:val="1"/>
        </w:numPr>
        <w:spacing w:after="80"/>
      </w:pPr>
      <w:r>
        <w:rPr>
          <w:b w:val="false"/>
          <w:bCs w:val="false"/>
          <w:color w:val="333333"/>
          <w:sz w:val="20"/>
          <w:szCs w:val="20"/>
        </w:rPr>
        <w:t xml:space="preserve">Entrega del código fuente completo sin ofuscación en repositorio Azure DevOps institucional</w:t>
      </w:r>
    </w:p>
    <w:p>
      <w:pPr>
        <w:pStyle w:val="ListParagraph"/>
        <w:numPr>
          <w:ilvl w:val="0"/>
          <w:numId w:val="1"/>
        </w:numPr>
        <w:spacing w:after="80"/>
      </w:pPr>
      <w:r>
        <w:rPr>
          <w:b w:val="false"/>
          <w:bCs w:val="false"/>
          <w:color w:val="333333"/>
          <w:sz w:val="20"/>
          <w:szCs w:val="20"/>
        </w:rPr>
        <w:t xml:space="preserve">Documentación técnica: README.md, Swagger/OpenAPI, manual de despliegue e instalación</w:t>
      </w:r>
    </w:p>
    <w:p>
      <w:pPr>
        <w:pStyle w:val="ListParagraph"/>
        <w:numPr>
          <w:ilvl w:val="0"/>
          <w:numId w:val="1"/>
        </w:numPr>
        <w:spacing w:after="80"/>
      </w:pPr>
      <w:r>
        <w:rPr>
          <w:b w:val="false"/>
          <w:bCs w:val="false"/>
          <w:color w:val="333333"/>
          <w:sz w:val="20"/>
          <w:szCs w:val="20"/>
        </w:rPr>
        <w:t xml:space="preserve">Cumplimiento de la Guía de Arquitectura y Buenas Prácticas de la Gobernación de Antioquia</w:t>
      </w:r>
    </w:p>
    <w:p>
      <w:pPr>
        <w:pStyle w:val="ListParagraph"/>
        <w:numPr>
          <w:ilvl w:val="0"/>
          <w:numId w:val="1"/>
        </w:numPr>
        <w:spacing w:after="80"/>
      </w:pPr>
      <w:r>
        <w:rPr>
          <w:b w:val="false"/>
          <w:bCs w:val="false"/>
          <w:color w:val="333333"/>
          <w:sz w:val="20"/>
          <w:szCs w:val="20"/>
        </w:rPr>
        <w:t xml:space="preserve">Uso de GitFlow (ramas main/develop) y Conventional Commits para control de versiones</w:t>
      </w:r>
    </w:p>
    <w:p>
      <w:pPr>
        <w:pStyle w:val="ListParagraph"/>
        <w:numPr>
          <w:ilvl w:val="0"/>
          <w:numId w:val="1"/>
        </w:numPr>
        <w:spacing w:after="80"/>
      </w:pPr>
      <w:r>
        <w:rPr>
          <w:b w:val="false"/>
          <w:bCs w:val="false"/>
          <w:color w:val="333333"/>
          <w:sz w:val="20"/>
          <w:szCs w:val="20"/>
        </w:rPr>
        <w:t xml:space="preserve">Código y comentarios en español (neutro) conforme a los lineamientos institucionales</w:t>
      </w:r>
    </w:p>
    <w:p>
      <w:pPr>
        <w:pStyle w:val="ListParagraph"/>
        <w:numPr>
          <w:ilvl w:val="0"/>
          <w:numId w:val="1"/>
        </w:numPr>
        <w:spacing w:after="80"/>
      </w:pPr>
      <w:r>
        <w:rPr>
          <w:b w:val="false"/>
          <w:bCs w:val="false"/>
          <w:color w:val="333333"/>
          <w:sz w:val="20"/>
          <w:szCs w:val="20"/>
        </w:rPr>
        <w:t xml:space="preserve">Uso exclusivo de librerías con licencias compatibles con uso institucional (MIT, Apache 2.0)</w:t>
      </w:r>
    </w:p>
    <w:p>
      <w:pPr>
        <w:pStyle w:val="ListParagraph"/>
        <w:numPr>
          <w:ilvl w:val="0"/>
          <w:numId w:val="1"/>
        </w:numPr>
        <w:spacing w:after="80"/>
      </w:pPr>
      <w:r>
        <w:rPr>
          <w:b w:val="false"/>
          <w:bCs w:val="false"/>
          <w:color w:val="333333"/>
          <w:sz w:val="20"/>
          <w:szCs w:val="20"/>
        </w:rPr>
        <w:t xml:space="preserve">Contraseñas almacenadas con hash bcrypt; prohibido almacenamiento en texto plano</w:t>
      </w:r>
    </w:p>
    <w:p>
      <w:pPr>
        <w:pStyle w:val="ListParagraph"/>
        <w:numPr>
          <w:ilvl w:val="0"/>
          <w:numId w:val="1"/>
        </w:numPr>
        <w:spacing w:after="80"/>
      </w:pPr>
      <w:r>
        <w:rPr>
          <w:b w:val="false"/>
          <w:bCs w:val="false"/>
          <w:color w:val="333333"/>
          <w:sz w:val="20"/>
          <w:szCs w:val="20"/>
        </w:rPr>
        <w:t xml:space="preserve">Estrategia de tres entornos: Desarrollo, QA/Staging y Producción; datos de prueba anonimizados en entornos no productivos</w:t>
      </w:r>
    </w:p>
    <w:p>
      <w:pPr>
        <w:pStyle w:val="ListParagraph"/>
        <w:numPr>
          <w:ilvl w:val="0"/>
          <w:numId w:val="1"/>
        </w:numPr>
        <w:spacing w:after="80"/>
      </w:pPr>
      <w:r>
        <w:rPr>
          <w:b w:val="false"/>
          <w:bCs w:val="false"/>
          <w:color w:val="333333"/>
          <w:sz w:val="20"/>
          <w:szCs w:val="20"/>
        </w:rPr>
        <w:t xml:space="preserve">Cobertura de pruebas unitarias superior al 80% en la lógica de negocio crítica (Jest)</w:t>
      </w:r>
    </w:p>
    <w:p>
      <w:pPr>
        <w:pStyle w:val="ListParagraph"/>
        <w:numPr>
          <w:ilvl w:val="0"/>
          <w:numId w:val="1"/>
        </w:numPr>
        <w:spacing w:after="80"/>
      </w:pPr>
      <w:r>
        <w:rPr>
          <w:b w:val="false"/>
          <w:bCs w:val="false"/>
          <w:color w:val="333333"/>
          <w:sz w:val="20"/>
          <w:szCs w:val="20"/>
        </w:rPr>
        <w:t xml:space="preserve">Capacitación básica al equipo de curadores de la Secretaría de Ambiente para el uso del panel de administración</w:t>
      </w:r>
    </w:p>
    <w:p>
      <w:pPr>
        <w:spacing w:after="120"/>
      </w:pPr>
    </w:p>
    <w:p>
      <w:pPr>
        <w:pBdr>
          <w:bottom w:val="single" w:color="018D38" w:sz="6"/>
        </w:pBdr>
        <w:spacing w:after="160" w:before="320"/>
      </w:pPr>
      <w:r>
        <w:rPr>
          <w:b/>
          <w:bCs/>
          <w:color w:val="018D38"/>
          <w:sz w:val="28"/>
          <w:szCs w:val="28"/>
        </w:rPr>
        <w:t xml:space="preserve">8.  Control de Ajustes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12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Versión</w:t>
            </w:r>
          </w:p>
        </w:tc>
        <w:tc>
          <w:tcPr>
            <w:tcW w:type="dxa" w:w="1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Fecha</w:t>
            </w:r>
          </w:p>
        </w:tc>
        <w:tc>
          <w:tcPr>
            <w:tcW w:type="dxa" w:w="4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 del Cambio</w:t>
            </w:r>
          </w:p>
        </w:tc>
        <w:tc>
          <w:tcPr>
            <w:tcW w:type="dxa" w:w="2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Responsable</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1.0</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i/>
                <w:iCs/>
                <w:color w:val="CC0000"/>
                <w:sz w:val="18"/>
                <w:szCs w:val="18"/>
              </w:rPr>
              <w:t xml:space="preserve">[PENDIENTE]</w:t>
            </w:r>
          </w:p>
        </w:tc>
        <w:tc>
          <w:tcPr>
            <w:tcW w:type="dxa" w:w="40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Versión inicial</w:t>
            </w:r>
          </w:p>
        </w:tc>
        <w:tc>
          <w:tcPr>
            <w:tcW w:type="dxa" w:w="2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Sebastián Guzmán Díaz</w:t>
            </w:r>
          </w:p>
        </w:tc>
      </w:tr>
      <w:tr>
        <w:tc>
          <w:tcPr>
            <w:tcW w:type="dxa" w:w="12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1.1</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junio 2026</w:t>
            </w:r>
          </w:p>
        </w:tc>
        <w:tc>
          <w:tcPr>
            <w:tcW w:type="dxa" w:w="40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Se agregan galerías JPL y Guarda Cuencas, panel de administración curadores y stack sharp/multer/express-session. Alineación con lineamientos de la Gobernación: Clean Architecture, GitFlow, Conventional Commits, tres entornos y privacidad Ley 1581.</w:t>
            </w:r>
          </w:p>
        </w:tc>
        <w:tc>
          <w:tcPr>
            <w:tcW w:type="dxa" w:w="2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Sebastián Guzmán Díaz</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1.2</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junio 2026</w:t>
            </w:r>
          </w:p>
        </w:tc>
        <w:tc>
          <w:tcPr>
            <w:tcW w:type="dxa" w:w="40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Cambio estructural de base de datos: de un único repositorio MongoDB a dos bases de datos independientes en el mismo cluster Atlas — BD Biodiversidad (catálogo de 150 especies) y BD Comunidad (registros JPL y Guarda Cuencas con crecimiento proyectado a ~4.000 y ~800 registros respectivamente). Corrección de alcance: 150 especies comprometidas (no 15.000). Actualización de variables de entorno MONGODB_URI_BIO y MONGODB_URI_COM. Modelos Mongoose registrados en la conexión correspondiente a su dominio.</w:t>
            </w:r>
          </w:p>
        </w:tc>
        <w:tc>
          <w:tcPr>
            <w:tcW w:type="dxa" w:w="2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Sebastián Guzmán Díaz</w:t>
            </w:r>
          </w:p>
        </w:tc>
      </w:tr>
    </w:tbl>
    <w:p>
      <w:pPr>
        <w:spacing w:after="120"/>
      </w:pPr>
    </w:p>
    <w:p>
      <w:pPr>
        <w:pBdr>
          <w:bottom w:val="single" w:color="018D38" w:sz="6"/>
        </w:pBdr>
        <w:spacing w:after="160" w:before="320"/>
      </w:pPr>
      <w:r>
        <w:rPr>
          <w:b/>
          <w:bCs/>
          <w:color w:val="018D38"/>
          <w:sz w:val="28"/>
          <w:szCs w:val="28"/>
        </w:rPr>
        <w:t xml:space="preserve">9.  Aprobación y Firmas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25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Rol</w:t>
            </w:r>
          </w:p>
        </w:tc>
        <w:tc>
          <w:tcPr>
            <w:tcW w:type="dxa" w:w="3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Nombre</w:t>
            </w:r>
          </w:p>
        </w:tc>
        <w:tc>
          <w:tcPr>
            <w:tcW w:type="dxa" w:w="2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Firma</w:t>
            </w:r>
          </w:p>
        </w:tc>
        <w:tc>
          <w:tcPr>
            <w:tcW w:type="dxa" w:w="18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Fecha</w:t>
            </w:r>
          </w:p>
        </w:tc>
      </w:tr>
      <w:tr>
        <w:tc>
          <w:tcPr>
            <w:tcW w:type="dxa" w:w="25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Contratista</w:t>
            </w:r>
          </w:p>
        </w:tc>
        <w:tc>
          <w:tcPr>
            <w:tcW w:type="dxa" w:w="30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Sebastián Guzmán Díaz</w:t>
            </w:r>
          </w:p>
        </w:tc>
        <w:tc>
          <w:tcPr>
            <w:tcW w:type="dxa" w:w="20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
            </w:r>
          </w:p>
        </w:tc>
        <w:tc>
          <w:tcPr>
            <w:tcW w:type="dxa" w:w="18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
            </w:r>
          </w:p>
        </w:tc>
      </w:tr>
      <w:tr>
        <w:tc>
          <w:tcPr>
            <w:tcW w:type="dxa" w:w="25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Líder Funcional Gobernación</w:t>
            </w:r>
          </w:p>
        </w:tc>
        <w:tc>
          <w:tcPr>
            <w:tcW w:type="dxa" w:w="3000"/>
            <w:tcBorders>
              <w:top w:val="single" w:color="CCCCCC" w:sz="4"/>
              <w:left w:val="single" w:color="CCCCCC" w:sz="4"/>
              <w:bottom w:val="single" w:color="CCCCCC" w:sz="4"/>
              <w:right w:val="single" w:color="CCCCCC" w:sz="4"/>
            </w:tcBorders>
            <w:shd w:fill="F0FFF4" w:val="clear"/>
          </w:tcPr>
          <w:p>
            <w:pPr>
              <w:spacing w:after="80" w:before="80"/>
              <w:jc w:val="left"/>
            </w:pPr>
            <w:r>
              <w:rPr>
                <w:i/>
                <w:iCs/>
                <w:color w:val="CC0000"/>
                <w:sz w:val="18"/>
                <w:szCs w:val="18"/>
              </w:rPr>
              <w:t xml:space="preserve">[PENDIENTE]</w:t>
            </w:r>
          </w:p>
        </w:tc>
        <w:tc>
          <w:tcPr>
            <w:tcW w:type="dxa" w:w="20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
            </w:r>
          </w:p>
        </w:tc>
        <w:tc>
          <w:tcPr>
            <w:tcW w:type="dxa" w:w="18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2026-07-10T21:45:07.395Z</dcterms:created>
  <dcterms:modified xsi:type="dcterms:W3CDTF">2026-07-10T21:45:07.395Z</dcterms:modified>
</cp:coreProperties>
</file>

<file path=docProps/custom.xml><?xml version="1.0" encoding="utf-8"?>
<Properties xmlns="http://schemas.openxmlformats.org/officeDocument/2006/custom-properties" xmlns:vt="http://schemas.openxmlformats.org/officeDocument/2006/docPropsVTypes"/>
</file>