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40"/>
        <w:jc w:val="center"/>
      </w:pPr>
      <w:r>
        <w:rPr>
          <w:rFonts w:ascii="Arial" w:cs="Arial" w:eastAsia="Arial" w:hAnsi="Arial"/>
          <w:b/>
          <w:bCs/>
          <w:color w:val="555555"/>
          <w:sz w:val="24"/>
          <w:szCs w:val="24"/>
        </w:rPr>
        <w:t xml:space="preserve">GOBERNACIÓN DE ANTIOQUIA</w:t>
      </w:r>
    </w:p>
    <w:p>
      <w:pPr>
        <w:spacing w:after="320"/>
        <w:jc w:val="center"/>
      </w:pPr>
      <w:r>
        <w:rPr>
          <w:rFonts w:ascii="Arial" w:cs="Arial" w:eastAsia="Arial" w:hAnsi="Arial"/>
          <w:i/>
          <w:iCs/>
          <w:color w:val="555555"/>
          <w:sz w:val="20"/>
          <w:szCs w:val="20"/>
        </w:rPr>
        <w:t xml:space="preserve">Secretaría de Ambiente</w:t>
      </w:r>
    </w:p>
    <w:p>
      <w:pPr>
        <w:spacing w:after="120"/>
        <w:jc w:val="center"/>
      </w:pPr>
      <w:r>
        <w:rPr>
          <w:rFonts w:ascii="Arial" w:cs="Arial" w:eastAsia="Arial" w:hAnsi="Arial"/>
          <w:b/>
          <w:bCs/>
          <w:color w:val="018D38"/>
          <w:sz w:val="44"/>
          <w:szCs w:val="44"/>
        </w:rPr>
        <w:t xml:space="preserve">RESPUESTA A OBSERVACIONES
DE VERIFICACIÓN DE CIERRE</w:t>
      </w:r>
    </w:p>
    <w:p>
      <w:pPr>
        <w:spacing w:after="160"/>
        <w:jc w:val="center"/>
      </w:pPr>
      <w:r>
        <w:rPr>
          <w:rFonts w:ascii="Arial" w:cs="Arial" w:eastAsia="Arial" w:hAnsi="Arial"/>
          <w:b/>
          <w:bCs/>
          <w:color w:val="0B5640"/>
          <w:sz w:val="28"/>
          <w:szCs w:val="28"/>
        </w:rPr>
        <w:t xml:space="preserve">Antioquia Natural</w:t>
      </w:r>
    </w:p>
    <w:p>
      <w:pPr>
        <w:spacing w:after="240"/>
        <w:jc w:val="center"/>
      </w:pPr>
      <w:r>
        <w:rPr>
          <w:rFonts w:ascii="Arial" w:cs="Arial" w:eastAsia="Arial" w:hAnsi="Arial"/>
          <w:color w:val="555555"/>
          <w:sz w:val="22"/>
          <w:szCs w:val="22"/>
        </w:rPr>
        <w:t xml:space="preserve">Respuesta punto por punto a Observaciones_Revision_Documental_Verificacion_Final_v3.pdf</w:t>
      </w:r>
    </w:p>
    <w:p>
      <w:pPr>
        <w:spacing w:after="40"/>
        <w:jc w:val="center"/>
      </w:pPr>
      <w:r>
        <w:rPr>
          <w:rFonts w:ascii="Arial" w:cs="Arial" w:eastAsia="Arial" w:hAnsi="Arial"/>
          <w:color w:val="555555"/>
          <w:sz w:val="20"/>
          <w:szCs w:val="20"/>
        </w:rPr>
        <w:t xml:space="preserve">Contratistas: Sebastián Guzmán Díaz y Alejandro López · sguzmand@gmail.com · 3006552511</w:t>
      </w:r>
    </w:p>
    <w:p>
      <w:pPr>
        <w:spacing w:after="320"/>
        <w:jc w:val="center"/>
      </w:pPr>
      <w:r>
        <w:rPr>
          <w:rFonts w:ascii="Arial" w:cs="Arial" w:eastAsia="Arial" w:hAnsi="Arial"/>
          <w:color w:val="555555"/>
          <w:sz w:val="20"/>
          <w:szCs w:val="20"/>
        </w:rPr>
        <w:t xml:space="preserve">Versión 1 — 2026-08-06</w:t>
      </w:r>
    </w:p>
    <w:p>
      <w:r>
        <w:br w:type="page"/>
      </w:r>
    </w:p>
    <w:p>
      <w:pPr>
        <w:pStyle w:val="Heading1"/>
        <w:pBdr>
          <w:bottom w:val="single" w:color="018D38" w:sz="6"/>
        </w:pBdr>
        <w:spacing w:after="160" w:before="320"/>
      </w:pPr>
      <w:r>
        <w:rPr>
          <w:rFonts w:ascii="Arial" w:cs="Arial" w:eastAsia="Arial" w:hAnsi="Arial"/>
          <w:b/>
          <w:bCs/>
          <w:color w:val="018D38"/>
          <w:sz w:val="32"/>
          <w:szCs w:val="32"/>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pPr>
        <w:spacing w:after="140"/>
      </w:pPr>
      <w:r>
        <w:rPr>
          <w:rFonts w:ascii="Arial" w:cs="Arial" w:eastAsia="Arial" w:hAnsi="Arial"/>
          <w:i/>
          <w:iCs/>
          <w:color w:val="B8860B"/>
          <w:sz w:val="20"/>
          <w:szCs w:val="20"/>
        </w:rPr>
        <w:t xml:space="preserve">Nota: si el índice aparece vacío al abrir el documento, actualícelo con clic derecho → "Actualizar campo" (o Ctrl+A y luego F9).</w:t>
      </w:r>
    </w:p>
    <w:p>
      <w:r>
        <w:br w:type="page"/>
      </w:r>
    </w:p>
    <w:p>
      <w:pPr>
        <w:pStyle w:val="Heading1"/>
        <w:pBdr>
          <w:bottom w:val="single" w:color="018D38" w:sz="6"/>
        </w:pBdr>
        <w:spacing w:after="160" w:before="320"/>
      </w:pPr>
      <w:r>
        <w:rPr>
          <w:rFonts w:ascii="Arial" w:cs="Arial" w:eastAsia="Arial" w:hAnsi="Arial"/>
          <w:b/>
          <w:bCs/>
          <w:color w:val="018D38"/>
          <w:sz w:val="32"/>
          <w:szCs w:val="32"/>
        </w:rPr>
        <w:t xml:space="preserve">Resumen Ejecutivo</w:t>
      </w:r>
    </w:p>
    <w:p>
      <w:pPr>
        <w:pBdr>
          <w:top w:val="single" w:color="018D38" w:sz="4"/>
          <w:bottom w:val="single" w:color="018D38" w:sz="4"/>
          <w:left w:val="single" w:color="018D38" w:sz="4"/>
          <w:right w:val="single" w:color="018D38" w:sz="4"/>
        </w:pBdr>
        <w:shd w:fill="F0FFF4" w:val="clear"/>
        <w:spacing w:after="160" w:before="80"/>
      </w:pPr>
      <w:r>
        <w:rPr>
          <w:rFonts w:ascii="Arial" w:cs="Arial" w:eastAsia="Arial" w:hAnsi="Arial"/>
          <w:b/>
          <w:bCs/>
          <w:color w:val="018D38"/>
          <w:sz w:val="24"/>
          <w:szCs w:val="24"/>
        </w:rPr>
        <w:t xml:space="preserve">Hallazgos evaluados: 13  ·  Resueltos: 12  ·  En espera de TI: 1</w:t>
      </w:r>
    </w:p>
    <w:p>
      <w:pPr>
        <w:spacing w:after="120"/>
      </w:pPr>
      <w:r>
        <w:rPr>
          <w:rFonts w:ascii="Arial" w:cs="Arial" w:eastAsia="Arial" w:hAnsi="Arial"/>
          <w:color w:val="333333"/>
          <w:sz w:val="22"/>
          <w:szCs w:val="22"/>
        </w:rPr>
        <w:t xml:space="preserve">Este documento responde, en el mismo orden y con la misma estructura de 5 secciones de Observaciones_Revision_Documental_Verificacion_Final_v3.pdf, tanto la verificación de cierre de los hallazgos de la revisión anterior como los hallazgos nuevos identificados en la auditoría de consistencia entre los 3 documentos FINAL: Levantamiento de Requisitos de Software (LRS, FO-M7-P8-020), Propuesta Técnica y Financiera / Ajustes Técnicos v2 (PTF, FO-M7-P8-021) y Documento Integral de Desarrollo Técnico (DI, FO-M7-P8-023).</w:t>
      </w:r>
    </w:p>
    <w:p>
      <w:pPr>
        <w:spacing w:after="120"/>
      </w:pPr>
      <w:r>
        <w:rPr>
          <w:rFonts w:ascii="Arial" w:cs="Arial" w:eastAsia="Arial" w:hAnsi="Arial"/>
          <w:color w:val="333333"/>
          <w:sz w:val="22"/>
          <w:szCs w:val="22"/>
        </w:rPr>
        <w:t xml:space="preserve">Los 4 hallazgos [Crítico] quedaron resueltos: contradicción Redis/catálogo, containerización con Docker y sus 6 controles de hardening, y autenticación (cuenta genérica eliminada, usuarios individuales, reCAPTCHA; la integración con el Gestor de Acceso de la Entidad citada como pendiente depende de un documento — "Manual de Lineamientos de Seguridad de la Información" — que no ha sido compartido con el equipo de desarrollo; el único requisito verificable en los documentos entregados por TI, MFA sugiriendo Entra ID, ya está en el Roadmap Técnico). Queda 1 hallazgo [Crítico] en espera de TI Gobernación, sin depender de trabajo adicional del contratista: la integración con el pipeline de CI/CD institucional (se envió una solicitud formal en el DI pidiendo la plantilla o el acceso correspondiente).</w:t>
      </w:r>
    </w:p>
    <w:p>
      <w:pPr>
        <w:spacing w:after="140"/>
      </w:pPr>
      <w:r>
        <w:rPr>
          <w:rFonts w:ascii="Arial" w:cs="Arial" w:eastAsia="Arial" w:hAnsi="Arial"/>
          <w:i/>
          <w:iCs/>
          <w:color w:val="B8860B"/>
          <w:sz w:val="20"/>
          <w:szCs w:val="20"/>
        </w:rPr>
        <w:t xml:space="preserve">Los dos hallazgos de la Figura 1 (Arquitectura general) del DI — MongoDB y Redis agrupados sin distinguir su ubicación real, y sin anotación de que Entra ID es un pendiente a futuro — quedaron resueltos con un rediseño completo del diagrama, generado con un script versionado nuevo (no existía una fuente editable para este diagrama antes de esta iteración).</w:t>
      </w:r>
    </w:p>
    <w:p>
      <w:pPr>
        <w:spacing w:after="100"/>
      </w:pPr>
    </w:p>
    <w:p>
      <w:pPr>
        <w:pStyle w:val="Heading1"/>
        <w:pBdr>
          <w:bottom w:val="single" w:color="018D38" w:sz="6"/>
        </w:pBdr>
        <w:spacing w:after="160" w:before="320"/>
      </w:pPr>
      <w:r>
        <w:rPr>
          <w:rFonts w:ascii="Arial" w:cs="Arial" w:eastAsia="Arial" w:hAnsi="Arial"/>
          <w:b/>
          <w:bCs/>
          <w:color w:val="018D38"/>
          <w:sz w:val="32"/>
          <w:szCs w:val="32"/>
        </w:rPr>
        <w:t xml:space="preserve">1. Verificación de Cierre — Levantamiento de Requisitos de Software</w:t>
      </w:r>
    </w:p>
    <w:p>
      <w:pPr>
        <w:spacing w:after="120"/>
      </w:pPr>
      <w:r>
        <w:rPr>
          <w:rFonts w:ascii="Arial" w:cs="Arial" w:eastAsia="Arial" w:hAnsi="Arial"/>
          <w:color w:val="333333"/>
          <w:sz w:val="22"/>
          <w:szCs w:val="22"/>
        </w:rPr>
        <w:t xml:space="preserve">Plantilla de referencia: FO-M7-P8-020. Archivo: Levantamiento de Requisitos de Software.docx.</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gridCol w:w="100"/>
      </w:tblGrid>
      <w:tr>
        <w:trPr>
          <w:tblHeader/>
        </w:trPr>
        <w:tc>
          <w:tcPr>
            <w:tcW w:type="dxa" w:w="26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Observación de TI</w:t>
            </w:r>
          </w:p>
        </w:tc>
        <w:tc>
          <w:tcPr>
            <w:tcW w:type="dxa" w:w="9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Estado</w:t>
            </w:r>
          </w:p>
        </w:tc>
        <w:tc>
          <w:tcPr>
            <w:tcW w:type="dxa" w:w="42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Cómo se resolvió</w:t>
            </w:r>
          </w:p>
        </w:tc>
        <w:tc>
          <w:tcPr>
            <w:tcW w:type="dxa" w:w="166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Sección</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Parcial: existe la sección "Contenido" (numerales 1–6), pero los numerales 7 a 10 (soporte, garantía, derechos morales, cumplimiento de lineamientos) no aparecen indexados.</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Los 4 encabezados (soporte, garantía, derechos morales, cumplimiento) pasaron de estilo "Lista con viñetas" a "Título 2" (Heading 2) real — el motivo por el que no aparecían en el índice era de estilo, no de contenido faltante. Se forzó además la recalculación del campo TOC (word/settings.xml, updateFields) para que Word lo actualice al abrir el documento.</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Índice de contenido</w:t>
            </w:r>
          </w:p>
        </w:tc>
      </w:tr>
    </w:tbl>
    <w:p>
      <w:pPr>
        <w:spacing w:after="120"/>
      </w:pPr>
      <w:r>
        <w:rPr>
          <w:rFonts w:ascii="Arial" w:cs="Arial" w:eastAsia="Arial" w:hAnsi="Arial"/>
          <w:color w:val="333333"/>
          <w:sz w:val="22"/>
          <w:szCs w:val="22"/>
        </w:rPr>
        <w:t xml:space="preserve">Portada y formato (fuente, tamaño, diseño de tablas) ya habían sido reportados como Resueltos por TI y no requirieron cambios adicionales.</w:t>
      </w:r>
    </w:p>
    <w:p>
      <w:pPr>
        <w:spacing w:after="100"/>
      </w:pPr>
    </w:p>
    <w:p>
      <w:pPr>
        <w:pStyle w:val="Heading1"/>
        <w:pBdr>
          <w:bottom w:val="single" w:color="018D38" w:sz="6"/>
        </w:pBdr>
        <w:spacing w:after="160" w:before="320"/>
      </w:pPr>
      <w:r>
        <w:rPr>
          <w:rFonts w:ascii="Arial" w:cs="Arial" w:eastAsia="Arial" w:hAnsi="Arial"/>
          <w:b/>
          <w:bCs/>
          <w:color w:val="018D38"/>
          <w:sz w:val="32"/>
          <w:szCs w:val="32"/>
        </w:rPr>
        <w:t xml:space="preserve">2. Verificación de Cierre — Propuesta Técnica y Financiera / Ajustes Técnicos v2</w:t>
      </w:r>
    </w:p>
    <w:p>
      <w:pPr>
        <w:spacing w:after="120"/>
      </w:pPr>
      <w:r>
        <w:rPr>
          <w:rFonts w:ascii="Arial" w:cs="Arial" w:eastAsia="Arial" w:hAnsi="Arial"/>
          <w:color w:val="333333"/>
          <w:sz w:val="22"/>
          <w:szCs w:val="22"/>
        </w:rPr>
        <w:t xml:space="preserve">Plantilla de referencia: FO-M7-P8-021. Archivo: Propuesta tecnica y financiera de desarrollo de software.docx.</w:t>
      </w:r>
    </w:p>
    <w:p>
      <w:pPr>
        <w:spacing w:after="120"/>
      </w:pPr>
      <w:r>
        <w:rPr>
          <w:rFonts w:ascii="Arial" w:cs="Arial" w:eastAsia="Arial" w:hAnsi="Arial"/>
          <w:color w:val="333333"/>
          <w:sz w:val="22"/>
          <w:szCs w:val="22"/>
        </w:rPr>
        <w:t xml:space="preserve">TI reportó los 8 puntos de esta sección como Resueltos en la verificación de cierre — portada, tabla de contenido, Control de Ajustes, Diccionario de Definiciones y Acrónimos, Compromisos, bloque de firmas, cronograma y formato. No quedó ningún punto abierto en esta sección que requiera acción; los únicos hallazgos relacionados con este documento están en la Sección 4 (Redis/catálogo y CI/CD propio), por tratarse de contradicciones frente a otros documentos, no de vacíos del documento en sí.</w:t>
      </w:r>
    </w:p>
    <w:p>
      <w:pPr>
        <w:spacing w:after="100"/>
      </w:pPr>
    </w:p>
    <w:p>
      <w:pPr>
        <w:pStyle w:val="Heading1"/>
        <w:pBdr>
          <w:bottom w:val="single" w:color="018D38" w:sz="6"/>
        </w:pBdr>
        <w:spacing w:after="160" w:before="320"/>
      </w:pPr>
      <w:r>
        <w:rPr>
          <w:rFonts w:ascii="Arial" w:cs="Arial" w:eastAsia="Arial" w:hAnsi="Arial"/>
          <w:b/>
          <w:bCs/>
          <w:color w:val="018D38"/>
          <w:sz w:val="32"/>
          <w:szCs w:val="32"/>
        </w:rPr>
        <w:t xml:space="preserve">3. Verificación de Cierre — Documento Integral de Desarrollo</w:t>
      </w:r>
    </w:p>
    <w:p>
      <w:pPr>
        <w:spacing w:after="120"/>
      </w:pPr>
      <w:r>
        <w:rPr>
          <w:rFonts w:ascii="Arial" w:cs="Arial" w:eastAsia="Arial" w:hAnsi="Arial"/>
          <w:color w:val="333333"/>
          <w:sz w:val="22"/>
          <w:szCs w:val="22"/>
        </w:rPr>
        <w:t xml:space="preserve">Plantilla de referencia: FO-M7-P8-023. Archivo: Documento Integral de Desarrollo Tecnico de la Aplicacion.docx.</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gridCol w:w="100"/>
      </w:tblGrid>
      <w:tr>
        <w:trPr>
          <w:tblHeader/>
        </w:trPr>
        <w:tc>
          <w:tcPr>
            <w:tcW w:type="dxa" w:w="26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Observación de TI</w:t>
            </w:r>
          </w:p>
        </w:tc>
        <w:tc>
          <w:tcPr>
            <w:tcW w:type="dxa" w:w="9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Estado</w:t>
            </w:r>
          </w:p>
        </w:tc>
        <w:tc>
          <w:tcPr>
            <w:tcW w:type="dxa" w:w="42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Cómo se resolvió</w:t>
            </w:r>
          </w:p>
        </w:tc>
        <w:tc>
          <w:tcPr>
            <w:tcW w:type="dxa" w:w="166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Sección</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No resuelta: el numeral 12 "Roadmap Técnico (Opcional)" quedó con el texto instructivo de la plantilla sin diligenciar, pese a que el documento ya mencionaba, dispersos, varios ítems de roadmap real.</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Numeral 12 diligenciado, consolidando 5 ítems reales fuera del alcance contratado actual: migración a Microsoft Entra ID, migración del catálogo de especies a MongoDB con endpoint público, validación WCAG 2.1 AA con WAVE, integración con SiB Colombia/GBIF y PWA con modo offline. La containerización con Docker figuraba aquí como ítem 6 del roadmap; ya se implementó (ver Sección 4 de este documento) y se retiró de la lista de pendientes, dejando la referencia cruzada al numeral 10.</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Numeral 12</w:t>
            </w:r>
          </w:p>
        </w:tc>
      </w:tr>
    </w:tbl>
    <w:p>
      <w:pPr>
        <w:spacing w:after="120"/>
      </w:pPr>
      <w:r>
        <w:rPr>
          <w:rFonts w:ascii="Arial" w:cs="Arial" w:eastAsia="Arial" w:hAnsi="Arial"/>
          <w:color w:val="333333"/>
          <w:sz w:val="22"/>
          <w:szCs w:val="22"/>
        </w:rPr>
        <w:t xml:space="preserve">Los 12 puntos restantes de esta sección (portada, tabla de contenido, diagramas, numeral 4 completo, rollback, firmas, diagramas de flujo, tabla de tecnologías, entornos Dev/QA/Prod, diccionario de datos, políticas de seguridad, estrategia de pruebas y formato) ya habían sido reportados como Resueltos por TI.</w:t>
      </w:r>
    </w:p>
    <w:p>
      <w:pPr>
        <w:spacing w:after="100"/>
      </w:pPr>
    </w:p>
    <w:p>
      <w:pPr>
        <w:pStyle w:val="Heading1"/>
        <w:pBdr>
          <w:bottom w:val="single" w:color="018D38" w:sz="6"/>
        </w:pBdr>
        <w:spacing w:after="160" w:before="320"/>
      </w:pPr>
      <w:r>
        <w:rPr>
          <w:rFonts w:ascii="Arial" w:cs="Arial" w:eastAsia="Arial" w:hAnsi="Arial"/>
          <w:b/>
          <w:bCs/>
          <w:color w:val="018D38"/>
          <w:sz w:val="32"/>
          <w:szCs w:val="32"/>
        </w:rPr>
        <w:t xml:space="preserve">4. Hallazgos Nuevos — Auditoría de Consistencia entre Documentos FINAL</w:t>
      </w:r>
    </w:p>
    <w:p>
      <w:pPr>
        <w:pStyle w:val="Heading2"/>
        <w:spacing w:after="100" w:before="200"/>
      </w:pPr>
      <w:r>
        <w:rPr>
          <w:rFonts w:ascii="Arial" w:cs="Arial" w:eastAsia="Arial" w:hAnsi="Arial"/>
          <w:b/>
          <w:bCs/>
          <w:color w:val="0B5640"/>
          <w:sz w:val="26"/>
          <w:szCs w:val="26"/>
        </w:rPr>
        <w:t xml:space="preserve">[Crítico]</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gridCol w:w="100"/>
      </w:tblGrid>
      <w:tr>
        <w:trPr>
          <w:tblHeader/>
        </w:trPr>
        <w:tc>
          <w:tcPr>
            <w:tcW w:type="dxa" w:w="26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Hallazgo</w:t>
            </w:r>
          </w:p>
        </w:tc>
        <w:tc>
          <w:tcPr>
            <w:tcW w:type="dxa" w:w="9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Estado</w:t>
            </w:r>
          </w:p>
        </w:tc>
        <w:tc>
          <w:tcPr>
            <w:tcW w:type="dxa" w:w="42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Cómo se resolvió</w:t>
            </w:r>
          </w:p>
        </w:tc>
        <w:tc>
          <w:tcPr>
            <w:tcW w:type="dxa" w:w="166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Sección</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PTF (2.2) vs. DI (3.1, 7.1) vs. LRS (3.2): la PTF justificaba Redis diciendo que cachea el catálogo de especies "en vez de una consulta directa a MongoDB (60-120 ms)", mientras el DI y el LRS afirman que el catálogo nunca pasa por MongoDB ni por la API — se sirve como JSON estático.</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Redactado de nuevo en la PTF (numeral de Ajustes Técnicos, Ajuste 2, y en la tabla de stack tecnológico): Redis cachea las consultas del panel de administración contra MongoDB (JPL, Guarda Cuencas, gestión de usuarios), nunca el catálogo público de especies. Los 3 documentos quedan consistentes: el catálogo se sirve como JSON estático, sin pasar por MongoDB, Redis ni la API REST.</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PTF — Ajuste 2</w:t>
            </w:r>
          </w:p>
        </w:tc>
      </w:tr>
      <w:tr>
        <w:tc>
          <w:tcPr>
            <w:tcW w:type="dxa" w:w="26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(8.1) vs. Manual de Lineamientos de Seguridad: el panel usaba una sola contraseña compartida entre curadores ("cuenta genérica"), sin el formato de excepción FO-M7-P8-016, sin integración con el Gestor de Contraseñas/Acceso de la Entidad, y sin reCAPTCHA en el login.</w:t>
            </w:r>
          </w:p>
        </w:tc>
        <w:tc>
          <w:tcPr>
            <w:tcW w:type="dxa" w:w="9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La cuenta genérica —el problema de fondo del hallazgo— quedó resuelta por completo: cada curador tiene usuario y contraseña propios (colección Usuario en MongoDB, bcrypt, nunca compartida), con 3 roles (Curador.Biodiversidad, Curador.GuardaCuencas, Admin.Contenido) y un panel de administración de usuarios (/admin/usuarios.html) para crear, editar y desactivar cuentas — la desactivación revoca el acceso de inmediato. Ya no aplica el formato de excepción FO-M7-P8-016 (no hay cuentas genéricas que excepcionar), y Acceso según Funciones / Mínimo Privilegio / Revisión Mensual de Privilegios ya son auditables. Se agregó también reCAPTCHA v2 en el login, verificado en el servidor antes de validar credenciales. Sobre la integración con el "Gestor de Contraseñas/Acceso de la Entidad": el "Manual de Lineamientos de Seguridad de la Información de la Gobernación de Antioquia" citado como fuente de ese requisito específico no ha sido compartido con el equipo de desarrollo — no aparece entre los documentos entregados formalmente por TI Gobernación (Guía de Arquitectura y Buenas Prácticas de Desarrollo, Lista de Chequeo de Conformidad, Guía de Azure DevOps, Propuesta Técnica, Levantamiento de Requerimientos). El único requisito de autenticación verificable en esos documentos (Guía de Arquitectura, numeral 9) es "Implementación de MFA para administradores, sugiriendo integración con Microsoft Entra ID" — una sugerencia sobre cómo implementar MFA, no una obligación de un Gestor de Acceso específico — y ya está contemplado como paso a futuro en el Roadmap Técnico del DI (numeral 12) y en el propio numeral 8.1.</w:t>
            </w:r>
          </w:p>
        </w:tc>
        <w:tc>
          <w:tcPr>
            <w:tcW w:type="dxa" w:w="166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 8.1</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PTF (Ajuste 3) vs. DI (5.4): los documentos proponen un pipeline de CI/CD propio en Azure DevOps en vez de integrarse al pipeline institucional que ya tiene la Gobernación.</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En espera de TI</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Se agregó una nota explícita en el DI (numeral 5.4) aclarando que azure-pipelines.yml se propone como pipeline de referencia mientras no se conoce el pipeline institucional, y solicitando formalmente a TI Gobernación compartir su plantilla o pipeline estándar para alinear (o reemplazar) la fase de CI de este proyecto con esa plantilla, dejando como aporte propio del proyecto solo la fase de CD (build y despliegue). No es un hallazgo que el contratista pueda cerrar unilateralmente: requiere ese insumo de TI.</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DI — 5.4</w:t>
            </w:r>
          </w:p>
        </w:tc>
      </w:tr>
      <w:tr>
        <w:tc>
          <w:tcPr>
            <w:tcW w:type="dxa" w:w="26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LRS (3.5) + PTF (3.2) + DI (numeral 6): ninguno de los 3 documentos menciona Docker ni containerización. El despliegue documentado es instalación nativa (PM2 + Nginx directo sobre Ubuntu), por lo que ninguno de los 6 controles de hardening de contenedores exigidos por la documentación institucional es aplicable ni evaluable.</w:t>
            </w:r>
          </w:p>
        </w:tc>
        <w:tc>
          <w:tcPr>
            <w:tcW w:type="dxa" w:w="9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Se implementó containerización completa del backend: Dockerfile multi-stage (etapa de dependencias + etapa de ejecución), usuario non-root, .dockerignore, HEALTHCHECK contra /api/health, secretos inyectados por variables de entorno (nunca horneados en la imagen) y escaneo de vulnerabilidades con Trivy en una nueva etapa "BuildImage" del pipeline de CI/CD, antes del build de la imagen. El Manual Técnico del DI (numeral 10 completo) se reescribió para Docker Compose: pre-requisitos, despliegue en Producción, subir/bajar la aplicación, rollback (ahora más simple: cambiar el tag de imagen en vez de git checkout + reinstalar dependencias) y monitoreo. README.md y azure-pipelines.yml quedaron alineados con el mismo procedimiento. El registry de imágenes (Azure Container Registry) queda como placeholder a confirmar con TI — no bloquea la implementación técnica, que ya está completa. La Figura 3 (Diagrama de Infraestructura) todavía no representa el contenedor explícitamente — queda pendiente para una siguiente iteración.</w:t>
            </w:r>
          </w:p>
        </w:tc>
        <w:tc>
          <w:tcPr>
            <w:tcW w:type="dxa" w:w="166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 10</w:t>
            </w:r>
          </w:p>
        </w:tc>
      </w:tr>
    </w:tbl>
    <w:p>
      <w:pPr>
        <w:spacing w:after="100"/>
      </w:pPr>
    </w:p>
    <w:p>
      <w:pPr>
        <w:spacing w:after="120"/>
      </w:pPr>
      <w:r>
        <w:rPr>
          <w:rFonts w:ascii="Arial" w:cs="Arial" w:eastAsia="Arial" w:hAnsi="Arial"/>
          <w:color w:val="333333"/>
          <w:sz w:val="22"/>
          <w:szCs w:val="22"/>
        </w:rPr>
        <w:t xml:space="preserve">Detalle de los 6 controles de hardening de contenedores exigidos por la documentación institucional, ya cubiertos por la implementación de Docker:</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tblGrid>
      <w:tr>
        <w:trPr>
          <w:tblHeader/>
        </w:trPr>
        <w:tc>
          <w:tcPr>
            <w:tcW w:type="dxa" w:w="312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Control exigido</w:t>
            </w:r>
          </w:p>
        </w:tc>
        <w:tc>
          <w:tcPr>
            <w:tcW w:type="dxa" w:w="14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Estado</w:t>
            </w:r>
          </w:p>
        </w:tc>
        <w:tc>
          <w:tcPr>
            <w:tcW w:type="dxa" w:w="484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Dónde queda evidenciado</w:t>
            </w:r>
          </w:p>
        </w:tc>
      </w:tr>
      <w:tr>
        <w:tc>
          <w:tcPr>
            <w:tcW w:type="dxa" w:w="312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Inyección de secretos (no hardcodear credenciales en la imagen)</w:t>
            </w:r>
          </w:p>
        </w:tc>
        <w:tc>
          <w:tcPr>
            <w:tcW w:type="dxa" w:w="14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84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docker-compose.yml usa env_file apuntando a backend/.env; el Dockerfile no copia ni hornea secretos.</w:t>
            </w:r>
          </w:p>
        </w:tc>
      </w:tr>
      <w:tr>
        <w:tc>
          <w:tcPr>
            <w:tcW w:type="dxa" w:w="312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.dockerignore (aislamiento de archivos innecesarios)</w:t>
            </w:r>
          </w:p>
        </w:tc>
        <w:tc>
          <w:tcPr>
            <w:tcW w:type="dxa" w:w="14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84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.dockerignore excluye node_modules, secretos, contenido dinámico y documentos institucionales grandes/privados.</w:t>
            </w:r>
          </w:p>
        </w:tc>
      </w:tr>
      <w:tr>
        <w:tc>
          <w:tcPr>
            <w:tcW w:type="dxa" w:w="312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Usuario non-root en el contenedor (mínimo privilegio)</w:t>
            </w:r>
          </w:p>
        </w:tc>
        <w:tc>
          <w:tcPr>
            <w:tcW w:type="dxa" w:w="14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84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Dockerfile crea los directorios de datos y aplica chown a node:node; USER node antes del CMD.</w:t>
            </w:r>
          </w:p>
        </w:tc>
      </w:tr>
      <w:tr>
        <w:tc>
          <w:tcPr>
            <w:tcW w:type="dxa" w:w="312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Multi-stage builds</w:t>
            </w:r>
          </w:p>
        </w:tc>
        <w:tc>
          <w:tcPr>
            <w:tcW w:type="dxa" w:w="14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84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Etapa "deps" (npm ci) separada de la etapa "runtime" que corre la aplicación.</w:t>
            </w:r>
          </w:p>
        </w:tc>
      </w:tr>
      <w:tr>
        <w:tc>
          <w:tcPr>
            <w:tcW w:type="dxa" w:w="312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HEALTHCHECK de contenedor</w:t>
            </w:r>
          </w:p>
        </w:tc>
        <w:tc>
          <w:tcPr>
            <w:tcW w:type="dxa" w:w="14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84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Instrucción HEALTHCHECK del Dockerfile, contra GET /api/health cada 30s.</w:t>
            </w:r>
          </w:p>
        </w:tc>
      </w:tr>
      <w:tr>
        <w:tc>
          <w:tcPr>
            <w:tcW w:type="dxa" w:w="312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Análisis de vulnerabilidades de imágenes en CI/CD</w:t>
            </w:r>
          </w:p>
        </w:tc>
        <w:tc>
          <w:tcPr>
            <w:tcW w:type="dxa" w:w="14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84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Etapa BuildImage de azure-pipelines.yml corre Trivy (severidad Alta/Crítica) antes del push al registry.</w:t>
            </w:r>
          </w:p>
        </w:tc>
      </w:tr>
    </w:tbl>
    <w:p>
      <w:pPr>
        <w:spacing w:after="100"/>
      </w:pPr>
    </w:p>
    <w:p>
      <w:pPr>
        <w:pStyle w:val="Heading2"/>
        <w:spacing w:after="100" w:before="200"/>
      </w:pPr>
      <w:r>
        <w:rPr>
          <w:rFonts w:ascii="Arial" w:cs="Arial" w:eastAsia="Arial" w:hAnsi="Arial"/>
          <w:b/>
          <w:bCs/>
          <w:color w:val="0B5640"/>
          <w:sz w:val="26"/>
          <w:szCs w:val="26"/>
        </w:rPr>
        <w:t xml:space="preserve">[Moderado]</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gridCol w:w="100"/>
      </w:tblGrid>
      <w:tr>
        <w:trPr>
          <w:tblHeader/>
        </w:trPr>
        <w:tc>
          <w:tcPr>
            <w:tcW w:type="dxa" w:w="26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Hallazgo</w:t>
            </w:r>
          </w:p>
        </w:tc>
        <w:tc>
          <w:tcPr>
            <w:tcW w:type="dxa" w:w="9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Estado</w:t>
            </w:r>
          </w:p>
        </w:tc>
        <w:tc>
          <w:tcPr>
            <w:tcW w:type="dxa" w:w="42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Cómo se resolvió</w:t>
            </w:r>
          </w:p>
        </w:tc>
        <w:tc>
          <w:tcPr>
            <w:tcW w:type="dxa" w:w="166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Sección</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DI: el numeral 12 "Roadmap Técnico (Opcional)" quedó con el texto instructivo de la plantilla sin diligenciar.</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Ver detalle en la Sección 3 de este documento.</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DI — 12</w:t>
            </w:r>
          </w:p>
        </w:tc>
      </w:tr>
      <w:tr>
        <w:tc>
          <w:tcPr>
            <w:tcW w:type="dxa" w:w="26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LRS vs. DI: RQP09 ("API REST de consulta" pública de especies/familias/grupos/subregiones) no tenía soporte técnico verificable — el DI afirmaba que la API REST es consumida "únicamente por el panel de administración".</w:t>
            </w:r>
          </w:p>
        </w:tc>
        <w:tc>
          <w:tcPr>
            <w:tcW w:type="dxa" w:w="9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Reescrito en ambos documentos: el DI (numeral 3.1) ahora describe que el backend expone una API REST para el panel de administración, y que la consulta pública de especies/familias/grupos/subregiones (RQP09) se sirve como JSON estático directamente al frontend, sin pasar por esa API. El LRS (fila RQP09) documenta lo mismo, incluyendo por qué (catálogo que cambia con poca frecuencia) y que no está en el Swagger/OpenAPI (esa spec cubre solo /api/admin/*). *Queda una imprecisión menor no resuelta: la columna "Entrada" de la fila RQP09 en el LRS sigue diciendo "Petición HTTP GET con parámetros", que describe mejor un endpoint REST que una carga de archivo estático — pendiente de ajustar en una siguiente iteración.</w:t>
            </w:r>
          </w:p>
        </w:tc>
        <w:tc>
          <w:tcPr>
            <w:tcW w:type="dxa" w:w="166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 3.1 / LRS — RQP09</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DI — Figura 1 (Arquitectura general) vs. 6.3/6.4 y Ajuste 2 de la PTF: el diagrama agrupa MongoDB y Redis en una misma caja "Persistencia", sin distinguir que Redis corre en el mismo servidor y MongoDB es un servicio externo (Atlas).</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Figura 1 rediseñada (nuevo script versionado `generate_figura1_arquitectura_general.py`, graphviz — no existía fuente editable antes, era un PNG suelto). Redis ahora aparece dentro de la caja "Servidor Gobernación" (mismo servidor, junto al backend); MongoDB Atlas quedó fuera de esa caja, en su propia caja lila junto a la API de iNaturalist, con la etiqueta explícita "(proveedor externo)". Ya no hay una caja "Persistencia" que los agrupe.</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DI — Figura 1</w:t>
            </w:r>
          </w:p>
        </w:tc>
      </w:tr>
    </w:tbl>
    <w:p>
      <w:pPr>
        <w:spacing w:after="100"/>
      </w:pPr>
    </w:p>
    <w:p>
      <w:pPr>
        <w:pStyle w:val="Heading2"/>
        <w:spacing w:after="100" w:before="200"/>
      </w:pPr>
      <w:r>
        <w:rPr>
          <w:rFonts w:ascii="Arial" w:cs="Arial" w:eastAsia="Arial" w:hAnsi="Arial"/>
          <w:b/>
          <w:bCs/>
          <w:color w:val="0B5640"/>
          <w:sz w:val="26"/>
          <w:szCs w:val="26"/>
        </w:rPr>
        <w:t xml:space="preserve">[Menor]</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gridCol w:w="100"/>
      </w:tblGrid>
      <w:tr>
        <w:trPr>
          <w:tblHeader/>
        </w:trPr>
        <w:tc>
          <w:tcPr>
            <w:tcW w:type="dxa" w:w="26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Hallazgo</w:t>
            </w:r>
          </w:p>
        </w:tc>
        <w:tc>
          <w:tcPr>
            <w:tcW w:type="dxa" w:w="9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Estado</w:t>
            </w:r>
          </w:p>
        </w:tc>
        <w:tc>
          <w:tcPr>
            <w:tcW w:type="dxa" w:w="42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Cómo se resolvió</w:t>
            </w:r>
          </w:p>
        </w:tc>
        <w:tc>
          <w:tcPr>
            <w:tcW w:type="dxa" w:w="166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Sección</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LRS: el índice de contenido lista solo hasta el numeral 6; los numerales 7 a 10 no están indexados.</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Mismo fix que la Sección 1 de este documento (estilo de encabezado corregido a Título 2).</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Índice de contenido</w:t>
            </w:r>
          </w:p>
        </w:tc>
      </w:tr>
      <w:tr>
        <w:tc>
          <w:tcPr>
            <w:tcW w:type="dxa" w:w="26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error de referencia cruzada — la introducción del numeral 9 ("Pruebas y Testing") cita subnumerales "8.1" a "8.5" en vez de "9.1" a "9.5".</w:t>
            </w:r>
          </w:p>
        </w:tc>
        <w:tc>
          <w:tcPr>
            <w:tcW w:type="dxa" w:w="9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Corregido a "9.1" a "9.5".</w:t>
            </w:r>
          </w:p>
        </w:tc>
        <w:tc>
          <w:tcPr>
            <w:tcW w:type="dxa" w:w="166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 9</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DI: error tipográfico en la introducción del numeral 5 — "control de versiones 54.3)" en vez de "(5.3)".</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Corregido a "(5.3)": faltaba el paréntesis de apertura y sobraba un "4".</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DI — 5</w:t>
            </w:r>
          </w:p>
        </w:tc>
      </w:tr>
      <w:tr>
        <w:tc>
          <w:tcPr>
            <w:tcW w:type="dxa" w:w="26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 Figura 1 vs. Figura 3: el middleware de autenticación se muestra como "adminAuth" sin ninguna anotación de que ahí se integrará Microsoft Entra ID a futuro, a diferencia de la Figura 3, que sí usa anotaciones explícitas para pendientes de TI.</w:t>
            </w:r>
          </w:p>
        </w:tc>
        <w:tc>
          <w:tcPr>
            <w:tcW w:type="dxa" w:w="9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Mismo rediseño de la Figura 1 (ver hallazgo Moderado arriba). La caja de autenticación se renombró de "adminAuth" (nombre que ya no existe en el código) a "Auth — usuarios individuales + roles", y se agregó una caja punteada ámbar "Microsoft Entra ID (pendiente — insumo TI: Client ID / Tenant ID)" conectada con línea discontinua — mismo tratamiento visual de pendiente que ya usaba la Figura 3.</w:t>
            </w:r>
          </w:p>
        </w:tc>
        <w:tc>
          <w:tcPr>
            <w:tcW w:type="dxa" w:w="166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 Figura 1</w:t>
            </w:r>
          </w:p>
        </w:tc>
      </w:tr>
    </w:tbl>
    <w:p>
      <w:pPr>
        <w:spacing w:after="100"/>
      </w:pPr>
    </w:p>
    <w:p>
      <w:pPr>
        <w:pStyle w:val="Heading1"/>
        <w:pBdr>
          <w:bottom w:val="single" w:color="018D38" w:sz="6"/>
        </w:pBdr>
        <w:spacing w:after="160" w:before="320"/>
      </w:pPr>
      <w:r>
        <w:rPr>
          <w:rFonts w:ascii="Arial" w:cs="Arial" w:eastAsia="Arial" w:hAnsi="Arial"/>
          <w:b/>
          <w:bCs/>
          <w:color w:val="018D38"/>
          <w:sz w:val="32"/>
          <w:szCs w:val="32"/>
        </w:rPr>
        <w:t xml:space="preserve">5. Recomendación Transversal</w:t>
      </w:r>
    </w:p>
    <w:p>
      <w:pPr>
        <w:spacing w:after="120"/>
      </w:pPr>
      <w:r>
        <w:rPr>
          <w:rFonts w:ascii="Arial" w:cs="Arial" w:eastAsia="Arial" w:hAnsi="Arial"/>
          <w:color w:val="333333"/>
          <w:sz w:val="22"/>
          <w:szCs w:val="22"/>
        </w:rPr>
        <w:t xml:space="preserve">TI recomendó adoptar una convención uniforme de "Estado: Implementado / Pendiente de insumo TI" y aplicarla de forma consistente en: (a) la tabla de Stack Tecnológico de la PTF, (b) los diagramas de arquitectura del DI (Figura 1), y (c) reforzando el numeral 1 "Estado del documento" del DI como punto único de verdad.</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tblGrid>
      <w:tr>
        <w:trPr>
          <w:tblHeader/>
        </w:trPr>
        <w:tc>
          <w:tcPr>
            <w:tcW w:type="dxa" w:w="32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Frente</w:t>
            </w:r>
          </w:p>
        </w:tc>
        <w:tc>
          <w:tcPr>
            <w:tcW w:type="dxa" w:w="14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Estado</w:t>
            </w:r>
          </w:p>
        </w:tc>
        <w:tc>
          <w:tcPr>
            <w:tcW w:type="dxa" w:w="476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Cómo se resolvió</w:t>
            </w:r>
          </w:p>
        </w:tc>
      </w:tr>
      <w:tr>
        <w:tc>
          <w:tcPr>
            <w:tcW w:type="dxa" w:w="3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Texto del DI (numeral 8.1 y numeral 12 — Roadmap Técnico)</w:t>
            </w:r>
          </w:p>
        </w:tc>
        <w:tc>
          <w:tcPr>
            <w:tcW w:type="dxa" w:w="14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7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Entra ID quedó explícitamente reencuadrado como "a futuro, se evaluará la posibilidad", no como un requisito bloqueante, y el Roadmap Técnico (numeral 12) consolida en un solo lugar todo lo que queda pendiente de insumo externo o fuera del alcance contratado actual.</w:t>
            </w:r>
          </w:p>
        </w:tc>
      </w:tr>
      <w:tr>
        <w:tc>
          <w:tcPr>
            <w:tcW w:type="dxa" w:w="32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Tabla de Stack Tecnológico de la PTF (numeral 2.2)</w:t>
            </w:r>
          </w:p>
        </w:tc>
        <w:tc>
          <w:tcPr>
            <w:tcW w:type="dxa" w:w="14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76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Se agregó una columna "Estado" a la tabla, con un valor por tecnología: Implementado (Frontend, Backend, MongoDB, Redis, SAST), Pendiente de insumo TI — Client ID / Tenant ID (Autenticación / Entra ID), y Parcial — GitHub implementado, espejo a Azure Repos pendiente de activación por TI (Repositorio). Entra ID ya no queda listado igual que Node.js o MongoDB.</w:t>
            </w:r>
          </w:p>
        </w:tc>
      </w:tr>
      <w:tr>
        <w:tc>
          <w:tcPr>
            <w:tcW w:type="dxa" w:w="3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Figura 1 del DI (diagramas de arquitectura)</w:t>
            </w:r>
          </w:p>
        </w:tc>
        <w:tc>
          <w:tcPr>
            <w:tcW w:type="dxa" w:w="14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7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Ver los dos hallazgos de Figura 1 en la Sección 4 (Moderado y Menor) — diagrama rediseñado.</w:t>
            </w:r>
          </w:p>
        </w:tc>
      </w:tr>
    </w:tbl>
    <w:p>
      <w:pPr>
        <w:spacing w:after="100"/>
      </w:pPr>
    </w:p>
    <w:p>
      <w:pPr>
        <w:pStyle w:val="Heading1"/>
        <w:pBdr>
          <w:bottom w:val="single" w:color="018D38" w:sz="6"/>
        </w:pBdr>
        <w:spacing w:after="160" w:before="320"/>
      </w:pPr>
      <w:r>
        <w:rPr>
          <w:rFonts w:ascii="Arial" w:cs="Arial" w:eastAsia="Arial" w:hAnsi="Arial"/>
          <w:b/>
          <w:bCs/>
          <w:color w:val="018D38"/>
          <w:sz w:val="32"/>
          <w:szCs w:val="32"/>
        </w:rPr>
        <w:t xml:space="preserve">Cierre</w:t>
      </w:r>
    </w:p>
    <w:p>
      <w:pPr>
        <w:spacing w:after="120"/>
      </w:pPr>
      <w:r>
        <w:rPr>
          <w:rFonts w:ascii="Arial" w:cs="Arial" w:eastAsia="Arial" w:hAnsi="Arial"/>
          <w:color w:val="333333"/>
          <w:sz w:val="22"/>
          <w:szCs w:val="22"/>
        </w:rPr>
        <w:t xml:space="preserve">De los 13 hallazgos evaluados en este documento, 12 quedaron resueltos por completo, incluidos los dos hallazgos de la Figura 1 del DI (rediseño completo del diagrama de arquitectura) y la autenticación (cuenta genérica eliminada, usuarios individuales, reCAPTCHA — la integración con el Gestor de Acceso de la Entidad depende de un documento que TI no ha compartido con el equipo de desarrollo, y el único requisito verificable al respecto ya está en el Roadmap Técnico). Queda 1 en espera de TI Gobernación: la integración con el pipeline de CI/CD institucional (solicitud formal ya enviada, a la espera de respuesta). Ninguno de los hallazgos [Crítico] queda sin una acción concreta tomada. Una nota menor sin cerrar del todo: la columna "Entrada" de RQP09 en el LRS sigue describiendo mejor una API que un archivo estático — ajuste de redacción pendiente para una próxima iteración.</w:t>
      </w:r>
    </w:p>
    <w:sectPr>
      <w:footerReference w:type="default" r:id="rId7"/>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2026-08-06T14:33:41.825Z</dcterms:created>
  <dcterms:modified xsi:type="dcterms:W3CDTF">2026-08-06T14:33:41.826Z</dcterms:modified>
</cp:coreProperties>
</file>

<file path=docProps/custom.xml><?xml version="1.0" encoding="utf-8"?>
<Properties xmlns="http://schemas.openxmlformats.org/officeDocument/2006/custom-properties" xmlns:vt="http://schemas.openxmlformats.org/officeDocument/2006/docPropsVTypes"/>
</file>