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GOBERNACIÓN DE ANTIOQUIA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Secretaría de Ambiente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18D38"/>
          <w:sz w:val="44"/>
          <w:szCs w:val="44"/>
        </w:rPr>
        <w:t xml:space="preserve">LEVANTAMIENTO DE REQUISITOS
DE SOFTWARE Y PROPUESTA TÉCNICA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B5640"/>
          <w:sz w:val="28"/>
          <w:szCs w:val="28"/>
        </w:rPr>
        <w:t xml:space="preserve">Antioquia Natural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Contratistas: Sebastián Guzmán Díaz y Alejandro López · sguzmand@gmail.com · 3006552511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2 — 2026-07-28</w:t>
      </w:r>
    </w:p>
    <w:p>
      <w:r>
        <w:br w:type="page"/>
      </w: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/>
      </w:pPr>
      <w:r>
        <w:rPr>
          <w:rFonts w:ascii="Arial" w:cs="Arial" w:eastAsia="Arial" w:hAnsi="Arial"/>
          <w:i/>
          <w:iCs/>
          <w:color w:val="B8860B"/>
          <w:sz w:val="20"/>
          <w:szCs w:val="20"/>
        </w:rPr>
        <w:t xml:space="preserve">Nota: si el índice aparece vacío al abrir el documento, actualícelo con clic derecho → "Actualizar campo" (o Ctrl+A y luego F9).</w:t>
      </w:r>
    </w:p>
    <w:p>
      <w:r>
        <w:br w:type="page"/>
      </w: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Estado de Completitud del Documento</w:t>
      </w:r>
    </w:p>
    <w:p>
      <w:pPr>
        <w:pBdr>
          <w:top w:val="single" w:color="018D38" w:sz="4"/>
          <w:bottom w:val="single" w:color="018D38" w:sz="4"/>
          <w:left w:val="single" w:color="018D38" w:sz="4"/>
          <w:right w:val="single" w:color="018D38" w:sz="4"/>
        </w:pBdr>
        <w:shd w:fill="F0FFF4" w:val="clear"/>
        <w:spacing w:after="160" w:before="80"/>
      </w:pPr>
      <w:r>
        <w:rPr>
          <w:rFonts w:ascii="Arial" w:cs="Arial" w:eastAsia="Arial" w:hAnsi="Arial"/>
          <w:b/>
          <w:bCs/>
          <w:color w:val="018D38"/>
          <w:sz w:val="24"/>
          <w:szCs w:val="24"/>
        </w:rPr>
        <w:t xml:space="preserve">Completitud: 100%  ·  Pendientes atribuibles al desarrollo: 0  ·  Pendientes de terceros: 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fue verificado ítem por ítem contra la plantilla institucional FO-M7-P8-020 (revisión del 28/07/2026). Las 6 secciones exigidas están desarrolladas con contenido real, sin placeholders ni apartados en blanco.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único campo abierto es el nombre del líder funcional (tabla de la sección 1.1), y no se cuenta como pendiente: es un dato informativo que la Secretaría de Ambiente asigna administrativamente en cualquier momento, no un entregable de este documento ni un requisito que dependa de él.</w:t>
      </w:r>
    </w:p>
    <w:p>
      <w:pPr>
        <w:spacing w:after="100"/>
      </w:pP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1. Introducción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1.1. Propósito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propósito de este proyecto es llevar a producción la aplicación web "Antioquia Natural", desarrollada para la Gobernación de Antioquia, que permita a los ciudadanos explorar la biodiversidad del departamento (flora y fauna por subregión y grupo taxonómico), los recursos hídricos y los programas comunitarios, en español e inglés, desde cualquier dispositivo móvil mediante código QR, sin necesidad de instalación.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Antioquia Natural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Secretaría de Ambiente - Gobernación de Antioquia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Dependencia responsable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Dirección de Agua y Saneamiento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funcional Gobernación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designar por la Secretaría de Ambiente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Contratista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Sebastián Guzmán Díaz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Correo contratista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sguzmand@gmail.com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Teléfono contratista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3006552511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1.2. Alcance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Incluido en este contrato: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Despliegue de la aplicación en infraestructura provista por la Gobernación de Antioquia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Biodiversidad: catálogo de especies insignia con galería fotográfica, mapa SVG interactivo de 9 subregiones, búsqueda en tiempo real y ficha con categoría IUCN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Agua: exploración de fuentes hídricas y cuencas abastecedoras por subregión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Comunidad - Jóvenes pa' Lante: información del programa con mapa interactivo de 90 municipios beneficiados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Comunidad - Especie del Mes: especie destacada mensual con galería de avistamientos ciudadanos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Galería fotográfica Jóvenes pa' Lante (JPL): 50 fotografías de biodiversidad por mes, con filtros por grupo taxonómico, subregión y mes, y archivo histórico. Crecimiento proyectado: ~4.000 registros al final del programa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Galería fotográfica Guarda Cuencas: 10 fotografías de cuencas hídricas por mes en formato 16:9, con filtros por cuenca, subregión y mes, y archivo histórico. Crecimiento proyectado: ~800 registros al final del programa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 administración web para curadores: autenticación con sesión, CRUD completo de fotografías JPL y Guarda Cuencas, publicación de archivos JSON mensuales y optimización automática de imágenes a WebP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REST documentada (Swagger/OpenAPI) para consulta del catálogo de biodiversidad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de datos MongoDB con catálogo de 150 especies de flora y fauna (9 grupos taxonómicos)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 de importación masiva de especies mediante plantilla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Interfaz bilingüe español/inglés en todos los módulos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Configuración de servidor, dominio, HTTPS y entorno de producción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incluido en este contrato: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Integración con ArcGIS o Survey123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Autenticación de usuarios ciudadanos (login público)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Aplicación nativa móvil (iOS/Android)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Módulos adicionales no descritos en este documento</w:t>
      </w: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2. Descripción General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Antioquia Natural centraliza en un único canal digital la información sobre la riqueza natural del departamento y sus programas sociales asociados. La aplicación permite a visitantes, estudiantes, investigadores y ciudadanos consultar especies de flora y fauna representativas, explorar la red hídrica y conocer los programas Jóvenes pa' Lante y Guarda Cuencas, sin requerir instalación ni registro previo.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Impacto esperado: mayor visibilidad de la biodiversidad del departamento, acceso ciudadano a información actualizada sobre programas sociales y posicionamiento digital de la Gobernación de Antioquia como entidad innovadora en divulgación ambiental.</w:t>
      </w: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3. Análisis del Requerimiento de Software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3.1. Descripción General del Producto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requerimientos fueron identificados con el equipo de la Secretaría de Ambiente de la Gobernación de Antioquia, a partir de la necesidad de contar con un canal digital moderno, accesible vía código QR, que divulgue la biodiversidad insignia del departamento y los programas comunitarios asociados, con soporte bilingüe y optimizado para dispositivos móviles.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3.2. Módulos Nuevos Identificados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Biodiversidad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de especies de flora y fauna por subregión y grupo taxonómico, con galería fotográfica y ficha detallada (nombre científico, IUCN, distribución, descripción bilingüe)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Agua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Exploración de la red hídrica: fuentes hídricas y cuencas abastecedoras por subregión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 - Jóvenes pa' Lante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Información del programa de formación superior y mapa interactivo con 90 municipios beneficiados filtrable por subregión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 - Especie del Mes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Especie destacada mensual seleccionada por el equipo editorial, con galería de avistamientos ciudadanos e historial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JPL - Jóvenes pa' Lante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fotografías de biodiversidad por mes subidas por el curador. Filtros por grupo taxonómico, subregión y mes. Ficha de especie con nombre científico, categoría IUCN y descripción bilingüe. Archivo histórico de galerías anteriores.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Guarda Cuencas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fotografías de cuencas hídricas por mes en formato 16:9. Filtros por cuenca, subregión y mes. Archivo histórico de galerías anteriores.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de Administración Curadores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web con autenticación por sesión para curadores. CRUD completo de fotografías JPL y Guarda Cuencas. Publicación de archivos JSON mensuales. Optimización automática de imágenes a WebP mediante librería sharp.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de servicios para el consumo de datos del catálogo desde el frontend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base de datos MongoDB activa en el cluster Atlas — BD Comunidad — con registros del programa JPL (50 fotos/mes, ~4.000 registros al final del programa) y Guarda Cuencas (10 fotos/mes, ~800 registros). El catálogo de Biodiversidad (150 especies de flora y fauna, 9 grupos taxonómicos, 9 subregiones) se sirve actualmente como JSON estático desde el frontend, por diseño; una eventual migración a una segunda base MongoDB está documentada como arquitectura de referencia en SCHEMA_DB.md para cuando el catálogo escale más allá de lo que un JSON estático sirve con buen rendimiento — es una opción de escalamiento a futuro, no un requisito actual.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3.3. Roles Identificados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Visitante / Ciudadano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Acceso de lectura a todos los módulos públicos. Sin autenticación requerida.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Curador de Contenido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Funcionario o contratista de la Secretaría de Ambiente. Accede al panel de administración web con usuario y contraseña. Carga, edita y publica las fotografías JPL y Guarda Cuencas mensualmente.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Administrador de Contenido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de la Secretaría de Ambiente. Actualiza el catálogo de especies y la Especie del Mes mediante plantilla Excel e importación directa a la base de datos.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3.4. Módulos Afectados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 la primera puesta en producción del aplicativo. El prototipo funcional desarrollado previamente sirve como base de diseño y experiencia de usuario validada; el presente contrato formaliza su despliegue en infraestructura institucional de la Gobernación de Antioquia.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3.5. Requisitos del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Servidor: Ubuntu Server 24.04 LTS - 4 vCPU, 16 GB RAM, 2 TB almacenamiento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Software: Node.js 22 LTS, MongoDB 7.x, PM2, Nginx, Certbot / Let's Encrypt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Dominio institucional con certificado SSL activo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 pública con acceso a internet</w:t>
      </w:r>
    </w:p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4. Requerimientos Funcionales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5640"/>
          <w:sz w:val="26"/>
          <w:szCs w:val="26"/>
        </w:rPr>
        <w:t xml:space="preserve">4.1. Detalle por módulo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6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6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7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Exploración por subregión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permite seleccionar una de las 9 subregiones mediante mapa SVG interactivo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Toque o clic sobre el mapa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de biodiversidad disponibles con conteo de especies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Exploración por grupo taxonómico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filtra especies por los 9 grupos taxonómicos (Aves, Anfibios y Reptiles, Mariposas, Polillas, Mamíferos, Animales Domésticos, Peces de Agua Dulce, Orquídeas, Árboles Nativos) y por reino (Flora / Fauna)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grupo o reino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Listado de familias y especies en acordeón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Búsqueda de especies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implementa búsqueda en tiempo real por nombre científico y nombre común (ES/EN)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ingresado por el usuario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Resultados filtrados en &lt; 300 ms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Ficha de especie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muestra galería fotográfica, nombre científico, categoría IUCN, subregiones de distribución y descripción bilingüe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 especie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Pantalla completa con todos los datos de la especie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Bilingüismo ES/EN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cambia toda la interfaz entre español e inglés sin recargar la página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de idioma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los textos de UI y descripciones en el idioma seleccionado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Preferencia guardada entre sesiones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 hídrica por subregión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presenta fuentes hídricas y cuencas abastecedoras filtradas por subregión y tipo de recurso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subregión y tipo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y listado de ríos, cuencas y municipios abastecidos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Programa Jóvenes pa' Lante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presenta descripción del programa y mapa con los 90 municipios beneficiados, filtrable por subregión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subregión (opcional)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Información del programa y municipios en mapa interactivo Leaflet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Especie del Mes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presenta la especie destacada del mes con descripción, galería y canal para envío de fotos comunitarias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 (carga automática)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Ficha de la especie del mes con historial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Actualizable por el administrador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RQP09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de consulta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expone endpoints documentados para consulta de especies, familias, grupos y subregiones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Petición HTTP GET con parámetros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 JSON con datos de biodiversidad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Documentada con Swagger/OpenAPI. Diseño API First.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Importación masiva de especies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administrador carga nuevas especies mediante plantilla Excel estructurada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 Excel diligenciado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Especies registradas en BD con reporte de resultados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Despliegue en producción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aplicación opera en el servidor de la Gobernación bajo dominio institucional con HTTPS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Configuración de servidor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Aplicación accesible al público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fotográfica JPL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presenta 50 fotografías de biodiversidad por mes subidas por el curador, con filtros por grupo taxonómico, subregión y mes, y archivo de galerías anteriores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filtros por el visitante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filtrada con fichas de especie (nombre científico, IUCN, descripción bilingüe)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Imágenes almacenadas en WebP, optimizadas automáticamente en el servidor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fotográfica Guarda Cuencas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presenta 10 fotografías de cuencas hídricas por mes en formato 16:9, con filtros por cuenca, subregión y mes, y archivo histórico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filtros por el visitante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Galería filtrada con fichas de foto (cuenca, municipio, descripción bilingüe)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RQP14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de administración curadores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sistema provee un panel web protegido con autenticación por sesión que permite al curador cargar, editar y eliminar fotografías JPL y Guarda Cuencas, y publicar el JSON mensual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Credenciales del curador (usuario/contraseña), archivos de imagen (JPG/PNG/WebP)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Fotografías publicadas en la galería; imágenes optimizadas a WebP (máx. 1200 px, q82) automáticamente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Contraseñas almacenadas con hash bcrypt. Sesión gestionada con express-session.</w:t>
            </w:r>
          </w:p>
        </w:tc>
      </w:tr>
    </w:tbl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5. Requerimientos No Funcionales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4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/ Responsive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interfaz debe ser funcional y visualmente correcta en dispositivos de 375 px a 1440 px de ancho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Optimizado para iPhone estándar (375-430 px)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de carga inicial &lt; 3 segundos en conexión 4G estándar. Imágenes servidas en formato WebP.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Identidad Visual Institucional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Aplicación del Manual de Identidad Visual de la Gobernación de Antioquia: colores oficiales, tipografía Poppins, logo del Escudo de Armas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Cumplimiento WCAG 2.1 nivel AA: contraste mínimo 4.5:1, textos alternativos en imágenes. Validación con herramienta equivalente a WAVE (axe-core). (Res. 1519 de 2020)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Protección OWASP Top 10. HTTPS obligatorio. TLS 1.2 mínimo. Contraseñas del panel de curadores almacenadas con hash bcrypt (prohibido texto plano). Cumplimiento Ley 1581 (Habeas Data).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99% de tiempo de operación mensual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y comentarios en español (neutro). GitFlow (ramas main/develop). Conventional Commits (feat:, fix:, docs:). Clean Architecture en el backend. Licencias OSS compatibles con uso institucional (MIT, Apache 2.0). Cumplimiento de la Guía de Arquitectura y Buenas Prácticas de la Gobernación de Antioquia.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Entrega de código fuente completo sin ofuscación en repositorio Azure DevOps institucional.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RNF08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Privacidad de Datos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entornos de Desarrollo y QA/Staging no deben contener datos reales de ciudadanos. Datos de prueba anonimizados o sintéticos. Política de privacidad visible en la aplicación.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Ley 1581 (Habeas Data). Anonimización obligatoria en entornos no productivos — implementado desde 2026-07-16 (ambiente de QA con base de datos y datos 100% sintéticos).</w:t>
            </w:r>
          </w:p>
        </w:tc>
      </w:tr>
    </w:tbl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6. Diccionario de Definiciones y Acrónimos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018D38" w:sz="4"/>
              <w:left w:val="single" w:color="018D38" w:sz="4"/>
              <w:bottom w:val="single" w:color="018D38" w:sz="4"/>
              <w:right w:val="single" w:color="018D38" w:sz="4"/>
            </w:tcBorders>
            <w:shd w:fill="018D38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de Programación de Aplicaciones.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de hash de contraseñas resistente a ataques de fuerza bruta.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Update, Delete (Crear, Leer, Actualizar, Eliminar).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de transferencia de hipertexto seguro.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IUCN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Unión Internacional para la Conservación de la Naturaleza.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datos NoSQL orientada a documentos.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de Respuesta Rápida.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Transferencia de Estado Representacional (estilo de arquitectura de APIs).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 Vectoriales Escalables.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 Layer Security - protocolo de cifrado para comunicaciones web.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Pautas de Accesibilidad para el Contenido Web.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imagen moderno con compresión superior a JPG/PNG.</w:t>
            </w:r>
          </w:p>
        </w:tc>
      </w:tr>
    </w:tbl>
    <w:p>
      <w:pPr>
        <w:pStyle w:val="Heading1"/>
        <w:pBdr>
          <w:bottom w:val="single" w:color="018D38" w:sz="6"/>
        </w:pBdr>
        <w:spacing w:after="160" w:before="320"/>
      </w:pPr>
      <w:r>
        <w:rPr>
          <w:rFonts w:ascii="Arial" w:cs="Arial" w:eastAsia="Arial" w:hAnsi="Arial"/>
          <w:b/>
          <w:bCs/>
          <w:color w:val="018D38"/>
          <w:sz w:val="32"/>
          <w:szCs w:val="32"/>
        </w:rPr>
        <w:t xml:space="preserve">Notas Finales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Soporte y mantenimiento: el proyecto se ejecuta mediante contrato de prestación de servicios por 18 meses (ejecución, desarrollo y mantenimiento) ya suscrito entre el contratista y la Secretaría de Ambiente. El soporte correctivo (corrección de errores imputables al código desarrollado) está incluido de forma continua durante toda la vigencia del contrato, no como garantía posterior a una entrega puntual. Detalle completo en la sección 4 de la Propuesta de Ajustes Técnicos v2.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Derechos morales y patrimoniales: El código fuente desarrollado bajo este contrato es propiedad patrimonial de la Gobernación de Antioquia, en cumplimiento de la sección 1.4 de la Guía de Arquitectura y Buenas Prácticas de Desarrollo de la entidad. El contratista conserva sus derechos morales como autor del desarrollo.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Cumplimiento de lineamientos: El desarrollo seguirá los lineamientos definidos en la Guía de Arquitectura y Buenas Prácticas de Desarrollo de la Gobernación de Antioquia, incluyendo Monolito Modular, Clean Architecture, GitFlow, Conventional Commits, código en español, licencias OSS compatibles y gestión mediante Azure DevOps institucional.</w:t>
      </w:r>
    </w:p>
    <w:sectPr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2200"/>
          <w:vAlign w:val="center"/>
        </w:tcPr>
        <w:p>
          <w:r>
            <w:drawing>
              <wp:inline distT="0" distB="0" distL="0" distR="0">
                <wp:extent cx="904875" cy="514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555555"/>
              <w:sz w:val="16"/>
              <w:szCs w:val="16"/>
            </w:rPr>
            <w:t xml:space="preserve">Levantamiento de Requisitos de Software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Código: FO-M7-P8-020  ·  Versión: 01  ·  Fecha de aprobación (plantilla): 14/04/2026</w:t>
          </w:r>
        </w:p>
      </w:tc>
    </w:tr>
  </w:tbl>
  <w:p>
    <w:pPr>
      <w:pBdr>
        <w:bottom w:val="single" w:color="018D38" w:sz="4"/>
      </w:pBdr>
      <w:spacing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ec58d5a63bc929517bcf02fae3950a20564e5d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2026-07-30T01:57:26.657Z</dcterms:created>
  <dcterms:modified xsi:type="dcterms:W3CDTF">2026-07-30T01:57:26.660Z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