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3.png" ContentType="image/png"/>
  <Override PartName="/word/media/rId33.png" ContentType="image/png"/>
  <Override PartName="/word/media/rId3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X2a6ad74602addf8e6cd2d7e44f3b1c0d89e76e6"/>
    <w:p>
      <w:pPr>
        <w:pStyle w:val="Heading1"/>
      </w:pPr>
      <w:r>
        <w:t xml:space="preserve">A Single Signal-Quality Threshold Is Insufficient for Wearable Photoplethysmography: A Multi-Baseline Audit on WESAD and PPG-DaLiA</w:t>
      </w:r>
    </w:p>
    <w:p>
      <w:pPr>
        <w:pStyle w:val="FirstParagraph"/>
      </w:pPr>
      <w:r>
        <w:rPr>
          <w:b/>
          <w:bCs/>
        </w:rPr>
        <w:t xml:space="preserve">Authors.</w:t>
      </w:r>
      <w:r>
        <w:t xml:space="preserve"> </w:t>
      </w:r>
      <w:r>
        <w:t xml:space="preserve">Ceyhun Olcan¹, Mehmet Ozberk Olcan², Seckin Olcan²</w:t>
      </w:r>
    </w:p>
    <w:p>
      <w:pPr>
        <w:pStyle w:val="BodyText"/>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t xml:space="preserve">² Faculty of Medicine, Cukurova University, Adana, Turkey.</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 Mehmet Ozberk Olcan:</w:t>
      </w:r>
      <w:r>
        <w:t xml:space="preserve"> </w:t>
      </w:r>
      <w:hyperlink r:id="rId10">
        <w:r>
          <w:rPr>
            <w:rStyle w:val="Hyperlink"/>
          </w:rPr>
          <w:t xml:space="preserve">0009-0003-5233-4475</w:t>
        </w:r>
      </w:hyperlink>
      <w:r>
        <w:t xml:space="preserve">; Seckin Olcan:</w:t>
      </w:r>
      <w:r>
        <w:t xml:space="preserve"> </w:t>
      </w:r>
      <w:hyperlink r:id="rId11">
        <w:r>
          <w:rPr>
            <w:rStyle w:val="Hyperlink"/>
          </w:rPr>
          <w:t xml:space="preserve">0009-0007-4033-7491</w:t>
        </w:r>
      </w:hyperlink>
      <w:r>
        <w:t xml:space="preserve">.</w:t>
      </w:r>
    </w:p>
    <w:bookmarkStart w:id="12"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single fixed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synthetic-cohort validation of the remaining pipeline components is reported in the supplement.</w:t>
      </w:r>
    </w:p>
    <w:p>
      <w:pPr>
        <w:pStyle w:val="BodyText"/>
      </w:pPr>
      <w:r>
        <w:rPr>
          <w:b/>
          <w:bCs/>
        </w:rPr>
        <w:t xml:space="preserve">Results.</w:t>
      </w:r>
      <w:r>
        <w:t xml:space="preserve"> </w:t>
      </w:r>
      <w:r>
        <w:t xml:space="preserve">The three published methods agreed with each other (median Gwet’s AC1 = +0.32, mean raw agreement 63%; Cohen’s κ was negative on two of three pairs, a prevalence paradox from their shared 74 to 78% rejection rate) and converged on rejecting 44.6% of windows that the in-house threshold accepted, with each method testing a different physical property of the pulse waveform. The in-house threshold was the lone outlier, in negative chance-corrected agreement with every published method (Gwet’s AC1 -0.40 to -0.50); its Cohen’s κ of 0.000 against each is a degeneracy from its 100% pass rate, not evidence of independence.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an improvement absent under matched random window retention and specific to the timing-based SQIs.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published-method Gwet’s AC1 +0.28 (vs +0.32), with the in-house threshold the lone outlier on both.</w:t>
      </w:r>
    </w:p>
    <w:p>
      <w:pPr>
        <w:pStyle w:val="BodyText"/>
      </w:pPr>
      <w:r>
        <w:rPr>
          <w:b/>
          <w:bCs/>
        </w:rPr>
        <w:t xml:space="preserve">Conclusions.</w:t>
      </w:r>
      <w:r>
        <w:t xml:space="preserve"> </w:t>
      </w:r>
      <w:r>
        <w:t xml:space="preserve">On a public wearable-PPG benchmark, three independently developed signal-quality methods reject a large fraction of windows that a single fixed in-house threshold accepts,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2"/>
    <w:bookmarkStart w:id="16"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(Föll et al. 2021)</w:t>
      </w:r>
      <w:r>
        <w:t xml:space="preserve">.</w:t>
      </w:r>
    </w:p>
    <w:p>
      <w:pPr>
        <w:pStyle w:val="BodyText"/>
      </w:pPr>
      <w:r>
        <w:t xml:space="preserve">Prior work has argued that a single quality threshold cannot serve all measurement contexts and has proposed sliding-scale quality metrics validated against visual inspection</w:t>
      </w:r>
      <w:r>
        <w:t xml:space="preserve"> </w:t>
      </w:r>
      <w:r>
        <w:t xml:space="preserve">(McLean et al. 2023)</w:t>
      </w:r>
      <w:r>
        <w:t xml:space="preserve">. 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agree with each other once base rates are accounted for (median Gwet’s AC1 = +0.32; Cohen’s κ is negative on two of the three pairs, a prevalence paradox) and converge on rejecting 44.6% of windows that a single fixed in-house threshold accepts; single-threshold recalibration at n = 15 does not recover agreement; and audit-based filtering improves downstream per-subject HR correlation by a median of +0.110. To enable reproducibility and reuse, the audit pipeline is implemented as an open-source Python toolkit (</w:t>
      </w:r>
      <w:r>
        <w:rPr>
          <w:rStyle w:val="VerbatimChar"/>
        </w:rPr>
        <w:t xml:space="preserve">biomedical-signal-forensics-lab</w:t>
      </w:r>
      <w:r>
        <w:t xml:space="preserve">, MIT licensed); additional pipeline components (reliability, causal-adjusted confounding, and fairness analysis) are validated on synthetic data in the supplement. The empirical contribution of this paper is the cross-method SQI consensus-rejection finding; the toolkit is the supporting infrastructure that made it reproducible.</w:t>
      </w:r>
    </w:p>
    <w:p>
      <w:pPr>
        <w:pStyle w:val="CaptionedFigure"/>
      </w:pPr>
      <w:r>
        <w:drawing>
          <wp:inline>
            <wp:extent cx="5334000" cy="5706139"/>
            <wp:effectExtent b="0" l="0" r="0" t="0"/>
            <wp:docPr descr="Figure 1. Cross-method acceptance structure of three independently developed published wrist-PPG signal-quality methods on (a) WESAD (n = 6,585 5-second windows) and (b) PPG-DaLiA (n = 18,781 windows), shown as UpSet plots. Each column is a combination of methods that accept a window; bar height is the number of windows in that combination, and the dot matrix below marks which methods make up each combination. On both datasets the largest single category is rejection by all three methods (consensus reject: 2,935 windows, 44.6%, on WESAD; 8,100 windows, 43.1%, on PPG-DaLiA), and the largest acceptance-agreement cell is Orphanidou with Sukor, the two timing-based methods. Windows accepted by all three methods are rare (0.5% and 0.7%), so the cross-method agreement is concentrated in the consensus-reject set rather than in co-acceptance." title="" id="14" name="Picture"/>
            <a:graphic>
              <a:graphicData uri="http://schemas.openxmlformats.org/drawingml/2006/picture">
                <pic:pic>
                  <pic:nvPicPr>
                    <pic:cNvPr descr="paper/figures/fig1_upset.png" id="15" name="Picture"/>
                    <pic:cNvPicPr>
                      <a:picLocks noChangeArrowheads="1" noChangeAspect="1"/>
                    </pic:cNvPicPr>
                  </pic:nvPicPr>
                  <pic:blipFill>
                    <a:blip r:embed="rId13"/>
                    <a:stretch>
                      <a:fillRect/>
                    </a:stretch>
                  </pic:blipFill>
                  <pic:spPr bwMode="auto">
                    <a:xfrm>
                      <a:off x="0" y="0"/>
                      <a:ext cx="5334000" cy="5706139"/>
                    </a:xfrm>
                    <a:prstGeom prst="rect">
                      <a:avLst/>
                    </a:prstGeom>
                    <a:noFill/>
                    <a:ln w="9525">
                      <a:noFill/>
                      <a:headEnd/>
                      <a:tailEnd/>
                    </a:ln>
                  </pic:spPr>
                </pic:pic>
              </a:graphicData>
            </a:graphic>
          </wp:inline>
        </w:drawing>
      </w:r>
    </w:p>
    <w:p>
      <w:pPr>
        <w:pStyle w:val="ImageCaption"/>
      </w:pPr>
      <w:r>
        <w:t xml:space="preserve">Figure 1. Cross-method acceptance structure of three independently developed published wrist-PPG signal-quality methods on (a) WESAD (n = 6,585 5-second windows) and (b) PPG-DaLiA (n = 18,781 windows), shown as UpSet plots. Each column is a combination of methods that accept a window; bar height is the number of windows in that combination, and the dot matrix below marks which methods make up each combination. On both datasets the largest single category is rejection by all three methods (consensus reject: 2,935 windows, 44.6%, on WESAD; 8,100 windows, 43.1%, on PPG-DaLiA), and the largest acceptance-agreement cell is Orphanidou with Sukor, the two timing-based methods. Windows accepted by all three methods are rare (0.5% and 0.7%), so the cross-method agreement is concentrated in the consensus-reject set rather than in co-acceptance.</w:t>
      </w:r>
    </w:p>
    <w:bookmarkEnd w:id="16"/>
    <w:bookmarkStart w:id="27" w:name="methods"/>
    <w:p>
      <w:pPr>
        <w:pStyle w:val="Heading2"/>
      </w:pPr>
      <w:r>
        <w:t xml:space="preserve">2. Methods</w:t>
      </w:r>
    </w:p>
    <w:bookmarkStart w:id="17"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single fixed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7"/>
    <w:bookmarkStart w:id="18"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8"/>
    <w:bookmarkStart w:id="19"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9"/>
    <w:bookmarkStart w:id="20"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(supplement Section S10.3,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20"/>
    <w:bookmarkStart w:id="21"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21"/>
    <w:bookmarkStart w:id="22"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2"/>
    <w:bookmarkStart w:id="23" w:name="fairness-audit"/>
    <w:p>
      <w:pPr>
        <w:pStyle w:val="Heading3"/>
      </w:pPr>
      <w:r>
        <w:t xml:space="preserve">2.7 Fairness audit</w:t>
      </w:r>
    </w:p>
    <w:p>
      <w:pPr>
        <w:pStyle w:val="FirstParagraph"/>
      </w:pPr>
      <w:r>
        <w:t xml:space="preserve">Demographic bias in clinical algorithms and health-related measurement is well documented</w:t>
      </w:r>
      <w:r>
        <w:t xml:space="preserve"> </w:t>
      </w:r>
      <w:r>
        <w:t xml:space="preserve">(Obermeyer et al. 2019; Vyas et al. 2020)</w:t>
      </w:r>
      <w:r>
        <w:t xml:space="preserve">, motivating a routine subgroup check. 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3"/>
    <w:bookmarkStart w:id="24"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4"/>
    <w:bookmarkStart w:id="25"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5"/>
    <w:bookmarkStart w:id="26"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S8).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6"/>
    <w:bookmarkEnd w:id="27"/>
    <w:bookmarkStart w:id="48"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8"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8"/>
    <w:bookmarkStart w:id="32"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p>
      <w:pPr>
        <w:pStyle w:val="CaptionedFigure"/>
      </w:pPr>
      <w:r>
        <w:drawing>
          <wp:inline>
            <wp:extent cx="5334000" cy="3622178"/>
            <wp:effectExtent b="0" l="0" r="0" t="0"/>
            <wp:docPr descr="Figure 2. Bland-Altman cross-modality HR agreement on WESAD (n = 15 subjects, 6,569 paired 5-second windows). Each point is one window. Mean bias (PPG minus ECG) = +3.57 bpm; 95% limits of agreement [-23.14, +30.28] bpm. Pearson r = +0.70 between modalities." title="" id="30" name="Picture"/>
            <a:graphic>
              <a:graphicData uri="http://schemas.openxmlformats.org/drawingml/2006/picture">
                <pic:pic>
                  <pic:nvPicPr>
                    <pic:cNvPr descr="paper/figures/fig1_bland_altman.png" id="31" name="Picture"/>
                    <pic:cNvPicPr>
                      <a:picLocks noChangeArrowheads="1" noChangeAspect="1"/>
                    </pic:cNvPicPr>
                  </pic:nvPicPr>
                  <pic:blipFill>
                    <a:blip r:embed="rId29"/>
                    <a:stretch>
                      <a:fillRect/>
                    </a:stretch>
                  </pic:blipFill>
                  <pic:spPr bwMode="auto">
                    <a:xfrm>
                      <a:off x="0" y="0"/>
                      <a:ext cx="5334000" cy="3622178"/>
                    </a:xfrm>
                    <a:prstGeom prst="rect">
                      <a:avLst/>
                    </a:prstGeom>
                    <a:noFill/>
                    <a:ln w="9525">
                      <a:noFill/>
                      <a:headEnd/>
                      <a:tailEnd/>
                    </a:ln>
                  </pic:spPr>
                </pic:pic>
              </a:graphicData>
            </a:graphic>
          </wp:inline>
        </w:drawing>
      </w:r>
    </w:p>
    <w:p>
      <w:pPr>
        <w:pStyle w:val="ImageCaption"/>
      </w:pPr>
      <w:r>
        <w:t xml:space="preserve">Figure 2. Bland-Altman cross-modality HR agreement on WESAD (n = 15 subjects, 6,569 paired 5-second windows). Each point is one window. Mean bias (PPG minus ECG) = +3.57 bpm; 95% limits of agreement [-23.14, +30.28] bpm. Pearson r = +0.70 between modalities.</w:t>
      </w:r>
    </w:p>
    <w:bookmarkEnd w:id="32"/>
    <w:bookmarkStart w:id="36"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 Sjoding et al. 2020)</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Cross-method agreement across the three published PPG signal-quality baselines on WESAD, with subject-clustered bootstrap 95% confidence intervals (2,000 resamples over the 15 subjects). Cohen’s κ is negative on the two Elgendi pairs despite raw agreement above 56%, a prevalence paradox from the shared 74 to 78% rejection rate; the prevalence-insensitive Gwet’s AC1 is positive for all three pairs. PPG-DaLiA values are within rounding (median raw 0.625, median AC1 +0.281, median κ -0.204; Section 3.7).</w:t>
      </w:r>
    </w:p>
    <w:tbl>
      <w:tblPr>
        <w:tblStyle w:val="Table"/>
        <w:tblW w:type="pct" w:w="5000"/>
        <w:tblLayout w:type="fixed"/>
        <w:tblLook w:firstRow="1" w:lastRow="0" w:firstColumn="0" w:lastColumn="0" w:noHBand="0" w:noVBand="0" w:val="0020"/>
        <w:tblCaption w:val="Table 3. Cross-method agreement across the three published PPG signal-quality baselines on WESAD, with subject-clustered bootstrap 95% confidence intervals (2,000 resamples over the 15 subjects). Cohen’s κ is negative on the two Elgendi pairs despite raw agreement above 56%, a prevalence paradox from the shared 74 to 78% rejection rate; the prevalence-insensitive Gwet’s AC1 is positive for all three pairs. PPG-DaLiA values are within rounding (median raw 0.625, median AC1 +0.281, median κ -0.204; Section 3.7)."/>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Published-method pair</w:t>
            </w:r>
          </w:p>
        </w:tc>
        <w:tc>
          <w:tcPr>
            <w:tcBorders>
              <w:top w:val="single" w:sz="12" w:space="0" w:color="000000"/>
              <w:left w:val="nil"/>
              <w:bottom w:val="single" w:sz="8" w:space="0" w:color="000000"/>
              <w:right w:val="nil"/>
            </w:tcBorders>
          </w:tcPr>
          <w:tcPr/>
          <w:p>
            <w:pPr>
              <w:pStyle w:val="Compact"/>
            </w:pPr>
            <w:r>
              <w:t xml:space="preserve">Raw agreement</w:t>
            </w:r>
          </w:p>
        </w:tc>
        <w:tc>
          <w:tcPr>
            <w:tcBorders>
              <w:top w:val="single" w:sz="12" w:space="0" w:color="000000"/>
              <w:left w:val="nil"/>
              <w:bottom w:val="single" w:sz="8" w:space="0" w:color="000000"/>
              <w:right w:val="nil"/>
            </w:tcBorders>
          </w:tcPr>
          <w:tcPr/>
          <w:p>
            <w:pPr>
              <w:pStyle w:val="Compact"/>
            </w:pPr>
            <w:r>
              <w:t xml:space="preserve">Cohen’s κ [95% CI]</w:t>
            </w:r>
          </w:p>
        </w:tc>
        <w:tc>
          <w:tcPr>
            <w:tcBorders>
              <w:top w:val="single" w:sz="12" w:space="0" w:color="000000"/>
              <w:left w:val="nil"/>
              <w:bottom w:val="single" w:sz="8" w:space="0" w:color="000000"/>
              <w:right w:val="nil"/>
            </w:tcBorders>
          </w:tcPr>
          <w:tcPr/>
          <w:p>
            <w:pPr>
              <w:pStyle w:val="Compact"/>
            </w:pPr>
            <w:r>
              <w:t xml:space="preserve">Gwet’s AC1 [95% CI]</w:t>
            </w:r>
          </w:p>
        </w:tc>
        <w:tc>
          <w:tcPr>
            <w:tcBorders>
              <w:top w:val="single" w:sz="12" w:space="0" w:color="000000"/>
              <w:left w:val="nil"/>
              <w:bottom w:val="single" w:sz="8" w:space="0" w:color="000000"/>
              <w:right w:val="nil"/>
            </w:tcBorders>
          </w:tcPr>
          <w:tcPr/>
          <w:p>
            <w:pPr>
              <w:pStyle w:val="Compact"/>
            </w:pPr>
            <w:r>
              <w:t xml:space="preserve">PABAK</w:t>
            </w:r>
          </w:p>
        </w:tc>
        <w:tc>
          <w:tcPr>
            <w:tcBorders>
              <w:top w:val="single" w:sz="12" w:space="0" w:color="000000"/>
              <w:left w:val="nil"/>
              <w:bottom w:val="single" w:sz="8" w:space="0" w:color="000000"/>
              <w:right w:val="nil"/>
            </w:tcBorders>
          </w:tcPr>
          <w:tcPr/>
          <w:p>
            <w:pPr>
              <w:pStyle w:val="Compact"/>
            </w:pPr>
            <w:r>
              <w:t xml:space="preserve">MCC</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0.775</w:t>
            </w:r>
          </w:p>
        </w:tc>
        <w:tc>
          <w:tcPr>
            <w:tcBorders>
              <w:top w:val="nil"/>
              <w:left w:val="nil"/>
              <w:bottom w:val="nil"/>
              <w:right w:val="nil"/>
            </w:tcBorders>
          </w:tcPr>
          <w:tcPr/>
          <w:p>
            <w:pPr>
              <w:pStyle w:val="Compact"/>
            </w:pPr>
            <w:r>
              <w:t xml:space="preserve">+0.410 [+0.35, +0.47]</w:t>
            </w:r>
          </w:p>
        </w:tc>
        <w:tc>
          <w:tcPr>
            <w:tcBorders>
              <w:top w:val="nil"/>
              <w:left w:val="nil"/>
              <w:bottom w:val="nil"/>
              <w:right w:val="nil"/>
            </w:tcBorders>
          </w:tcPr>
          <w:tcPr/>
          <w:p>
            <w:pPr>
              <w:pStyle w:val="Compact"/>
            </w:pPr>
            <w:r>
              <w:t xml:space="preserve">+0.637 [+0.59, +0.68]</w:t>
            </w:r>
          </w:p>
        </w:tc>
        <w:tc>
          <w:tcPr>
            <w:tcBorders>
              <w:top w:val="nil"/>
              <w:left w:val="nil"/>
              <w:bottom w:val="nil"/>
              <w:right w:val="nil"/>
            </w:tcBorders>
          </w:tcPr>
          <w:tcPr/>
          <w:p>
            <w:pPr>
              <w:pStyle w:val="Compact"/>
            </w:pPr>
            <w:r>
              <w:t xml:space="preserve">+0.551</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0.567</w:t>
            </w:r>
          </w:p>
        </w:tc>
        <w:tc>
          <w:tcPr>
            <w:tcBorders>
              <w:top w:val="nil"/>
              <w:left w:val="nil"/>
              <w:bottom w:val="nil"/>
              <w:right w:val="nil"/>
            </w:tcBorders>
          </w:tcPr>
          <w:tcPr/>
          <w:p>
            <w:pPr>
              <w:pStyle w:val="Compact"/>
            </w:pPr>
            <w:r>
              <w:t xml:space="preserve">-0.198 [-0.24, -0.16]</w:t>
            </w:r>
          </w:p>
        </w:tc>
        <w:tc>
          <w:tcPr>
            <w:tcBorders>
              <w:top w:val="nil"/>
              <w:left w:val="nil"/>
              <w:bottom w:val="nil"/>
              <w:right w:val="nil"/>
            </w:tcBorders>
          </w:tcPr>
          <w:tcPr/>
          <w:p>
            <w:pPr>
              <w:pStyle w:val="Compact"/>
            </w:pPr>
            <w:r>
              <w:t xml:space="preserve">+0.324 [+0.22, +0.42]</w:t>
            </w:r>
          </w:p>
        </w:tc>
        <w:tc>
          <w:tcPr>
            <w:tcBorders>
              <w:top w:val="nil"/>
              <w:left w:val="nil"/>
              <w:bottom w:val="nil"/>
              <w:right w:val="nil"/>
            </w:tcBorders>
          </w:tcPr>
          <w:tcPr/>
          <w:p>
            <w:pPr>
              <w:pStyle w:val="Compact"/>
            </w:pPr>
            <w:r>
              <w:t xml:space="preserve">+0.135</w:t>
            </w:r>
          </w:p>
        </w:tc>
        <w:tc>
          <w:tcPr>
            <w:tcBorders>
              <w:top w:val="nil"/>
              <w:left w:val="nil"/>
              <w:bottom w:val="nil"/>
              <w:right w:val="nil"/>
            </w:tcBorders>
          </w:tcPr>
          <w:tcPr/>
          <w:p>
            <w:pPr>
              <w:pStyle w:val="Compact"/>
            </w:pPr>
            <w:r>
              <w:t xml:space="preserve">-0.199</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0.559</w:t>
            </w:r>
          </w:p>
        </w:tc>
        <w:tc>
          <w:tcPr>
            <w:tcBorders>
              <w:top w:val="nil"/>
              <w:left w:val="nil"/>
              <w:bottom w:val="nil"/>
              <w:right w:val="nil"/>
            </w:tcBorders>
          </w:tcPr>
          <w:tcPr/>
          <w:p>
            <w:pPr>
              <w:pStyle w:val="Compact"/>
            </w:pPr>
            <w:r>
              <w:t xml:space="preserve">-0.225 [-0.26, -0.19]</w:t>
            </w:r>
          </w:p>
        </w:tc>
        <w:tc>
          <w:tcPr>
            <w:tcBorders>
              <w:top w:val="nil"/>
              <w:left w:val="nil"/>
              <w:bottom w:val="nil"/>
              <w:right w:val="nil"/>
            </w:tcBorders>
          </w:tcPr>
          <w:tcPr/>
          <w:p>
            <w:pPr>
              <w:pStyle w:val="Compact"/>
            </w:pPr>
            <w:r>
              <w:t xml:space="preserve">+0.312 [+0.22, +0.40]</w:t>
            </w:r>
          </w:p>
        </w:tc>
        <w:tc>
          <w:tcPr>
            <w:tcBorders>
              <w:top w:val="nil"/>
              <w:left w:val="nil"/>
              <w:bottom w:val="nil"/>
              <w:right w:val="nil"/>
            </w:tcBorders>
          </w:tcPr>
          <w:tcPr/>
          <w:p>
            <w:pPr>
              <w:pStyle w:val="Compact"/>
            </w:pPr>
            <w:r>
              <w:t xml:space="preserve">+0.118</w:t>
            </w:r>
          </w:p>
        </w:tc>
        <w:tc>
          <w:tcPr>
            <w:tcBorders>
              <w:top w:val="nil"/>
              <w:left w:val="nil"/>
              <w:bottom w:val="nil"/>
              <w:right w:val="nil"/>
            </w:tcBorders>
          </w:tcPr>
          <w:tcPr/>
          <w:p>
            <w:pPr>
              <w:pStyle w:val="Compact"/>
            </w:pPr>
            <w:r>
              <w:t xml:space="preserve">-0.226</w:t>
            </w:r>
          </w:p>
        </w:tc>
      </w:tr>
      <w:tr>
        <w:tc>
          <w:tcPr>
            <w:tcBorders>
              <w:top w:val="nil"/>
              <w:left w:val="nil"/>
              <w:bottom w:val="single" w:sz="12" w:space="0" w:color="000000"/>
              <w:right w:val="nil"/>
            </w:tcBorders>
          </w:tcPr>
          <w:tcPr/>
          <w:p>
            <w:pPr>
              <w:pStyle w:val="Compact"/>
            </w:pPr>
            <w:r>
              <w:rPr>
                <w:b/>
                <w:bCs/>
              </w:rPr>
              <w:t xml:space="preserve">Median across three pairs</w:t>
            </w:r>
          </w:p>
        </w:tc>
        <w:tc>
          <w:tcPr>
            <w:tcBorders>
              <w:top w:val="nil"/>
              <w:left w:val="nil"/>
              <w:bottom w:val="single" w:sz="12" w:space="0" w:color="000000"/>
              <w:right w:val="nil"/>
            </w:tcBorders>
          </w:tcPr>
          <w:tcPr/>
          <w:p>
            <w:pPr>
              <w:pStyle w:val="Compact"/>
            </w:pPr>
            <w:r>
              <w:rPr>
                <w:b/>
                <w:bCs/>
              </w:rPr>
              <w:t xml:space="preserve">0.567</w:t>
            </w:r>
          </w:p>
        </w:tc>
        <w:tc>
          <w:tcPr>
            <w:tcBorders>
              <w:top w:val="nil"/>
              <w:left w:val="nil"/>
              <w:bottom w:val="single" w:sz="12" w:space="0" w:color="000000"/>
              <w:right w:val="nil"/>
            </w:tcBorders>
          </w:tcPr>
          <w:tcPr/>
          <w:p>
            <w:pPr>
              <w:pStyle w:val="Compact"/>
            </w:pPr>
            <w:r>
              <w:rPr>
                <w:b/>
                <w:bCs/>
              </w:rPr>
              <w:t xml:space="preserve">-0.198</w:t>
            </w:r>
          </w:p>
        </w:tc>
        <w:tc>
          <w:tcPr>
            <w:tcBorders>
              <w:top w:val="nil"/>
              <w:left w:val="nil"/>
              <w:bottom w:val="single" w:sz="12" w:space="0" w:color="000000"/>
              <w:right w:val="nil"/>
            </w:tcBorders>
          </w:tcPr>
          <w:tcPr/>
          <w:p>
            <w:pPr>
              <w:pStyle w:val="Compact"/>
            </w:pPr>
            <w:r>
              <w:rPr>
                <w:b/>
                <w:bCs/>
              </w:rPr>
              <w:t xml:space="preserve">+0.324</w:t>
            </w:r>
          </w:p>
        </w:tc>
        <w:tc>
          <w:tcPr>
            <w:tcBorders>
              <w:top w:val="nil"/>
              <w:left w:val="nil"/>
              <w:bottom w:val="single" w:sz="12" w:space="0" w:color="000000"/>
              <w:right w:val="nil"/>
            </w:tcBorders>
          </w:tcPr>
          <w:tcPr/>
          <w:p>
            <w:pPr>
              <w:pStyle w:val="Compact"/>
            </w:pPr>
            <w:r>
              <w:rPr>
                <w:b/>
                <w:bCs/>
              </w:rPr>
              <w:t xml:space="preserve">+0.135</w:t>
            </w:r>
          </w:p>
        </w:tc>
        <w:tc>
          <w:tcPr>
            <w:tcBorders>
              <w:top w:val="nil"/>
              <w:left w:val="nil"/>
              <w:bottom w:val="single" w:sz="12" w:space="0" w:color="000000"/>
              <w:right w:val="nil"/>
            </w:tcBorders>
          </w:tcPr>
          <w:tcPr/>
          <w:p>
            <w:pPr>
              <w:pStyle w:val="Compact"/>
            </w:pPr>
            <w:r>
              <w:rPr>
                <w:b/>
                <w:bCs/>
              </w:rPr>
              <w:t xml:space="preserve">-0.199</w:t>
            </w:r>
          </w:p>
        </w:tc>
      </w:tr>
    </w:tbl>
    <w:p>
      <w:pPr>
        <w:pStyle w:val="BodyText"/>
      </w:pPr>
      <w:r>
        <w:rPr>
          <w:b/>
          <w:bCs/>
        </w:rPr>
        <w:t xml:space="preserve">Three published baselines, fair-to-moderate agreement.</w:t>
      </w:r>
      <w:r>
        <w:t xml:space="preserve"> </w:t>
      </w:r>
      <w:r>
        <w:t xml:space="preserve">Cohen’s κ alone gives a misleading picture here. Orphanidou and Sukor agree moderately on which windows pass by every measure (κ = +0.410, Gwet’s AC1 = +0.637, raw agreement 77.5%). Elgendi agrees less with the other two and its Cohen’s κ is negative (-0.198 against Orphanidou, -0.225 against Sukor), but this is the κ paradox under skewed prevalence rather than genuine disagreement: all three methods reject 74 to 78% of windows, which inflates chance agreement and pushes κ below zero even though the methods make the same pass/fail call on 56 to 57% of windows. The prevalence-insensitive Gwet’s AC1 is positive for all three pairs (+0.31 to +0.64, median +0.324), and the subject-clustered intervals confirm the split: on the Orphanidou-Elgendi pair the κ interval lies entirely below zero ([-0.24, -0.16]) while the AC1 interval on the identical windows lies entirely above zero ([+0.22, +0.42]). The three baselines individually pass 25.6%, 25.5%, and 21.5% of windows and agree more than chance on pass/fail (median AC1 = +0.324, mean raw agreement 63%), not less.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44.6% of real wrist PPG windows are rejected by Orphanidou AND Sukor AND Elgendi simultaneously - three baselines, three different physical properties, three concordant rejections - and yet the in-house default threshold (0.70) passes every single one of them (a stacked-bar view of the same finding is in Supplementary Figure S4).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Unlike Cohen’s κ, Gwet’s AC1 remains defined when one classifier is near-constant, and it places the in-house threshold in active disagreement with every published method (AC1 = -0.40, -0.40, and -0.50 against Orphanidou, Sukor, and Elgendi): the in-house SQI accepts windows the published methods reject, so its chance-corrected agreement with them falls below zero. The published methods are not three mutually contradictory tests but three concordant ones, with the in-house threshold as the lone outlier.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w:t>
      </w:r>
    </w:p>
    <w:p>
      <w:pPr>
        <w:pStyle w:val="CaptionedFigure"/>
      </w:pPr>
      <w:r>
        <w:drawing>
          <wp:inline>
            <wp:extent cx="5334000" cy="4677605"/>
            <wp:effectExtent b="0" l="0" r="0" t="0"/>
            <wp:docPr descr="Figure 3. Cross-method PPG signal-quality agreement on WESAD (n = 6,585 windows). The in-house threshold passes 100% of windows; the three published methods individually pass 21.5 to 25.6%. Pairwise Cohen’s kappa across the three published methods spans -0.23 to +0.41 (median -0.20); the prevalence-insensitive Gwet’s AC1 is positive for all three pairs (median +0.32)." title="" id="34" name="Picture"/>
            <a:graphic>
              <a:graphicData uri="http://schemas.openxmlformats.org/drawingml/2006/picture">
                <pic:pic>
                  <pic:nvPicPr>
                    <pic:cNvPr descr="paper/figures/fig3_kappa_heatmap.png" id="35" name="Picture"/>
                    <pic:cNvPicPr>
                      <a:picLocks noChangeArrowheads="1" noChangeAspect="1"/>
                    </pic:cNvPicPr>
                  </pic:nvPicPr>
                  <pic:blipFill>
                    <a:blip r:embed="rId33"/>
                    <a:stretch>
                      <a:fillRect/>
                    </a:stretch>
                  </pic:blipFill>
                  <pic:spPr bwMode="auto">
                    <a:xfrm>
                      <a:off x="0" y="0"/>
                      <a:ext cx="5334000" cy="4677605"/>
                    </a:xfrm>
                    <a:prstGeom prst="rect">
                      <a:avLst/>
                    </a:prstGeom>
                    <a:noFill/>
                    <a:ln w="9525">
                      <a:noFill/>
                      <a:headEnd/>
                      <a:tailEnd/>
                    </a:ln>
                  </pic:spPr>
                </pic:pic>
              </a:graphicData>
            </a:graphic>
          </wp:inline>
        </w:drawing>
      </w:r>
    </w:p>
    <w:p>
      <w:pPr>
        <w:pStyle w:val="ImageCaption"/>
      </w:pPr>
      <w:r>
        <w:t xml:space="preserve">Figure 3. Cross-method PPG signal-quality agreement on WESAD (n = 6,585 windows). The in-house threshold passes 100% of windows; the three published methods individually pass 21.5 to 25.6%. Pairwise Cohen’s kappa across the three published methods spans -0.23 to +0.41 (median -0.20); the prevalence-insensitive Gwet’s AC1 is positive for all three pairs (median +0.32).</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and Supplementary Figure S2). The substantive finding, that three published methods reject the same ~44% of windows in common, is a property of how the published methods behave on real wrist PPG and does not depend on any in-house thresholding choice.</w:t>
      </w:r>
    </w:p>
    <w:bookmarkEnd w:id="36"/>
    <w:bookmarkStart w:id="40"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CaptionedFigure"/>
      </w:pPr>
      <w:r>
        <w:drawing>
          <wp:inline>
            <wp:extent cx="5334000" cy="3873128"/>
            <wp:effectExtent b="0" l="0" r="0" t="0"/>
            <wp:docPr descr="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 title="" id="38" name="Picture"/>
            <a:graphic>
              <a:graphicData uri="http://schemas.openxmlformats.org/drawingml/2006/picture">
                <pic:pic>
                  <pic:nvPicPr>
                    <pic:cNvPr descr="paper/figures/fig6_recalibration.png" id="39" name="Picture"/>
                    <pic:cNvPicPr>
                      <a:picLocks noChangeArrowheads="1" noChangeAspect="1"/>
                    </pic:cNvPicPr>
                  </pic:nvPicPr>
                  <pic:blipFill>
                    <a:blip r:embed="rId37"/>
                    <a:stretch>
                      <a:fillRect/>
                    </a:stretch>
                  </pic:blipFill>
                  <pic:spPr bwMode="auto">
                    <a:xfrm>
                      <a:off x="0" y="0"/>
                      <a:ext cx="5334000" cy="3873128"/>
                    </a:xfrm>
                    <a:prstGeom prst="rect">
                      <a:avLst/>
                    </a:prstGeom>
                    <a:noFill/>
                    <a:ln w="9525">
                      <a:noFill/>
                      <a:headEnd/>
                      <a:tailEnd/>
                    </a:ln>
                  </pic:spPr>
                </pic:pic>
              </a:graphicData>
            </a:graphic>
          </wp:inline>
        </w:drawing>
      </w:r>
    </w:p>
    <w:p>
      <w:pPr>
        <w:pStyle w:val="ImageCaption"/>
      </w:pPr>
      <w:r>
        <w:t xml:space="preserve">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10 of 15 subjects the train search settles on threshold 0.85, under which the in-house SQI still passes 100% of the held-out subject’s windows and held-out κ is degenerate at 0. For the remaining 5 subjects the train search lands on stricter thresholds (0.98 to 0.99) that produce non-trivial in-house pass/fail variation; on these held-out subjects κ ranges from -0.321 to +0.002, with 4 of 5 strongly negative (S10, S13, S16, S9 at κ between -0.32 and -0.16) and the fifth (S17) at +0.0017, essentially zero, meaning that when the in-house SQI is forced to make discriminating decisions it does not recover agreement with the Orphanidou baseline.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 </w:t>
      </w:r>
      <w:r>
        <w:t xml:space="preserve">and is visualized in Supplementary Figure S3.</w:t>
      </w:r>
    </w:p>
    <w:bookmarkEnd w:id="40"/>
    <w:bookmarkStart w:id="41"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41"/>
    <w:bookmarkStart w:id="42"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42"/>
    <w:bookmarkStart w:id="46"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The improvement is quality-specific and filter-dependent.</w:t>
      </w:r>
      <w:r>
        <w:t xml:space="preserve"> </w:t>
      </w:r>
      <w:r>
        <w:t xml:space="preserve">Two controls bound this result. As a negative control, retaining the same number of windows per subject chosen at random rather than by Orphanidou produces a median correlation change of +0.005 on WESAD and +0.000 on PPG-DaLiA, with the 95% range across 200 draws straddling zero. The gain is therefore a property of which windows are kept, not of keeping fewer windows or of range restriction from subsetting. Filter choice also matters: substituting Sukor for Orphanidou gives a similar improvement (median +0.139 on WESAD, +0.177 on PPG-DaLiA), but substituting Elgendi reverses it (median -0.171 on WESAD, -0.186 on PPG-DaLiA, with 0 to 2 of 15 subjects improving). The two SQIs that test pulse timing and shape, properties tied to rate recovery, improve HR agreement; the amplitude-distribution SQI does not. The downstream benefit is specific to HR-relevant quality criteria rather than automatic for any SQI, which is why we filter by Orphanidou and report the contrast rather than treating the three methods as interchangeable downstream filters.</w:t>
      </w:r>
    </w:p>
    <w:p>
      <w:pPr>
        <w:pStyle w:val="BodyText"/>
      </w:pPr>
      <w:r>
        <w:rPr>
          <w:b/>
          <w:bCs/>
        </w:rPr>
        <w:t xml:space="preserve">Combined interpretation.</w:t>
      </w:r>
      <w:r>
        <w:t xml:space="preserve"> </w:t>
      </w:r>
      <w:r>
        <w:t xml:space="preserve">Filtering by an HR-relevant SQI improves window-level HR agreement but only marginally improves cohort-level classification, and the two results carry different evidential weight. The classification result (Task A, +0.027, p = 0.05) is the more independent test, because the SQI is not optimized for stress classification: any gain there reflects cleaner model inputs rather than the filter selecting for its own objective. LOSO evaluation on n = 15 has limited statistical power, and the +0.027 mean improvement is consistent with a real effect the sample size cannot declare significant. The HR-correlation result (Task B, +0.110, p &lt; 0.001) is larger and, by the negative control above, quality-specific rather than a retention artifact, but it sits closer to the filtering criterion: filtering on PPG quality and then scoring PPG-derived HR accuracy is partly self-fulfilling, since improving rate recoverability is much of what a pulse-shape or interval SQI does. We therefore read Task A as the more demanding evidence that the audit affects a task it does not directly target, and Task B as confirmation that Orphanidou and Sukor act as competent HR-quality filters.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CaptionedFigure"/>
      </w:pPr>
      <w:r>
        <w:drawing>
          <wp:inline>
            <wp:extent cx="5334000" cy="3673268"/>
            <wp:effectExtent b="0" l="0" r="0" t="0"/>
            <wp:docPr descr="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 title="" id="44" name="Picture"/>
            <a:graphic>
              <a:graphicData uri="http://schemas.openxmlformats.org/drawingml/2006/picture">
                <pic:pic>
                  <pic:nvPicPr>
                    <pic:cNvPr descr="results/downstream_demo/figure_downstream.png" id="45" name="Picture"/>
                    <pic:cNvPicPr>
                      <a:picLocks noChangeArrowheads="1" noChangeAspect="1"/>
                    </pic:cNvPicPr>
                  </pic:nvPicPr>
                  <pic:blipFill>
                    <a:blip r:embed="rId43"/>
                    <a:stretch>
                      <a:fillRect/>
                    </a:stretch>
                  </pic:blipFill>
                  <pic:spPr bwMode="auto">
                    <a:xfrm>
                      <a:off x="0" y="0"/>
                      <a:ext cx="5334000" cy="3673268"/>
                    </a:xfrm>
                    <a:prstGeom prst="rect">
                      <a:avLst/>
                    </a:prstGeom>
                    <a:noFill/>
                    <a:ln w="9525">
                      <a:noFill/>
                      <a:headEnd/>
                      <a:tailEnd/>
                    </a:ln>
                  </pic:spPr>
                </pic:pic>
              </a:graphicData>
            </a:graphic>
          </wp:inline>
        </w:drawing>
      </w:r>
    </w:p>
    <w:p>
      <w:pPr>
        <w:pStyle w:val="ImageCaption"/>
      </w:pPr>
      <w:r>
        <w:t xml:space="preserve">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w:t>
      </w:r>
    </w:p>
    <w:bookmarkEnd w:id="46"/>
    <w:bookmarkStart w:id="47" w:name="external-validation-on-ppg-dalia"/>
    <w:p>
      <w:pPr>
        <w:pStyle w:val="Heading3"/>
      </w:pPr>
      <w:r>
        <w:t xml:space="preserve">3.7 External validation on PPG-DaLiA</w:t>
      </w:r>
    </w:p>
    <w:p>
      <w:pPr>
        <w:pStyle w:val="FirstParagraph"/>
      </w:pPr>
      <w:r>
        <w:t xml:space="preserve">The cross-method SQI consensus-rejection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pattern as on WESAD, with the prevalence-insensitive Gwet’s AC1 positive on both datasets (median AC1 +0.281 on PPG-DaLiA versus +0.324 on WESAD):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consensus-rejection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consensus-rejection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consensus-rejection finding is a property of wrist PPG itself rather than of the WESAD stress paradigm or of any single recording session.</w:t>
      </w:r>
    </w:p>
    <w:bookmarkEnd w:id="47"/>
    <w:bookmarkEnd w:id="48"/>
    <w:bookmarkStart w:id="49" w:name="Xf8d28994ab18c569b43451e1d59264a3df91dd7"/>
    <w:p>
      <w:pPr>
        <w:pStyle w:val="Heading2"/>
      </w:pPr>
      <w:r>
        <w:t xml:space="preserve">4. Methodological validation on synthetic data</w:t>
      </w:r>
    </w:p>
    <w:p>
      <w:pPr>
        <w:pStyle w:val="FirstParagraph"/>
      </w:pPr>
      <w:r>
        <w:t xml:space="preserve">The pipeline components that WESAD and PPG-DaLiA cannot exercise, the reliability primitives, the Digital Biomarker Trust Score, the AIPW-adjusted confounding analysis, and the stratified fairness audit, are validated on a 300-participant 60-day synthetic cohort with documented injected failure modes (cohort and generator described in Section 2.2). These analyses recover the injected effects (for example device-family and skin-tone signal-quality gaps, and an AIPW-adjusted active-minutes effect on HRV that a screening correlation misses) and characterise the components for follow-up studies on longitudinal datasets. They do not bear on the empirical findings in Section 3. The full results, tables, and figures are in supplement Section S10.</w:t>
      </w:r>
    </w:p>
    <w:bookmarkEnd w:id="49"/>
    <w:bookmarkStart w:id="53" w:name="discussion"/>
    <w:p>
      <w:pPr>
        <w:pStyle w:val="Heading2"/>
      </w:pPr>
      <w:r>
        <w:t xml:space="preserve">5. Discussion</w:t>
      </w:r>
    </w:p>
    <w:bookmarkStart w:id="50"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agree and converge on rejecting a large window population on real wearable data.</w:t>
      </w:r>
      <w:r>
        <w:t xml:space="preserve"> </w:t>
      </w:r>
      <w:r>
        <w:t xml:space="preserve">The published methods individually pass 21.5% to 25.6% of windows and collectively reject 44.6% of windows accepted by a single fixed in-house threshold. Across the three methods the prevalence-insensitive Gwet’s AC1 is positive on every pair (median +0.32) and raw agreement averages 63%; the negative median Cohen’s κ (-0.20) is a prevalence paradox from the shared 74 to 78% rejection rate, not genuine disagreement. The methods agree more than chance on pass/fail and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the alternative to test.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filtering to a timing-based SQI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Orphanidou-passing windows improves per-subject wrist-PPG-to-chest-ECG HR correlation by a median of +0.110 (13 of 15 subjects improved, paired Wilcoxon p = 1.5e-04), with the largest gains in subjects whose unfiltered correlation was modest (S10: 0.65 → 0.78, S9: 0.47 → 0.76).</w:t>
      </w:r>
    </w:p>
    <w:bookmarkEnd w:id="50"/>
    <w:bookmarkStart w:id="51" w:name="relation-to-prior-work"/>
    <w:p>
      <w:pPr>
        <w:pStyle w:val="Heading3"/>
      </w:pPr>
      <w:r>
        <w:t xml:space="preserve">5.2 Relation to prior work</w:t>
      </w:r>
    </w:p>
    <w:p>
      <w:pPr>
        <w:pStyle w:val="FirstParagraph"/>
      </w:pPr>
      <w:r>
        <w:t xml:space="preserve">Wearable signal-quality methods and feature-extraction toolkits have been addressed previously, for example by</w:t>
      </w:r>
      <w:r>
        <w:t xml:space="preserve"> </w:t>
      </w:r>
      <w:r>
        <w:t xml:space="preserve">Clifford et al. (2012)</w:t>
      </w:r>
      <w:r>
        <w:t xml:space="preserve"> </w:t>
      </w:r>
      <w:r>
        <w:t xml:space="preserve">and</w:t>
      </w:r>
      <w:r>
        <w:t xml:space="preserve"> </w:t>
      </w:r>
      <w:r>
        <w:t xml:space="preserve">Föll et al. (2021)</w:t>
      </w:r>
      <w:r>
        <w:t xml:space="preserve">, and prior work has argued that a single quality threshold cannot serve all measurement contexts</w:t>
      </w:r>
      <w:r>
        <w:t xml:space="preserve"> </w:t>
      </w:r>
      <w:r>
        <w:t xml:space="preserve">(McLean et al. 2023)</w:t>
      </w:r>
      <w:r>
        <w:t xml:space="preserve">. What that literature has not done is quantify, on a public real-wearable-PPG benchmark, how far the published SQI methods agree with one another and what audit-based filtering does to downstream biomarker estimation. That empirical question is the contribution here: on WESAD and PPG-DaLiA the three published methods reach prevalence-insensitive agreement and consensus-reject a large window population that a single fixed in-house threshold accepts, and filtering to a timing-based published SQI improves per-subject HR correlation. The remaining pipeline components (reliability primitives, a doubly-robust AIPW confounding estimator under a user-supplied DAG, and a stratified fairness audit) are supporting infrastructure, validated on synthetic data in the supplement rather than claimed as empirical findings.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51"/>
    <w:bookmarkStart w:id="52"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(the three published methods consensus-reject a large fraction of windows accepted by the in-house threshold, which is the lone outlier) strengthened at n=15, but the pilot’s</w:t>
      </w:r>
      <w:r>
        <w:t xml:space="preserve"> </w:t>
      </w:r>
      <w:r>
        <w:t xml:space="preserve">“recalibration recovers fair agreement”</w:t>
      </w:r>
      <w:r>
        <w:t xml:space="preserve"> </w:t>
      </w:r>
      <w:r>
        <w:t xml:space="preserve">finding did not replicate. This is reported as an honest negative result in Section 3.3, stable across split strategies: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consensus-rejection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 multi-device wearable corpus would provide the natural next test.</w:t>
      </w:r>
    </w:p>
    <w:p>
      <w:pPr>
        <w:pStyle w:val="BodyText"/>
      </w:pPr>
      <w:r>
        <w:rPr>
          <w:b/>
          <w:bCs/>
        </w:rPr>
        <w:t xml:space="preserve">The in-house baseline is a simple motion threshold, not a validated quality index.</w:t>
      </w:r>
      <w:r>
        <w:t xml:space="preserve"> </w:t>
      </w:r>
      <w:r>
        <w:t xml:space="preserve">The in-house SQI used here is a motion-driven per-window score applied at a fixed 0.70 cutoff. At that cutoff it accepts essentially all windows on both datasets, and Table 6 shows it is close to a deterministic inverse of the motion estimate (Spearman -1.000), so we do not claim it is a calibrated or validated signal-quality index. A reader could reasonably object that rejecting windows such a score accepts is a low bar. We include it only as a stand-in for the common practice of applying a single fixed threshold to a motion-correlated quality score, and the substantive finding does not depend on it: the consensus-rejection result is a property of the three published methods agreeing on the same large fraction of windows (44.6% on WESAD, 43.1% on PPG-DaLiA; Section 3.2), independent of any in-house decision, and the threshold-sensitivity analysis shows the headline is unchanged across the full 0.50 to 0.95 range (Supplementary Table S5). The intended reading is not that the published methods beat the in-house threshold, but that three independently developed methods converge while a single motion threshold does not discriminate among windows at all.</w:t>
      </w:r>
    </w:p>
    <w:p>
      <w:pPr>
        <w:pStyle w:val="BodyText"/>
      </w:pPr>
      <w:r>
        <w:rPr>
          <w:b/>
          <w:bCs/>
        </w:rPr>
        <w:t xml:space="preserve">No hand-labeled signal-quality ground truth.</w:t>
      </w:r>
      <w:r>
        <w:t xml:space="preserve"> </w:t>
      </w:r>
      <w:r>
        <w:t xml:space="preserve">On WESAD and PPG-DaLiA the three published methods converge on a consensus-reject set while still differing on individual windows (raw agreement 56 to 78%); without hand-labeled signal-quality ground truth on these datasets, we cannot identify which method (if any) is correct on any specific disagreed-on window. The HR-agreement evidence in Section 3.6 is an indirect proxy: Orphanidou-passing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(supplement Section S10.2).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the All of Us Research Program.</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(supplement Section S10.3,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2.10)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2.10).</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Methodology study, not clinical validation.</w:t>
      </w:r>
      <w:r>
        <w:t xml:space="preserve"> </w:t>
      </w:r>
      <w:r>
        <w:t xml:space="preserve">This is a methodology paper rather than a clinical validation study.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would require prospective clinical validation with relevant device experience; the synthetic-cohort validation in Section 4 and the WESAD/PPG-DaLiA empirical study in Section 3 are methodological contributions rather than clinical findings.</w:t>
      </w:r>
    </w:p>
    <w:bookmarkEnd w:id="52"/>
    <w:bookmarkEnd w:id="53"/>
    <w:bookmarkStart w:id="54"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single fixed in-house threshold. The three methods agree with each other once base rates are accounted for (median Gwet’s AC1 = +0.32; the negative Cohen’s κ is a prevalence paradox) and converge on the consensus rejection set. Single-threshold recalibration at n = 15 does not recover agreement, and per-subject heterogeneity in cross-modality HR disagreement spans a four-fold range across subjects. Restricting downstream models to Orphanidou-passing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54"/>
    <w:bookmarkStart w:id="55"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55"/>
    <w:bookmarkStart w:id="56"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 Mehmet Ozberk Olcan: Writing - original draft, Writing - review and editing. Seckin Olcan: Writing - original draft, Writing - review and editing.</w:t>
      </w:r>
    </w:p>
    <w:bookmarkEnd w:id="56"/>
    <w:bookmarkStart w:id="57" w:name="funding"/>
    <w:p>
      <w:pPr>
        <w:pStyle w:val="Heading2"/>
      </w:pPr>
      <w:r>
        <w:t xml:space="preserve">Funding</w:t>
      </w:r>
    </w:p>
    <w:p>
      <w:pPr>
        <w:pStyle w:val="FirstParagraph"/>
      </w:pPr>
      <w:r>
        <w:t xml:space="preserve">No external funding supported this work.</w:t>
      </w:r>
    </w:p>
    <w:bookmarkEnd w:id="57"/>
    <w:bookmarkStart w:id="58" w:name="ethics-statement"/>
    <w:p>
      <w:pPr>
        <w:pStyle w:val="Heading2"/>
      </w:pPr>
      <w:r>
        <w:t xml:space="preserve">Ethics statement</w:t>
      </w:r>
    </w:p>
    <w:p>
      <w:pPr>
        <w:pStyle w:val="FirstParagraph"/>
      </w:pPr>
      <w:r>
        <w:t xml:space="preserve">This study is a secondary analysis of two publicly available datasets, WESAD</w:t>
      </w:r>
      <w:r>
        <w:t xml:space="preserve"> </w:t>
      </w:r>
      <w:r>
        <w:t xml:space="preserve">(Schmidt et al. 2018)</w:t>
      </w:r>
      <w:r>
        <w:t xml:space="preserve"> </w:t>
      </w:r>
      <w:r>
        <w:t xml:space="preserve">and PPG-DaLiA</w:t>
      </w:r>
      <w:r>
        <w:t xml:space="preserve"> </w:t>
      </w:r>
      <w:r>
        <w:t xml:space="preserve">(Reiss et al. 2019)</w:t>
      </w:r>
      <w:r>
        <w:t xml:space="preserve">, released under terms permitting research use. No new human-subjects data were collected; institutional review board approval was therefore not required for this work.</w:t>
      </w:r>
    </w:p>
    <w:bookmarkEnd w:id="58"/>
    <w:bookmarkStart w:id="59" w:name="competing-interests"/>
    <w:p>
      <w:pPr>
        <w:pStyle w:val="Heading2"/>
      </w:pPr>
      <w:r>
        <w:t xml:space="preserve">Competing interests</w:t>
      </w:r>
    </w:p>
    <w:p>
      <w:pPr>
        <w:pStyle w:val="FirstParagraph"/>
      </w:pPr>
      <w:r>
        <w:t xml:space="preserve">The authors declare no competing interests.</w:t>
      </w:r>
    </w:p>
    <w:bookmarkEnd w:id="59"/>
    <w:bookmarkStart w:id="115" w:name="references"/>
    <w:p>
      <w:pPr>
        <w:pStyle w:val="Heading2"/>
      </w:pPr>
      <w:r>
        <w:t xml:space="preserve">References</w:t>
      </w:r>
    </w:p>
    <w:bookmarkStart w:id="114" w:name="refs"/>
    <w:bookmarkStart w:id="61"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60">
        <w:r>
          <w:rPr>
            <w:rStyle w:val="Hyperlink"/>
          </w:rPr>
          <w:t xml:space="preserve">https://doi.org/10.1088/0967-3334/28/3/R01</w:t>
        </w:r>
      </w:hyperlink>
      <w:r>
        <w:t xml:space="preserve">.</w:t>
      </w:r>
    </w:p>
    <w:bookmarkEnd w:id="61"/>
    <w:bookmarkStart w:id="63"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62">
        <w:r>
          <w:rPr>
            <w:rStyle w:val="Hyperlink"/>
          </w:rPr>
          <w:t xml:space="preserve">https://doi.org/10.1038/s41746-020-0226-6</w:t>
        </w:r>
      </w:hyperlink>
      <w:r>
        <w:t xml:space="preserve">.</w:t>
      </w:r>
    </w:p>
    <w:bookmarkEnd w:id="63"/>
    <w:bookmarkStart w:id="65"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64">
        <w:r>
          <w:rPr>
            <w:rStyle w:val="Hyperlink"/>
          </w:rPr>
          <w:t xml:space="preserve">https://doi.org/10.1016/S0140-6736(86)90837-8</w:t>
        </w:r>
      </w:hyperlink>
      <w:r>
        <w:t xml:space="preserve">.</w:t>
      </w:r>
    </w:p>
    <w:bookmarkEnd w:id="65"/>
    <w:bookmarkStart w:id="67"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66">
        <w:r>
          <w:rPr>
            <w:rStyle w:val="Hyperlink"/>
          </w:rPr>
          <w:t xml:space="preserve">https://doi.org/10.1136/bmj.h5527</w:t>
        </w:r>
      </w:hyperlink>
      <w:r>
        <w:t xml:space="preserve">.</w:t>
      </w:r>
    </w:p>
    <w:bookmarkEnd w:id="67"/>
    <w:bookmarkStart w:id="69"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68">
        <w:r>
          <w:rPr>
            <w:rStyle w:val="Hyperlink"/>
          </w:rPr>
          <w:t xml:space="preserve">https://doi.org/10.1037/0033-2909.114.3.494</w:t>
        </w:r>
      </w:hyperlink>
      <w:r>
        <w:t xml:space="preserve">.</w:t>
      </w:r>
    </w:p>
    <w:bookmarkEnd w:id="69"/>
    <w:bookmarkStart w:id="71"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70">
        <w:r>
          <w:rPr>
            <w:rStyle w:val="Hyperlink"/>
          </w:rPr>
          <w:t xml:space="preserve">https://doi.org/10.1088/0967-3334/33/9/1419</w:t>
        </w:r>
      </w:hyperlink>
      <w:r>
        <w:t xml:space="preserve">.</w:t>
      </w:r>
    </w:p>
    <w:bookmarkEnd w:id="71"/>
    <w:bookmarkStart w:id="72"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72"/>
    <w:bookmarkStart w:id="74"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73">
        <w:r>
          <w:rPr>
            <w:rStyle w:val="Hyperlink"/>
          </w:rPr>
          <w:t xml:space="preserve">https://doi.org/10.1136/bmj-2023-078378</w:t>
        </w:r>
      </w:hyperlink>
      <w:r>
        <w:t xml:space="preserve">.</w:t>
      </w:r>
    </w:p>
    <w:bookmarkEnd w:id="74"/>
    <w:bookmarkStart w:id="75"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75"/>
    <w:bookmarkStart w:id="77"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76">
        <w:r>
          <w:rPr>
            <w:rStyle w:val="Hyperlink"/>
          </w:rPr>
          <w:t xml:space="preserve">https://doi.org/10.3390/bioengineering3040021</w:t>
        </w:r>
      </w:hyperlink>
      <w:r>
        <w:t xml:space="preserve">.</w:t>
      </w:r>
    </w:p>
    <w:bookmarkEnd w:id="77"/>
    <w:bookmarkStart w:id="79"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78">
        <w:r>
          <w:rPr>
            <w:rStyle w:val="Hyperlink"/>
          </w:rPr>
          <w:t xml:space="preserve">https://doi.org/10.1016/j.cmpb.2021.106461</w:t>
        </w:r>
      </w:hyperlink>
      <w:r>
        <w:t xml:space="preserve">.</w:t>
      </w:r>
    </w:p>
    <w:bookmarkEnd w:id="79"/>
    <w:bookmarkStart w:id="81"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80">
        <w:r>
          <w:rPr>
            <w:rStyle w:val="Hyperlink"/>
          </w:rPr>
          <w:t xml:space="preserve">https://doi.org/10.1038/s41591-020-1034-x</w:t>
        </w:r>
      </w:hyperlink>
      <w:r>
        <w:t xml:space="preserve">.</w:t>
      </w:r>
    </w:p>
    <w:bookmarkEnd w:id="81"/>
    <w:bookmarkStart w:id="83"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82">
        <w:r>
          <w:rPr>
            <w:rStyle w:val="Hyperlink"/>
          </w:rPr>
          <w:t xml:space="preserve">https://doi.org/10.1093/oxfordjournals.eurheartj.a014868</w:t>
        </w:r>
      </w:hyperlink>
      <w:r>
        <w:t xml:space="preserve">.</w:t>
      </w:r>
    </w:p>
    <w:bookmarkEnd w:id="83"/>
    <w:bookmarkStart w:id="85" w:name="ref-mclean2023sliding"/>
    <w:p>
      <w:pPr>
        <w:pStyle w:val="Bibliography"/>
      </w:pPr>
      <w:r>
        <w:t xml:space="preserve">McLean, Marnie K., R. Glenn Weaver, Abbi Lane, et al. 2023.</w:t>
      </w:r>
      <w:r>
        <w:t xml:space="preserve"> </w:t>
      </w:r>
      <w:r>
        <w:t xml:space="preserve">“A Sliding Scale Signal Quality Metric of Photoplethysmography Applicable to Measuring Heart Rate Across Clinical Contexts with Chest Mounting as a Case Study.”</w:t>
      </w:r>
      <w:r>
        <w:t xml:space="preserve"> </w:t>
      </w:r>
      <w:r>
        <w:rPr>
          <w:i/>
          <w:iCs/>
        </w:rPr>
        <w:t xml:space="preserve">Sensors</w:t>
      </w:r>
      <w:r>
        <w:t xml:space="preserve"> </w:t>
      </w:r>
      <w:r>
        <w:t xml:space="preserve">23 (7): 3429.</w:t>
      </w:r>
      <w:r>
        <w:t xml:space="preserve"> </w:t>
      </w:r>
      <w:hyperlink r:id="rId84">
        <w:r>
          <w:rPr>
            <w:rStyle w:val="Hyperlink"/>
          </w:rPr>
          <w:t xml:space="preserve">https://doi.org/10.3390/s23073429</w:t>
        </w:r>
      </w:hyperlink>
      <w:r>
        <w:t xml:space="preserve">.</w:t>
      </w:r>
    </w:p>
    <w:bookmarkEnd w:id="85"/>
    <w:bookmarkStart w:id="87"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86">
        <w:r>
          <w:rPr>
            <w:rStyle w:val="Hyperlink"/>
          </w:rPr>
          <w:t xml:space="preserve">https://doi.org/10.1016/B978-0-12-823374-0.00015-3</w:t>
        </w:r>
      </w:hyperlink>
      <w:r>
        <w:t xml:space="preserve">.</w:t>
      </w:r>
    </w:p>
    <w:bookmarkEnd w:id="87"/>
    <w:bookmarkStart w:id="89" w:name="ref-obermeyer2019"/>
    <w:p>
      <w:pPr>
        <w:pStyle w:val="Bibliography"/>
      </w:pPr>
      <w:r>
        <w:t xml:space="preserve">Obermeyer, Ziad, Brian Powers, Christine Vogeli, and Sendhil Mullainathan. 2019.</w:t>
      </w:r>
      <w:r>
        <w:t xml:space="preserve"> </w:t>
      </w:r>
      <w:r>
        <w:t xml:space="preserve">“Dissecting Racial Bias in an Algorithm Used to Manage the Health of Populations.”</w:t>
      </w:r>
      <w:r>
        <w:t xml:space="preserve"> </w:t>
      </w:r>
      <w:r>
        <w:rPr>
          <w:i/>
          <w:iCs/>
        </w:rPr>
        <w:t xml:space="preserve">Science</w:t>
      </w:r>
      <w:r>
        <w:t xml:space="preserve"> </w:t>
      </w:r>
      <w:r>
        <w:t xml:space="preserve">366 (6464): 447–53.</w:t>
      </w:r>
      <w:r>
        <w:t xml:space="preserve"> </w:t>
      </w:r>
      <w:hyperlink r:id="rId88">
        <w:r>
          <w:rPr>
            <w:rStyle w:val="Hyperlink"/>
          </w:rPr>
          <w:t xml:space="preserve">https://doi.org/10.1126/science.aax2342</w:t>
        </w:r>
      </w:hyperlink>
      <w:r>
        <w:t xml:space="preserve">.</w:t>
      </w:r>
    </w:p>
    <w:bookmarkEnd w:id="89"/>
    <w:bookmarkStart w:id="91"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90">
        <w:r>
          <w:rPr>
            <w:rStyle w:val="Hyperlink"/>
          </w:rPr>
          <w:t xml:space="preserve">https://doi.org/10.1109/JBHI.2014.2338351</w:t>
        </w:r>
      </w:hyperlink>
      <w:r>
        <w:t xml:space="preserve">.</w:t>
      </w:r>
    </w:p>
    <w:bookmarkEnd w:id="91"/>
    <w:bookmarkStart w:id="93"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92">
        <w:r>
          <w:rPr>
            <w:rStyle w:val="Hyperlink"/>
          </w:rPr>
          <w:t xml:space="preserve">https://doi.org/10.3390/s19143079</w:t>
        </w:r>
      </w:hyperlink>
      <w:r>
        <w:t xml:space="preserve">.</w:t>
      </w:r>
    </w:p>
    <w:bookmarkEnd w:id="93"/>
    <w:bookmarkStart w:id="95"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94">
        <w:r>
          <w:rPr>
            <w:rStyle w:val="Hyperlink"/>
          </w:rPr>
          <w:t xml:space="preserve">https://doi.org/10.1080/01621459.1994.10476818</w:t>
        </w:r>
      </w:hyperlink>
      <w:r>
        <w:t xml:space="preserve">.</w:t>
      </w:r>
    </w:p>
    <w:bookmarkEnd w:id="95"/>
    <w:bookmarkStart w:id="97"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96">
        <w:r>
          <w:rPr>
            <w:rStyle w:val="Hyperlink"/>
          </w:rPr>
          <w:t xml:space="preserve">https://doi.org/10.1016/j.ijcard.2012.03.119</w:t>
        </w:r>
      </w:hyperlink>
      <w:r>
        <w:t xml:space="preserve">.</w:t>
      </w:r>
    </w:p>
    <w:bookmarkEnd w:id="97"/>
    <w:bookmarkStart w:id="99"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98">
        <w:r>
          <w:rPr>
            <w:rStyle w:val="Hyperlink"/>
          </w:rPr>
          <w:t xml:space="preserve">https://doi.org/10.1145/3242969.3242985</w:t>
        </w:r>
      </w:hyperlink>
      <w:r>
        <w:t xml:space="preserve">.</w:t>
      </w:r>
    </w:p>
    <w:bookmarkEnd w:id="99"/>
    <w:bookmarkStart w:id="101"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100">
        <w:r>
          <w:rPr>
            <w:rStyle w:val="Hyperlink"/>
          </w:rPr>
          <w:t xml:space="preserve">https://doi.org/10.3390/jpm7020003</w:t>
        </w:r>
      </w:hyperlink>
      <w:r>
        <w:t xml:space="preserve">.</w:t>
      </w:r>
    </w:p>
    <w:bookmarkEnd w:id="101"/>
    <w:bookmarkStart w:id="103"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02">
        <w:r>
          <w:rPr>
            <w:rStyle w:val="Hyperlink"/>
          </w:rPr>
          <w:t xml:space="preserve">https://doi.org/10.1037/0033-2909.86.2.420</w:t>
        </w:r>
      </w:hyperlink>
      <w:r>
        <w:t xml:space="preserve">.</w:t>
      </w:r>
    </w:p>
    <w:bookmarkEnd w:id="103"/>
    <w:bookmarkStart w:id="105" w:name="ref-sjoding2020"/>
    <w:p>
      <w:pPr>
        <w:pStyle w:val="Bibliography"/>
      </w:pPr>
      <w:r>
        <w:t xml:space="preserve">Sjoding, Michael W, Robert P Dickson, Theodore J Iwashyna, Steven E Gay, and Thomas S Valley. 2020.</w:t>
      </w:r>
      <w:r>
        <w:t xml:space="preserve"> </w:t>
      </w:r>
      <w:r>
        <w:t xml:space="preserve">“Racial Bias in Pulse Oximetry Measurement.”</w:t>
      </w:r>
      <w:r>
        <w:t xml:space="preserve"> </w:t>
      </w:r>
      <w:r>
        <w:rPr>
          <w:i/>
          <w:iCs/>
        </w:rPr>
        <w:t xml:space="preserve">New England Journal of Medicine</w:t>
      </w:r>
      <w:r>
        <w:t xml:space="preserve"> </w:t>
      </w:r>
      <w:r>
        <w:t xml:space="preserve">383 (25): 2477–78.</w:t>
      </w:r>
      <w:r>
        <w:t xml:space="preserve"> </w:t>
      </w:r>
      <w:hyperlink r:id="rId104">
        <w:r>
          <w:rPr>
            <w:rStyle w:val="Hyperlink"/>
          </w:rPr>
          <w:t xml:space="preserve">https://doi.org/10.1056/NEJMc2029240</w:t>
        </w:r>
      </w:hyperlink>
      <w:r>
        <w:t xml:space="preserve">.</w:t>
      </w:r>
    </w:p>
    <w:bookmarkEnd w:id="105"/>
    <w:bookmarkStart w:id="107"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106">
        <w:r>
          <w:rPr>
            <w:rStyle w:val="Hyperlink"/>
          </w:rPr>
          <w:t xml:space="preserve">https://doi.org/10.1088/0967-3334/32/3/008</w:t>
        </w:r>
      </w:hyperlink>
      <w:r>
        <w:t xml:space="preserve">.</w:t>
      </w:r>
    </w:p>
    <w:bookmarkEnd w:id="107"/>
    <w:bookmarkStart w:id="109"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08">
        <w:r>
          <w:rPr>
            <w:rStyle w:val="Hyperlink"/>
          </w:rPr>
          <w:t xml:space="preserve">https://doi.org/10.1038/s41591-022-01772-9</w:t>
        </w:r>
      </w:hyperlink>
      <w:r>
        <w:t xml:space="preserve">.</w:t>
      </w:r>
    </w:p>
    <w:bookmarkEnd w:id="109"/>
    <w:bookmarkStart w:id="111" w:name="ref-vyas2020"/>
    <w:p>
      <w:pPr>
        <w:pStyle w:val="Bibliography"/>
      </w:pPr>
      <w:r>
        <w:t xml:space="preserve">Vyas, Darshali A, Leo G Eisenstein, and David S Jones. 2020.</w:t>
      </w:r>
      <w:r>
        <w:t xml:space="preserve"> </w:t>
      </w:r>
      <w:r>
        <w:t xml:space="preserve">“Hidden in Plain Sight—Reconsidering the Use of Race Correction in Clinical Algorithms.”</w:t>
      </w:r>
      <w:r>
        <w:t xml:space="preserve"> </w:t>
      </w:r>
      <w:r>
        <w:rPr>
          <w:i/>
          <w:iCs/>
        </w:rPr>
        <w:t xml:space="preserve">New England Journal of Medicine</w:t>
      </w:r>
      <w:r>
        <w:t xml:space="preserve"> </w:t>
      </w:r>
      <w:r>
        <w:t xml:space="preserve">383 (9): 874–82.</w:t>
      </w:r>
      <w:r>
        <w:t xml:space="preserve"> </w:t>
      </w:r>
      <w:hyperlink r:id="rId110">
        <w:r>
          <w:rPr>
            <w:rStyle w:val="Hyperlink"/>
          </w:rPr>
          <w:t xml:space="preserve">https://doi.org/10.1056/NEJMms2004740</w:t>
        </w:r>
      </w:hyperlink>
      <w:r>
        <w:t xml:space="preserve">.</w:t>
      </w:r>
    </w:p>
    <w:bookmarkEnd w:id="111"/>
    <w:bookmarkStart w:id="113"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12">
        <w:r>
          <w:rPr>
            <w:rStyle w:val="Hyperlink"/>
          </w:rPr>
          <w:t xml:space="preserve">https://doi.org/10.2307/3001968</w:t>
        </w:r>
      </w:hyperlink>
      <w:r>
        <w:t xml:space="preserve">.</w:t>
      </w:r>
    </w:p>
    <w:bookmarkEnd w:id="113"/>
    <w:bookmarkEnd w:id="114"/>
    <w:bookmarkEnd w:id="115"/>
    <w:bookmarkStart w:id="116"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End w:id="116"/>
    <w:bookmarkEnd w:id="117"/>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hyperlink" Id="rId86" Target="https://doi.org/10.1016/B978-0-12-823374-0.00015-3" TargetMode="External" /><Relationship Type="http://schemas.openxmlformats.org/officeDocument/2006/relationships/hyperlink" Id="rId64" Target="https://doi.org/10.1016/S0140-6736(86)90837-8" TargetMode="External" /><Relationship Type="http://schemas.openxmlformats.org/officeDocument/2006/relationships/hyperlink" Id="rId78" Target="https://doi.org/10.1016/j.cmpb.2021.106461" TargetMode="External" /><Relationship Type="http://schemas.openxmlformats.org/officeDocument/2006/relationships/hyperlink" Id="rId96" Target="https://doi.org/10.1016/j.ijcard.2012.03.119" TargetMode="External" /><Relationship Type="http://schemas.openxmlformats.org/officeDocument/2006/relationships/hyperlink" Id="rId68" Target="https://doi.org/10.1037/0033-2909.114.3.494" TargetMode="External" /><Relationship Type="http://schemas.openxmlformats.org/officeDocument/2006/relationships/hyperlink" Id="rId102" Target="https://doi.org/10.1037/0033-2909.86.2.420" TargetMode="External" /><Relationship Type="http://schemas.openxmlformats.org/officeDocument/2006/relationships/hyperlink" Id="rId80" Target="https://doi.org/10.1038/s41591-020-1034-x" TargetMode="External" /><Relationship Type="http://schemas.openxmlformats.org/officeDocument/2006/relationships/hyperlink" Id="rId108" Target="https://doi.org/10.1038/s41591-022-01772-9" TargetMode="External" /><Relationship Type="http://schemas.openxmlformats.org/officeDocument/2006/relationships/hyperlink" Id="rId62" Target="https://doi.org/10.1038/s41746-020-0226-6" TargetMode="External" /><Relationship Type="http://schemas.openxmlformats.org/officeDocument/2006/relationships/hyperlink" Id="rId104" Target="https://doi.org/10.1056/NEJMc2029240" TargetMode="External" /><Relationship Type="http://schemas.openxmlformats.org/officeDocument/2006/relationships/hyperlink" Id="rId110" Target="https://doi.org/10.1056/NEJMms2004740" TargetMode="External" /><Relationship Type="http://schemas.openxmlformats.org/officeDocument/2006/relationships/hyperlink" Id="rId94" Target="https://doi.org/10.1080/01621459.1994.10476818" TargetMode="External" /><Relationship Type="http://schemas.openxmlformats.org/officeDocument/2006/relationships/hyperlink" Id="rId60" Target="https://doi.org/10.1088/0967-3334/28/3/R01" TargetMode="External" /><Relationship Type="http://schemas.openxmlformats.org/officeDocument/2006/relationships/hyperlink" Id="rId106" Target="https://doi.org/10.1088/0967-3334/32/3/008" TargetMode="External" /><Relationship Type="http://schemas.openxmlformats.org/officeDocument/2006/relationships/hyperlink" Id="rId70" Target="https://doi.org/10.1088/0967-3334/33/9/1419" TargetMode="External" /><Relationship Type="http://schemas.openxmlformats.org/officeDocument/2006/relationships/hyperlink" Id="rId82" Target="https://doi.org/10.1093/oxfordjournals.eurheartj.a014868" TargetMode="External" /><Relationship Type="http://schemas.openxmlformats.org/officeDocument/2006/relationships/hyperlink" Id="rId90" Target="https://doi.org/10.1109/JBHI.2014.2338351" TargetMode="External" /><Relationship Type="http://schemas.openxmlformats.org/officeDocument/2006/relationships/hyperlink" Id="rId88" Target="https://doi.org/10.1126/science.aax2342" TargetMode="External" /><Relationship Type="http://schemas.openxmlformats.org/officeDocument/2006/relationships/hyperlink" Id="rId73" Target="https://doi.org/10.1136/bmj-2023-078378" TargetMode="External" /><Relationship Type="http://schemas.openxmlformats.org/officeDocument/2006/relationships/hyperlink" Id="rId66" Target="https://doi.org/10.1136/bmj.h5527" TargetMode="External" /><Relationship Type="http://schemas.openxmlformats.org/officeDocument/2006/relationships/hyperlink" Id="rId98" Target="https://doi.org/10.1145/3242969.3242985" TargetMode="External" /><Relationship Type="http://schemas.openxmlformats.org/officeDocument/2006/relationships/hyperlink" Id="rId112" Target="https://doi.org/10.2307/3001968" TargetMode="External" /><Relationship Type="http://schemas.openxmlformats.org/officeDocument/2006/relationships/hyperlink" Id="rId76" Target="https://doi.org/10.3390/bioengineering3040021" TargetMode="External" /><Relationship Type="http://schemas.openxmlformats.org/officeDocument/2006/relationships/hyperlink" Id="rId100" Target="https://doi.org/10.3390/jpm7020003" TargetMode="External" /><Relationship Type="http://schemas.openxmlformats.org/officeDocument/2006/relationships/hyperlink" Id="rId92" Target="https://doi.org/10.3390/s19143079" TargetMode="External" /><Relationship Type="http://schemas.openxmlformats.org/officeDocument/2006/relationships/hyperlink" Id="rId84"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_rels/footnotes.xml.rels><?xml version="1.0" encoding="UTF-8"?><Relationships xmlns="http://schemas.openxmlformats.org/package/2006/relationships"><Relationship Type="http://schemas.openxmlformats.org/officeDocument/2006/relationships/hyperlink" Id="rId86" Target="https://doi.org/10.1016/B978-0-12-823374-0.00015-3" TargetMode="External" /><Relationship Type="http://schemas.openxmlformats.org/officeDocument/2006/relationships/hyperlink" Id="rId64" Target="https://doi.org/10.1016/S0140-6736(86)90837-8" TargetMode="External" /><Relationship Type="http://schemas.openxmlformats.org/officeDocument/2006/relationships/hyperlink" Id="rId78" Target="https://doi.org/10.1016/j.cmpb.2021.106461" TargetMode="External" /><Relationship Type="http://schemas.openxmlformats.org/officeDocument/2006/relationships/hyperlink" Id="rId96" Target="https://doi.org/10.1016/j.ijcard.2012.03.119" TargetMode="External" /><Relationship Type="http://schemas.openxmlformats.org/officeDocument/2006/relationships/hyperlink" Id="rId68" Target="https://doi.org/10.1037/0033-2909.114.3.494" TargetMode="External" /><Relationship Type="http://schemas.openxmlformats.org/officeDocument/2006/relationships/hyperlink" Id="rId102" Target="https://doi.org/10.1037/0033-2909.86.2.420" TargetMode="External" /><Relationship Type="http://schemas.openxmlformats.org/officeDocument/2006/relationships/hyperlink" Id="rId80" Target="https://doi.org/10.1038/s41591-020-1034-x" TargetMode="External" /><Relationship Type="http://schemas.openxmlformats.org/officeDocument/2006/relationships/hyperlink" Id="rId108" Target="https://doi.org/10.1038/s41591-022-01772-9" TargetMode="External" /><Relationship Type="http://schemas.openxmlformats.org/officeDocument/2006/relationships/hyperlink" Id="rId62" Target="https://doi.org/10.1038/s41746-020-0226-6" TargetMode="External" /><Relationship Type="http://schemas.openxmlformats.org/officeDocument/2006/relationships/hyperlink" Id="rId104" Target="https://doi.org/10.1056/NEJMc2029240" TargetMode="External" /><Relationship Type="http://schemas.openxmlformats.org/officeDocument/2006/relationships/hyperlink" Id="rId110" Target="https://doi.org/10.1056/NEJMms2004740" TargetMode="External" /><Relationship Type="http://schemas.openxmlformats.org/officeDocument/2006/relationships/hyperlink" Id="rId94" Target="https://doi.org/10.1080/01621459.1994.10476818" TargetMode="External" /><Relationship Type="http://schemas.openxmlformats.org/officeDocument/2006/relationships/hyperlink" Id="rId60" Target="https://doi.org/10.1088/0967-3334/28/3/R01" TargetMode="External" /><Relationship Type="http://schemas.openxmlformats.org/officeDocument/2006/relationships/hyperlink" Id="rId106" Target="https://doi.org/10.1088/0967-3334/32/3/008" TargetMode="External" /><Relationship Type="http://schemas.openxmlformats.org/officeDocument/2006/relationships/hyperlink" Id="rId70" Target="https://doi.org/10.1088/0967-3334/33/9/1419" TargetMode="External" /><Relationship Type="http://schemas.openxmlformats.org/officeDocument/2006/relationships/hyperlink" Id="rId82" Target="https://doi.org/10.1093/oxfordjournals.eurheartj.a014868" TargetMode="External" /><Relationship Type="http://schemas.openxmlformats.org/officeDocument/2006/relationships/hyperlink" Id="rId90" Target="https://doi.org/10.1109/JBHI.2014.2338351" TargetMode="External" /><Relationship Type="http://schemas.openxmlformats.org/officeDocument/2006/relationships/hyperlink" Id="rId88" Target="https://doi.org/10.1126/science.aax2342" TargetMode="External" /><Relationship Type="http://schemas.openxmlformats.org/officeDocument/2006/relationships/hyperlink" Id="rId73" Target="https://doi.org/10.1136/bmj-2023-078378" TargetMode="External" /><Relationship Type="http://schemas.openxmlformats.org/officeDocument/2006/relationships/hyperlink" Id="rId66" Target="https://doi.org/10.1136/bmj.h5527" TargetMode="External" /><Relationship Type="http://schemas.openxmlformats.org/officeDocument/2006/relationships/hyperlink" Id="rId98" Target="https://doi.org/10.1145/3242969.3242985" TargetMode="External" /><Relationship Type="http://schemas.openxmlformats.org/officeDocument/2006/relationships/hyperlink" Id="rId112" Target="https://doi.org/10.2307/3001968" TargetMode="External" /><Relationship Type="http://schemas.openxmlformats.org/officeDocument/2006/relationships/hyperlink" Id="rId76" Target="https://doi.org/10.3390/bioengineering3040021" TargetMode="External" /><Relationship Type="http://schemas.openxmlformats.org/officeDocument/2006/relationships/hyperlink" Id="rId100" Target="https://doi.org/10.3390/jpm7020003" TargetMode="External" /><Relationship Type="http://schemas.openxmlformats.org/officeDocument/2006/relationships/hyperlink" Id="rId92" Target="https://doi.org/10.3390/s19143079" TargetMode="External" /><Relationship Type="http://schemas.openxmlformats.org/officeDocument/2006/relationships/hyperlink" Id="rId84"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2026-05-31T04:32:11Z</dcterms:created>
  <dcterms:modified xsi:type="dcterms:W3CDTF">2026-05-31T04:32:11Z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