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24.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5" w:name="references"/>
    <w:p>
      <w:pPr>
        <w:pStyle w:val="Heading2"/>
      </w:pPr>
      <w:r>
        <w:t xml:space="preserve">References</w:t>
      </w:r>
    </w:p>
    <w:bookmarkEnd w:id="15"/>
    <w:bookmarkStart w:id="19" w:name="X862d6072542f48d698c2bf79db7c83b6aa8b908"/>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7" name="Picture"/>
            <a:graphic>
              <a:graphicData uri="http://schemas.openxmlformats.org/drawingml/2006/picture">
                <pic:pic>
                  <pic:nvPicPr>
                    <pic:cNvPr descr="paper/figures/figS2_threshold_sensitivity.png" id="18" name="Picture"/>
                    <pic:cNvPicPr>
                      <a:picLocks noChangeArrowheads="1" noChangeAspect="1"/>
                    </pic:cNvPicPr>
                  </pic:nvPicPr>
                  <pic:blipFill>
                    <a:blip r:embed="rId16"/>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9"/>
    <w:bookmarkStart w:id="23"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1" name="Picture"/>
            <a:graphic>
              <a:graphicData uri="http://schemas.openxmlformats.org/drawingml/2006/picture">
                <pic:pic>
                  <pic:nvPicPr>
                    <pic:cNvPr descr="paper/figures/figS3_loso_recalibration.png" id="22" name="Picture"/>
                    <pic:cNvPicPr>
                      <a:picLocks noChangeArrowheads="1" noChangeAspect="1"/>
                    </pic:cNvPicPr>
                  </pic:nvPicPr>
                  <pic:blipFill>
                    <a:blip r:embed="rId20"/>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3"/>
    <w:bookmarkStart w:id="27" w:name="X85a902ec8e3f7eb9ff8083c7a077c6555cf8b03"/>
    <w:p>
      <w:pPr>
        <w:pStyle w:val="Heading2"/>
      </w:pPr>
      <w:r>
        <w:t xml:space="preserve">S9. Consensus rejection: alternative view of the headline finding</w:t>
      </w:r>
    </w:p>
    <w:p>
      <w:pPr>
        <w:pStyle w:val="FirstParagraph"/>
      </w:pPr>
      <w:r>
        <w:t xml:space="preserve">The main-text Figure 1 (UpSet plot) shows the full cross-method acceptance structure on WESAD and PPG-DaLiA, with rejection by all three methods as the largest single category on both. Supplementary Figure S4 provides a complementary stacked-bar view of the same finding on WESAD: of 6,585 5-second windows, the in-house pipeline accepts every one (100.0%), but applying the three independently developed published methods simultaneously rejects 2,935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 title="" id="25" name="Picture"/>
            <a:graphic>
              <a:graphicData uri="http://schemas.openxmlformats.org/drawingml/2006/picture">
                <pic:pic>
                  <pic:nvPicPr>
                    <pic:cNvPr descr="paper/figures/fig4_rejection_cascade.png" id="26" name="Picture"/>
                    <pic:cNvPicPr>
                      <a:picLocks noChangeArrowheads="1" noChangeAspect="1"/>
                    </pic:cNvPicPr>
                  </pic:nvPicPr>
                  <pic:blipFill>
                    <a:blip r:embed="rId24"/>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w:t>
      </w:r>
    </w:p>
    <w:bookmarkEnd w:id="27"/>
    <w:bookmarkStart w:id="46" w:name="X04ab08bc3407dee7c546d17ca973c428093030b"/>
    <w:p>
      <w:pPr>
        <w:pStyle w:val="Heading2"/>
      </w:pPr>
      <w:r>
        <w:t xml:space="preserve">S10. Methodological validation on synthetic data</w:t>
      </w:r>
    </w:p>
    <w:bookmarkStart w:id="31"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9" name="Picture"/>
            <a:graphic>
              <a:graphicData uri="http://schemas.openxmlformats.org/drawingml/2006/picture">
                <pic:pic>
                  <pic:nvPicPr>
                    <pic:cNvPr descr="paper/figures/fig2_synthetic_headline.png" id="30" name="Picture"/>
                    <pic:cNvPicPr>
                      <a:picLocks noChangeArrowheads="1" noChangeAspect="1"/>
                    </pic:cNvPicPr>
                  </pic:nvPicPr>
                  <pic:blipFill>
                    <a:blip r:embed="rId28"/>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1"/>
    <w:bookmarkStart w:id="32"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5"/>
    <w:bookmarkStart w:id="36"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6"/>
    <w:bookmarkStart w:id="45"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8" name="Picture"/>
            <a:graphic>
              <a:graphicData uri="http://schemas.openxmlformats.org/drawingml/2006/picture">
                <pic:pic>
                  <pic:nvPicPr>
                    <pic:cNvPr descr="paper/figures/fig3_cross_cohort.png" id="39" name="Picture"/>
                    <pic:cNvPicPr>
                      <a:picLocks noChangeArrowheads="1" noChangeAspect="1"/>
                    </pic:cNvPicPr>
                  </pic:nvPicPr>
                  <pic:blipFill>
                    <a:blip r:embed="rId37"/>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Start w:id="44" w:name="refs"/>
    <w:bookmarkStart w:id="4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0">
        <w:r>
          <w:rPr>
            <w:rStyle w:val="Hyperlink"/>
          </w:rPr>
          <w:t xml:space="preserve">https://doi.org/10.1037/0033-2909.114.3.494</w:t>
        </w:r>
      </w:hyperlink>
      <w:r>
        <w:t xml:space="preserve">.</w:t>
      </w:r>
    </w:p>
    <w:bookmarkEnd w:id="41"/>
    <w:bookmarkStart w:id="43"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2">
        <w:r>
          <w:rPr>
            <w:rStyle w:val="Hyperlink"/>
          </w:rPr>
          <w:t xml:space="preserve">https://doi.org/10.7326/M16-2607</w:t>
        </w:r>
      </w:hyperlink>
      <w:r>
        <w:t xml:space="preserve">.</w:t>
      </w:r>
    </w:p>
    <w:bookmarkEnd w:id="43"/>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2026-05-31T04:32:11Z</dcterms:created>
  <dcterms:modified xsi:type="dcterms:W3CDTF">2026-05-31T04:32:11Z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