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5706139"/>
            <wp:effectExtent b="0" l="0" r="0" t="0"/>
            <wp:docPr descr="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 title="" id="14" name="Picture"/>
            <a:graphic>
              <a:graphicData uri="http://schemas.openxmlformats.org/drawingml/2006/picture">
                <pic:pic>
                  <pic:nvPicPr>
                    <pic:cNvPr descr="paper/figures/fig1_upset.png" id="15" name="Picture"/>
                    <pic:cNvPicPr>
                      <a:picLocks noChangeArrowheads="1" noChangeAspect="1"/>
                    </pic:cNvPicPr>
                  </pic:nvPicPr>
                  <pic:blipFill>
                    <a:blip r:embed="rId13"/>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the alternative to test.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filtering to a timing-based SQI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methods and feature-extraction toolkits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and prior work has argued that a single quality threshold cannot serve all measurement contexts</w:t>
      </w:r>
      <w:r>
        <w:t xml:space="preserve"> </w:t>
      </w:r>
      <w:r>
        <w:t xml:space="preserve">(McLean et al. 2023)</w:t>
      </w:r>
      <w:r>
        <w:t xml:space="preserve">. What that literature has not done is quantify, on a public real-wearable-PPG benchmark, how far the published SQI methods agree with one another and what audit-based filtering does to downstream biomarker estimation. That empirical question is the contribution here: on WESAD and PPG-DaLiA the three published methods reach prevalence-insensitive agreement and consensus-reject a large window population that a single fixed in-house threshold accepts, and filtering to a timing-based published SQI improves per-subject HR correlation. The remaining pipeline components (reliability primitives, a doubly-robust AIPW confounding estimator under a user-supplied DAG, and a stratified fairness audit) are supporting infrastructure, validated on synthetic data in the supplement rather than claimed as empirical findings.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both from the UCI Machine Learning Repository: WESAD</w:t>
      </w:r>
      <w:r>
        <w:t xml:space="preserve"> </w:t>
      </w:r>
      <w:r>
        <w:t xml:space="preserve">(Schmidt et al. 2018)</w:t>
      </w:r>
      <w:r>
        <w:t xml:space="preserve"> </w:t>
      </w:r>
      <w:r>
        <w:t xml:space="preserve">(https://archive.ics.uci.edu/dataset/465/wesad+wearable+stress+and+affect+detection, DOI 10.24432/C57K5T) and PPG-DaLiA</w:t>
      </w:r>
      <w:r>
        <w:t xml:space="preserve"> </w:t>
      </w:r>
      <w:r>
        <w:t xml:space="preserve">(Reiss et al. 2019)</w:t>
      </w:r>
      <w:r>
        <w:t xml:space="preserve"> </w:t>
      </w:r>
      <w:r>
        <w:t xml:space="preserve">(https://archive.ics.uci.edu/dataset/495/ppg+dalia, DOI 10.24432/C53890). PPG-DaLiA is released under a Creative Commons Attribution 4.0 (CC BY 4.0) license; both datasets are available for research use under the terms stated on their UCI pages.</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2026-06-02T01:03:04Z</dcterms:created>
  <dcterms:modified xsi:type="dcterms:W3CDTF">2026-06-02T01:03:04Z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