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33.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2a6ad74602addf8e6cd2d7e44f3b1c0d89e76e6"/>
    <w:p>
      <w:pPr>
        <w:pStyle w:val="Heading1"/>
      </w:pPr>
      <w:r>
        <w:t xml:space="preserve">A Single Signal-Quality Threshold Is Insufficient for Wearable Photoplethysmography: A Multi-Baseline Audit on WESAD and PPG-DaLiA</w:t>
      </w:r>
    </w:p>
    <w:p>
      <w:pPr>
        <w:pStyle w:val="FirstParagraph"/>
      </w:pPr>
      <w:r>
        <w:rPr>
          <w:b/>
          <w:bCs/>
        </w:rPr>
        <w:t xml:space="preserve">Authors.</w:t>
      </w:r>
      <w:r>
        <w:t xml:space="preserve"> </w:t>
      </w:r>
      <w:r>
        <w:t xml:space="preserve">Ceyhun Olcan¹, Mehmet Ozberk Olcan², Seckin Olcan²</w:t>
      </w:r>
    </w:p>
    <w:p>
      <w:pPr>
        <w:pStyle w:val="BodyText"/>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t xml:space="preserve">² Faculty of Medicine, Cukurova University, Adana, Turkey.</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 Mehmet Ozberk Olcan:</w:t>
      </w:r>
      <w:r>
        <w:t xml:space="preserve"> </w:t>
      </w:r>
      <w:hyperlink r:id="rId10">
        <w:r>
          <w:rPr>
            <w:rStyle w:val="Hyperlink"/>
          </w:rPr>
          <w:t xml:space="preserve">0009-0003-5233-4475</w:t>
        </w:r>
      </w:hyperlink>
      <w:r>
        <w:t xml:space="preserve">; Seckin Olcan:</w:t>
      </w:r>
      <w:r>
        <w:t xml:space="preserve"> </w:t>
      </w:r>
      <w:hyperlink r:id="rId11">
        <w:r>
          <w:rPr>
            <w:rStyle w:val="Hyperlink"/>
          </w:rPr>
          <w:t xml:space="preserve">0009-0007-4033-7491</w:t>
        </w:r>
      </w:hyperlink>
      <w:r>
        <w:t xml:space="preserve">.</w:t>
      </w:r>
    </w:p>
    <w:bookmarkStart w:id="12"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single fixed in-house threshold, and replicated the analysis on the public PPG-DaLiA dataset</w:t>
      </w:r>
      <w:r>
        <w:t xml:space="preserve"> </w:t>
      </w:r>
      <w:r>
        <w:t xml:space="preserve">(Reiss et al. 2019)</w:t>
      </w:r>
      <w:r>
        <w:t xml:space="preserve"> </w:t>
      </w:r>
      <w:r>
        <w:t xml:space="preserve">(n = 15 subjects, 18,781 windows; same hardware family, different activity paradigm).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synthetic-cohort validation of the remaining pipeline components is reported in the supplement.</w:t>
      </w:r>
    </w:p>
    <w:p>
      <w:pPr>
        <w:pStyle w:val="BodyText"/>
      </w:pPr>
      <w:r>
        <w:rPr>
          <w:b/>
          <w:bCs/>
        </w:rPr>
        <w:t xml:space="preserve">Results.</w:t>
      </w:r>
      <w:r>
        <w:t xml:space="preserve"> </w:t>
      </w:r>
      <w:r>
        <w:t xml:space="preserve">The three published methods agreed with each other (median Gwet’s AC1 = +0.32, mean raw agreement 63%; Cohen’s κ was negative on two of three pairs, a prevalence paradox from their shared 74 to 78% rejection rate) and converged on rejecting 44.6% of windows that the in-house threshold accepted, with each method testing a different physical property of the pulse waveform. The in-house threshold was the lone outlier, in negative chance-corrected agreement with every published method (Gwet’s AC1 -0.40 to -0.50); its Cohen’s κ of 0.000 against each is a degeneracy from its 100% pass rate, not evidence of independence.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an improvement absent under matched random window retention and specific to the timing-based SQIs.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published-method Gwet’s AC1 +0.28 (vs +0.32), with the in-house threshold the lone outlier on both.</w:t>
      </w:r>
    </w:p>
    <w:p>
      <w:pPr>
        <w:pStyle w:val="BodyText"/>
      </w:pPr>
      <w:r>
        <w:rPr>
          <w:b/>
          <w:bCs/>
        </w:rPr>
        <w:t xml:space="preserve">Conclusions.</w:t>
      </w:r>
      <w:r>
        <w:t xml:space="preserve"> </w:t>
      </w:r>
      <w:r>
        <w:t xml:space="preserve">On a public wearable-PPG benchmark, three independently developed signal-quality methods reject a large fraction of windows that a single fixed in-house threshold accepts,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2"/>
    <w:bookmarkStart w:id="16"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(Föll et al. 2021)</w:t>
      </w:r>
      <w:r>
        <w:t xml:space="preserve">.</w:t>
      </w:r>
    </w:p>
    <w:p>
      <w:pPr>
        <w:pStyle w:val="BodyText"/>
      </w:pPr>
      <w:r>
        <w:t xml:space="preserve">Prior work has argued that a single quality threshold cannot serve all measurement contexts and has proposed sliding-scale quality metrics validated against visual inspection</w:t>
      </w:r>
      <w:r>
        <w:t xml:space="preserve"> </w:t>
      </w:r>
      <w:r>
        <w:t xml:space="preserve">(McLean et al. 2023)</w:t>
      </w:r>
      <w:r>
        <w:t xml:space="preserve">. 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agree with each other once base rates are accounted for (median Gwet’s AC1 = +0.32; Cohen’s κ is negative on two of the three pairs, a prevalence paradox) and converge on rejecting 44.6% of windows that a single fixed in-house threshold accepts; single-threshold recalibration at n = 15 does not recover agreement; and audit-based filtering improves downstream per-subject HR correlation by a median of +0.110. To enable reproducibility and reuse, the audit pipeline is implemented as an open-source Python toolkit (</w:t>
      </w:r>
      <w:r>
        <w:rPr>
          <w:rStyle w:val="VerbatimChar"/>
        </w:rPr>
        <w:t xml:space="preserve">biomedical-signal-forensics-lab</w:t>
      </w:r>
      <w:r>
        <w:t xml:space="preserve">, MIT licensed); additional pipeline components (reliability, causal-adjusted confounding, and fairness analysis) are validated on synthetic data in the supplement. The empirical contribution of this paper is the cross-method SQI consensus-rejection finding; the toolkit is the supporting infrastructure that made it reproducible.</w:t>
      </w:r>
    </w:p>
    <w:p>
      <w:pPr>
        <w:pStyle w:val="CaptionedFigure"/>
      </w:pPr>
      <w:r>
        <w:drawing>
          <wp:inline>
            <wp:extent cx="5334000" cy="5706139"/>
            <wp:effectExtent b="0" l="0" r="0" t="0"/>
            <wp:docPr descr="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 title="" id="14" name="Picture"/>
            <a:graphic>
              <a:graphicData uri="http://schemas.openxmlformats.org/drawingml/2006/picture">
                <pic:pic>
                  <pic:nvPicPr>
                    <pic:cNvPr descr="paper/figures/fig1_upset.png" id="15" name="Picture"/>
                    <pic:cNvPicPr>
                      <a:picLocks noChangeArrowheads="1" noChangeAspect="1"/>
                    </pic:cNvPicPr>
                  </pic:nvPicPr>
                  <pic:blipFill>
                    <a:blip r:embed="rId13"/>
                    <a:stretch>
                      <a:fillRect/>
                    </a:stretch>
                  </pic:blipFill>
                  <pic:spPr bwMode="auto">
                    <a:xfrm>
                      <a:off x="0" y="0"/>
                      <a:ext cx="5334000" cy="5706139"/>
                    </a:xfrm>
                    <a:prstGeom prst="rect">
                      <a:avLst/>
                    </a:prstGeom>
                    <a:noFill/>
                    <a:ln w="9525">
                      <a:noFill/>
                      <a:headEnd/>
                      <a:tailEnd/>
                    </a:ln>
                  </pic:spPr>
                </pic:pic>
              </a:graphicData>
            </a:graphic>
          </wp:inline>
        </w:drawing>
      </w:r>
    </w:p>
    <w:p>
      <w:pPr>
        <w:pStyle w:val="ImageCaption"/>
      </w:pPr>
      <w:r>
        <w:t xml:space="preserve">Figure 1. Cross-method acceptance structure of three independently developed published wrist-PPG signal-quality methods on (a) WESAD (n = 6,585 5-second windows) and (b) PPG-DaLiA (n = 18,781 windows), shown as UpSet plots. Each column is a combination of methods that accept a window; bar height is the number of windows in that combination, and the dot matrix below marks which methods make up each combination. On both datasets the largest single category is rejection by all three methods (consensus reject: 2,935 windows, 44.6%, on WESAD; 8,100 windows, 43.1%, on PPG-DaLiA), and the largest acceptance-agreement cell is Orphanidou with Sukor, the two timing-based methods. Windows accepted by all three methods are rare (0.5% and 0.7%), so the cross-method agreement is concentrated in the consensus-reject set rather than in co-acceptance.</w:t>
      </w:r>
    </w:p>
    <w:bookmarkEnd w:id="16"/>
    <w:bookmarkStart w:id="27" w:name="methods"/>
    <w:p>
      <w:pPr>
        <w:pStyle w:val="Heading2"/>
      </w:pPr>
      <w:r>
        <w:t xml:space="preserve">2. Methods</w:t>
      </w:r>
    </w:p>
    <w:bookmarkStart w:id="17"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single fixed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7"/>
    <w:bookmarkStart w:id="18"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8"/>
    <w:bookmarkStart w:id="19"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9"/>
    <w:bookmarkStart w:id="20"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(supplement Section S10.3,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20"/>
    <w:bookmarkStart w:id="21"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Component</w:t>
            </w:r>
          </w:p>
        </w:tc>
        <w:tc>
          <w:tcPr>
            <w:tcBorders>
              <w:top w:val="single" w:sz="12" w:space="0" w:color="000000"/>
              <w:left w:val="nil"/>
              <w:bottom w:val="single" w:sz="8" w:space="0" w:color="000000"/>
              <w:right w:val="nil"/>
            </w:tcBorders>
          </w:tcPr>
          <w:tcPr/>
          <w:p>
            <w:pPr>
              <w:pStyle w:val="Compact"/>
            </w:pPr>
            <w:r>
              <w:t xml:space="preserve">Default weight</w:t>
            </w:r>
          </w:p>
        </w:tc>
        <w:tc>
          <w:tcPr>
            <w:tcBorders>
              <w:top w:val="single" w:sz="12" w:space="0" w:color="000000"/>
              <w:left w:val="nil"/>
              <w:bottom w:val="single" w:sz="8" w:space="0" w:color="000000"/>
              <w:right w:val="nil"/>
            </w:tcBorders>
          </w:tcPr>
          <w:tcPr/>
          <w:p>
            <w:pPr>
              <w:pStyle w:val="Compact"/>
            </w:pPr>
            <w:r>
              <w:t xml:space="preserve">Source</w:t>
            </w:r>
          </w:p>
        </w:tc>
      </w:tr>
      <w:tr>
        <w:tc>
          <w:tcPr>
            <w:tcBorders>
              <w:top w:val="nil"/>
              <w:left w:val="nil"/>
              <w:bottom w:val="nil"/>
              <w:right w:val="nil"/>
            </w:tcBorders>
          </w:tcPr>
          <w:tcPr/>
          <w:p>
            <w:pPr>
              <w:pStyle w:val="Compact"/>
            </w:pPr>
            <w:r>
              <w:t xml:space="preserve">signal_quality_score</w:t>
            </w:r>
          </w:p>
        </w:tc>
        <w:tc>
          <w:tcPr>
            <w:tcBorders>
              <w:top w:val="nil"/>
              <w:left w:val="nil"/>
              <w:bottom w:val="nil"/>
              <w:right w:val="nil"/>
            </w:tcBorders>
          </w:tcPr>
          <w:tcPr/>
          <w:p>
            <w:pPr>
              <w:pStyle w:val="Compact"/>
            </w:pPr>
            <w:r>
              <w:t xml:space="preserve">0.25</w:t>
            </w:r>
          </w:p>
        </w:tc>
        <w:tc>
          <w:tcPr>
            <w:tcBorders>
              <w:top w:val="nil"/>
              <w:left w:val="nil"/>
              <w:bottom w:val="nil"/>
              <w:right w:val="nil"/>
            </w:tcBorders>
          </w:tcPr>
          <w:tcPr/>
          <w:p>
            <w:pPr>
              <w:pStyle w:val="Compact"/>
            </w:pPr>
            <w:r>
              <w:t xml:space="preserve">aggregated SQI across windows</w:t>
            </w:r>
          </w:p>
        </w:tc>
      </w:tr>
      <w:tr>
        <w:tc>
          <w:tcPr>
            <w:tcBorders>
              <w:top w:val="nil"/>
              <w:left w:val="nil"/>
              <w:bottom w:val="nil"/>
              <w:right w:val="nil"/>
            </w:tcBorders>
          </w:tcPr>
          <w:tcPr/>
          <w:p>
            <w:pPr>
              <w:pStyle w:val="Compact"/>
            </w:pPr>
            <w:r>
              <w:t xml:space="preserve">artifact_burden_score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mean window-level burden, inverted</w:t>
            </w:r>
          </w:p>
        </w:tc>
      </w:tr>
      <w:tr>
        <w:tc>
          <w:tcPr>
            <w:tcBorders>
              <w:top w:val="nil"/>
              <w:left w:val="nil"/>
              <w:bottom w:val="nil"/>
              <w:right w:val="nil"/>
            </w:tcBorders>
          </w:tcPr>
          <w:tcPr/>
          <w:p>
            <w:pPr>
              <w:pStyle w:val="Compact"/>
            </w:pPr>
            <w:r>
              <w:t xml:space="preserve">temporal_stability_score</w:t>
            </w:r>
          </w:p>
        </w:tc>
        <w:tc>
          <w:tcPr>
            <w:tcBorders>
              <w:top w:val="nil"/>
              <w:left w:val="nil"/>
              <w:bottom w:val="nil"/>
              <w:right w:val="nil"/>
            </w:tcBorders>
          </w:tcPr>
          <w:tcPr/>
          <w:p>
            <w:pPr>
              <w:pStyle w:val="Compact"/>
            </w:pPr>
            <w:r>
              <w:t xml:space="preserve">0.20</w:t>
            </w:r>
          </w:p>
        </w:tc>
        <w:tc>
          <w:tcPr>
            <w:tcBorders>
              <w:top w:val="nil"/>
              <w:left w:val="nil"/>
              <w:bottom w:val="nil"/>
              <w:right w:val="nil"/>
            </w:tcBorders>
          </w:tcPr>
          <w:tcPr/>
          <w:p>
            <w:pPr>
              <w:pStyle w:val="Compact"/>
            </w:pPr>
            <w:r>
              <w:t xml:space="preserve">inverse rolling coefficient of variation</w:t>
            </w:r>
          </w:p>
        </w:tc>
      </w:tr>
      <w:tr>
        <w:tc>
          <w:tcPr>
            <w:tcBorders>
              <w:top w:val="nil"/>
              <w:left w:val="nil"/>
              <w:bottom w:val="nil"/>
              <w:right w:val="nil"/>
            </w:tcBorders>
          </w:tcPr>
          <w:tcPr/>
          <w:p>
            <w:pPr>
              <w:pStyle w:val="Compact"/>
            </w:pPr>
            <w:r>
              <w:t xml:space="preserve">missingness_risk_score</w:t>
            </w:r>
          </w:p>
        </w:tc>
        <w:tc>
          <w:tcPr>
            <w:tcBorders>
              <w:top w:val="nil"/>
              <w:left w:val="nil"/>
              <w:bottom w:val="nil"/>
              <w:right w:val="nil"/>
            </w:tcBorders>
          </w:tcPr>
          <w:tcPr/>
          <w:p>
            <w:pPr>
              <w:pStyle w:val="Compact"/>
            </w:pPr>
            <w:r>
              <w:t xml:space="preserve">0.15</w:t>
            </w:r>
          </w:p>
        </w:tc>
        <w:tc>
          <w:tcPr>
            <w:tcBorders>
              <w:top w:val="nil"/>
              <w:left w:val="nil"/>
              <w:bottom w:val="nil"/>
              <w:right w:val="nil"/>
            </w:tcBorders>
          </w:tcPr>
          <w:tcPr/>
          <w:p>
            <w:pPr>
              <w:pStyle w:val="Compact"/>
            </w:pPr>
            <w:r>
              <w:t xml:space="preserve">inverse missing fraction with run-length penalty</w:t>
            </w:r>
          </w:p>
        </w:tc>
      </w:tr>
      <w:tr>
        <w:tc>
          <w:tcPr>
            <w:tcBorders>
              <w:top w:val="nil"/>
              <w:left w:val="nil"/>
              <w:bottom w:val="nil"/>
              <w:right w:val="nil"/>
            </w:tcBorders>
          </w:tcPr>
          <w:tcPr/>
          <w:p>
            <w:pPr>
              <w:pStyle w:val="Compact"/>
            </w:pPr>
            <w:r>
              <w:t xml:space="preserve">device_bias_score</w:t>
            </w:r>
          </w:p>
        </w:tc>
        <w:tc>
          <w:tcPr>
            <w:tcBorders>
              <w:top w:val="nil"/>
              <w:left w:val="nil"/>
              <w:bottom w:val="nil"/>
              <w:right w:val="nil"/>
            </w:tcBorders>
          </w:tcPr>
          <w:tcPr/>
          <w:p>
            <w:pPr>
              <w:pStyle w:val="Compact"/>
            </w:pPr>
            <w:r>
              <w:t xml:space="preserve">0.10</w:t>
            </w:r>
          </w:p>
        </w:tc>
        <w:tc>
          <w:tcPr>
            <w:tcBorders>
              <w:top w:val="nil"/>
              <w:left w:val="nil"/>
              <w:bottom w:val="nil"/>
              <w:right w:val="nil"/>
            </w:tcBorders>
          </w:tcPr>
          <w:tcPr/>
          <w:p>
            <w:pPr>
              <w:pStyle w:val="Compact"/>
            </w:pPr>
            <w:r>
              <w:t xml:space="preserve">inverse normalized bias vs reference device</w:t>
            </w:r>
          </w:p>
        </w:tc>
      </w:tr>
      <w:tr>
        <w:tc>
          <w:tcPr>
            <w:tcBorders>
              <w:top w:val="nil"/>
              <w:left w:val="nil"/>
              <w:bottom w:val="single" w:sz="12" w:space="0" w:color="000000"/>
              <w:right w:val="nil"/>
            </w:tcBorders>
          </w:tcPr>
          <w:tcPr/>
          <w:p>
            <w:pPr>
              <w:pStyle w:val="Compact"/>
            </w:pPr>
            <w:r>
              <w:t xml:space="preserve">confounding_risk_score</w:t>
            </w:r>
          </w:p>
        </w:tc>
        <w:tc>
          <w:tcPr>
            <w:tcBorders>
              <w:top w:val="nil"/>
              <w:left w:val="nil"/>
              <w:bottom w:val="single" w:sz="12" w:space="0" w:color="000000"/>
              <w:right w:val="nil"/>
            </w:tcBorders>
          </w:tcPr>
          <w:tcPr/>
          <w:p>
            <w:pPr>
              <w:pStyle w:val="Compact"/>
            </w:pPr>
            <w:r>
              <w:t xml:space="preserve">0.10</w:t>
            </w:r>
          </w:p>
        </w:tc>
        <w:tc>
          <w:tcPr>
            <w:tcBorders>
              <w:top w:val="nil"/>
              <w:left w:val="nil"/>
              <w:bottom w:val="single" w:sz="12" w:space="0" w:color="000000"/>
              <w:right w:val="nil"/>
            </w:tcBorders>
          </w:tcPr>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21"/>
    <w:bookmarkStart w:id="22"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22"/>
    <w:bookmarkStart w:id="23" w:name="fairness-audit"/>
    <w:p>
      <w:pPr>
        <w:pStyle w:val="Heading3"/>
      </w:pPr>
      <w:r>
        <w:t xml:space="preserve">2.7 Fairness audit</w:t>
      </w:r>
    </w:p>
    <w:p>
      <w:pPr>
        <w:pStyle w:val="FirstParagraph"/>
      </w:pPr>
      <w:r>
        <w:t xml:space="preserve">Demographic bias in clinical algorithms and health-related measurement is well documented</w:t>
      </w:r>
      <w:r>
        <w:t xml:space="preserve"> </w:t>
      </w:r>
      <w:r>
        <w:t xml:space="preserve">(Obermeyer et al. 2019; Vyas et al. 2020)</w:t>
      </w:r>
      <w:r>
        <w:t xml:space="preserve">, motivating a routine subgroup check. 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23"/>
    <w:bookmarkStart w:id="24"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24"/>
    <w:bookmarkStart w:id="25"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5"/>
    <w:bookmarkStart w:id="26"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S8).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6"/>
    <w:bookmarkEnd w:id="27"/>
    <w:bookmarkStart w:id="48"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8"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 3.1 (Bland-Altman cross-modality HR agreement), in which chest ECG serves as the reference standard and wrist PPG-derived measurements serve as the index modality, and Section 3.7 (external replication on PPG-DaLiA), in which the same reference-versus-index structure is evaluated on a second public benchmark. A per-item compliance summary is in</w:t>
      </w:r>
      <w:r>
        <w:t xml:space="preserve"> </w:t>
      </w:r>
      <w:r>
        <w:rPr>
          <w:rStyle w:val="VerbatimChar"/>
        </w:rPr>
        <w:t xml:space="preserve">paper/checklists/stard_2015_checklist.md</w:t>
      </w:r>
      <w:r>
        <w:t xml:space="preserve">. The flow diagram in Supplementary Figure S1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Supplementary Figure S1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8"/>
    <w:bookmarkStart w:id="32"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(n=15)</w:t>
            </w:r>
          </w:p>
        </w:tc>
      </w:tr>
      <w:tr>
        <w:tc>
          <w:tcPr>
            <w:tcBorders>
              <w:top w:val="nil"/>
              <w:left w:val="nil"/>
              <w:bottom w:val="nil"/>
              <w:right w:val="nil"/>
            </w:tcBorders>
          </w:tcPr>
          <w:tcPr/>
          <w:p>
            <w:pPr>
              <w:pStyle w:val="Compact"/>
            </w:pPr>
            <w:r>
              <w:t xml:space="preserve">n windows</w:t>
            </w:r>
          </w:p>
        </w:tc>
        <w:tc>
          <w:tcPr>
            <w:tcBorders>
              <w:top w:val="nil"/>
              <w:left w:val="nil"/>
              <w:bottom w:val="nil"/>
              <w:right w:val="nil"/>
            </w:tcBorders>
          </w:tcPr>
          <w:tcPr/>
          <w:p>
            <w:pPr>
              <w:pStyle w:val="Compact"/>
            </w:pPr>
            <w:r>
              <w:t xml:space="preserve">6,569</w:t>
            </w:r>
          </w:p>
        </w:tc>
      </w:tr>
      <w:tr>
        <w:tc>
          <w:tcPr>
            <w:tcBorders>
              <w:top w:val="nil"/>
              <w:left w:val="nil"/>
              <w:bottom w:val="nil"/>
              <w:right w:val="nil"/>
            </w:tcBorders>
          </w:tcPr>
          <w:tcPr/>
          <w:p>
            <w:pPr>
              <w:pStyle w:val="Compact"/>
            </w:pPr>
            <w:r>
              <w:t xml:space="preserve">Mean absolute error</w:t>
            </w:r>
          </w:p>
        </w:tc>
        <w:tc>
          <w:tcPr>
            <w:tcBorders>
              <w:top w:val="nil"/>
              <w:left w:val="nil"/>
              <w:bottom w:val="nil"/>
              <w:right w:val="nil"/>
            </w:tcBorders>
          </w:tcPr>
          <w:tcPr/>
          <w:p>
            <w:pPr>
              <w:pStyle w:val="Compact"/>
            </w:pPr>
            <w:r>
              <w:rPr>
                <w:b/>
                <w:bCs/>
              </w:rPr>
              <w:t xml:space="preserve">9.66 bpm</w:t>
            </w:r>
          </w:p>
        </w:tc>
      </w:tr>
      <w:tr>
        <w:tc>
          <w:tcPr>
            <w:tcBorders>
              <w:top w:val="nil"/>
              <w:left w:val="nil"/>
              <w:bottom w:val="nil"/>
              <w:right w:val="nil"/>
            </w:tcBorders>
          </w:tcPr>
          <w:tcPr/>
          <w:p>
            <w:pPr>
              <w:pStyle w:val="Compact"/>
            </w:pPr>
            <w:r>
              <w:rPr>
                <w:b/>
                <w:bCs/>
              </w:rPr>
              <w:t xml:space="preserve">Bias (PPG - ECG)</w:t>
            </w:r>
            <w:r>
              <w:t xml:space="preserve"> </w:t>
            </w:r>
            <w:r>
              <w:t xml:space="preserve">(Bland and Altman 1986)</w:t>
            </w:r>
          </w:p>
        </w:tc>
        <w:tc>
          <w:tcPr>
            <w:tcBorders>
              <w:top w:val="nil"/>
              <w:left w:val="nil"/>
              <w:bottom w:val="nil"/>
              <w:right w:val="nil"/>
            </w:tcBorders>
          </w:tcPr>
          <w:tcPr/>
          <w:p>
            <w:pPr>
              <w:pStyle w:val="Compact"/>
            </w:pPr>
            <w:r>
              <w:rPr>
                <w:b/>
                <w:bCs/>
              </w:rPr>
              <w:t xml:space="preserve">+3.57 bpm</w:t>
            </w:r>
          </w:p>
        </w:tc>
      </w:tr>
      <w:tr>
        <w:tc>
          <w:tcPr>
            <w:tcBorders>
              <w:top w:val="nil"/>
              <w:left w:val="nil"/>
              <w:bottom w:val="nil"/>
              <w:right w:val="nil"/>
            </w:tcBorders>
          </w:tcPr>
          <w:tcPr/>
          <w:p>
            <w:pPr>
              <w:pStyle w:val="Compact"/>
            </w:pPr>
            <w:r>
              <w:rPr>
                <w:b/>
                <w:bCs/>
              </w:rPr>
              <w:t xml:space="preserve">95% Limits of agreement</w:t>
            </w:r>
          </w:p>
        </w:tc>
        <w:tc>
          <w:tcPr>
            <w:tcBorders>
              <w:top w:val="nil"/>
              <w:left w:val="nil"/>
              <w:bottom w:val="nil"/>
              <w:right w:val="nil"/>
            </w:tcBorders>
          </w:tcPr>
          <w:tcPr/>
          <w:p>
            <w:pPr>
              <w:pStyle w:val="Compact"/>
            </w:pPr>
            <w:r>
              <w:rPr>
                <w:b/>
                <w:bCs/>
              </w:rPr>
              <w:t xml:space="preserve">[-23.14, +30.28] bpm</w:t>
            </w:r>
          </w:p>
        </w:tc>
      </w:tr>
      <w:tr>
        <w:tc>
          <w:tcPr>
            <w:tcBorders>
              <w:top w:val="nil"/>
              <w:left w:val="nil"/>
              <w:bottom w:val="nil"/>
              <w:right w:val="nil"/>
            </w:tcBorders>
          </w:tcPr>
          <w:tcPr/>
          <w:p>
            <w:pPr>
              <w:pStyle w:val="Compact"/>
            </w:pPr>
            <w:r>
              <w:t xml:space="preserve">Pearson r</w:t>
            </w:r>
          </w:p>
        </w:tc>
        <w:tc>
          <w:tcPr>
            <w:tcBorders>
              <w:top w:val="nil"/>
              <w:left w:val="nil"/>
              <w:bottom w:val="nil"/>
              <w:right w:val="nil"/>
            </w:tcBorders>
          </w:tcPr>
          <w:tcPr/>
          <w:p>
            <w:pPr>
              <w:pStyle w:val="Compact"/>
            </w:pPr>
            <w:r>
              <w:t xml:space="preserve">+0.697 (p &lt;&lt; 0.001)</w:t>
            </w:r>
          </w:p>
        </w:tc>
      </w:tr>
      <w:tr>
        <w:tc>
          <w:tcPr>
            <w:tcBorders>
              <w:top w:val="nil"/>
              <w:left w:val="nil"/>
              <w:bottom w:val="nil"/>
              <w:right w:val="nil"/>
            </w:tcBorders>
          </w:tcPr>
          <w:tcPr/>
          <w:p>
            <w:pPr>
              <w:pStyle w:val="Compact"/>
            </w:pPr>
            <w:r>
              <w:t xml:space="preserve">Fraction within 5 bpm</w:t>
            </w:r>
          </w:p>
        </w:tc>
        <w:tc>
          <w:tcPr>
            <w:tcBorders>
              <w:top w:val="nil"/>
              <w:left w:val="nil"/>
              <w:bottom w:val="nil"/>
              <w:right w:val="nil"/>
            </w:tcBorders>
          </w:tcPr>
          <w:tcPr/>
          <w:p>
            <w:pPr>
              <w:pStyle w:val="Compact"/>
            </w:pPr>
            <w:r>
              <w:t xml:space="preserve">0.458</w:t>
            </w:r>
          </w:p>
        </w:tc>
      </w:tr>
      <w:tr>
        <w:tc>
          <w:tcPr>
            <w:tcBorders>
              <w:top w:val="nil"/>
              <w:left w:val="nil"/>
              <w:bottom w:val="single" w:sz="12" w:space="0" w:color="000000"/>
              <w:right w:val="nil"/>
            </w:tcBorders>
          </w:tcPr>
          <w:tcPr/>
          <w:p>
            <w:pPr>
              <w:pStyle w:val="Compact"/>
            </w:pPr>
            <w:r>
              <w:t xml:space="preserve">Fraction within 10 bpm</w:t>
            </w:r>
          </w:p>
        </w:tc>
        <w:tc>
          <w:tcPr>
            <w:tcBorders>
              <w:top w:val="nil"/>
              <w:left w:val="nil"/>
              <w:bottom w:val="single" w:sz="12" w:space="0" w:color="000000"/>
              <w:right w:val="nil"/>
            </w:tcBorders>
          </w:tcPr>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p>
      <w:pPr>
        <w:pStyle w:val="CaptionedFigure"/>
      </w:pPr>
      <w:r>
        <w:drawing>
          <wp:inline>
            <wp:extent cx="5334000" cy="3622178"/>
            <wp:effectExtent b="0" l="0" r="0" t="0"/>
            <wp:docPr descr="Figure 2. Bland-Altman cross-modality HR agreement on WESAD (n = 15 subjects, 6,569 paired 5-second windows). Each point is one window. Mean bias (PPG minus ECG) = +3.57 bpm; 95% limits of agreement [-23.14, +30.28] bpm. Pearson r = +0.70 between modalities." title="" id="30" name="Picture"/>
            <a:graphic>
              <a:graphicData uri="http://schemas.openxmlformats.org/drawingml/2006/picture">
                <pic:pic>
                  <pic:nvPicPr>
                    <pic:cNvPr descr="paper/figures/fig1_bland_altman.png" id="31" name="Picture"/>
                    <pic:cNvPicPr>
                      <a:picLocks noChangeArrowheads="1" noChangeAspect="1"/>
                    </pic:cNvPicPr>
                  </pic:nvPicPr>
                  <pic:blipFill>
                    <a:blip r:embed="rId29"/>
                    <a:stretch>
                      <a:fillRect/>
                    </a:stretch>
                  </pic:blipFill>
                  <pic:spPr bwMode="auto">
                    <a:xfrm>
                      <a:off x="0" y="0"/>
                      <a:ext cx="5334000" cy="3622178"/>
                    </a:xfrm>
                    <a:prstGeom prst="rect">
                      <a:avLst/>
                    </a:prstGeom>
                    <a:noFill/>
                    <a:ln w="9525">
                      <a:noFill/>
                      <a:headEnd/>
                      <a:tailEnd/>
                    </a:ln>
                  </pic:spPr>
                </pic:pic>
              </a:graphicData>
            </a:graphic>
          </wp:inline>
        </w:drawing>
      </w:r>
    </w:p>
    <w:p>
      <w:pPr>
        <w:pStyle w:val="ImageCaption"/>
      </w:pPr>
      <w:r>
        <w:t xml:space="preserve">Figure 2. Bland-Altman cross-modality HR agreement on WESAD (n = 15 subjects, 6,569 paired 5-second windows). Each point is one window. Mean bias (PPG minus ECG) = +3.57 bpm; 95% limits of agreement [-23.14, +30.28] bpm. Pearson r = +0.70 between modalities.</w:t>
      </w:r>
    </w:p>
    <w:bookmarkEnd w:id="32"/>
    <w:bookmarkStart w:id="36"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 Sjoding et al. 2020)</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Method</w:t>
            </w:r>
          </w:p>
        </w:tc>
        <w:tc>
          <w:tcPr>
            <w:tcBorders>
              <w:top w:val="single" w:sz="12" w:space="0" w:color="000000"/>
              <w:left w:val="nil"/>
              <w:bottom w:val="single" w:sz="8" w:space="0" w:color="000000"/>
              <w:right w:val="nil"/>
            </w:tcBorders>
          </w:tcPr>
          <w:tcPr/>
          <w:p>
            <w:pPr>
              <w:pStyle w:val="Compact"/>
            </w:pPr>
            <w:r>
              <w:t xml:space="preserve">Pass rate (n=15)</w:t>
            </w:r>
          </w:p>
        </w:tc>
        <w:tc>
          <w:tcPr>
            <w:tcBorders>
              <w:top w:val="single" w:sz="12" w:space="0" w:color="000000"/>
              <w:left w:val="nil"/>
              <w:bottom w:val="single" w:sz="8" w:space="0" w:color="000000"/>
              <w:right w:val="nil"/>
            </w:tcBorders>
          </w:tcPr>
          <w:tcPr/>
          <w:p>
            <w:pPr>
              <w:pStyle w:val="Compact"/>
            </w:pPr>
            <w:r>
              <w:t xml:space="preserve">Cohen’s κ vs in-house</w:t>
            </w:r>
          </w:p>
        </w:tc>
      </w:tr>
      <w:tr>
        <w:tc>
          <w:tcPr>
            <w:tcBorders>
              <w:top w:val="nil"/>
              <w:left w:val="nil"/>
              <w:bottom w:val="nil"/>
              <w:right w:val="nil"/>
            </w:tcBorders>
          </w:tcPr>
          <w:tcPr/>
          <w:p>
            <w:pPr>
              <w:pStyle w:val="Compact"/>
            </w:pPr>
            <w:r>
              <w:t xml:space="preserve">In-house (default threshold 0.7)</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w:t>
            </w:r>
          </w:p>
        </w:tc>
      </w:tr>
      <w:tr>
        <w:tc>
          <w:tcPr>
            <w:tcBorders>
              <w:top w:val="nil"/>
              <w:left w:val="nil"/>
              <w:bottom w:val="nil"/>
              <w:right w:val="nil"/>
            </w:tcBorders>
          </w:tcPr>
          <w:tcPr/>
          <w:p>
            <w:pPr>
              <w:pStyle w:val="Compact"/>
            </w:pPr>
            <w:r>
              <w:t xml:space="preserve">Orphanidou 2015</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Sukor 2011</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0.000</w:t>
            </w:r>
          </w:p>
        </w:tc>
      </w:tr>
      <w:tr>
        <w:tc>
          <w:tcPr>
            <w:tcBorders>
              <w:top w:val="nil"/>
              <w:left w:val="nil"/>
              <w:bottom w:val="single" w:sz="12" w:space="0" w:color="000000"/>
              <w:right w:val="nil"/>
            </w:tcBorders>
          </w:tcPr>
          <w:tcPr/>
          <w:p>
            <w:pPr>
              <w:pStyle w:val="Compact"/>
            </w:pPr>
            <w:r>
              <w:rPr>
                <w:b/>
                <w:bCs/>
              </w:rPr>
              <w:t xml:space="preserve">Elgendi 2016 (SSQI/KSQI/ESQI)</w:t>
            </w:r>
          </w:p>
        </w:tc>
        <w:tc>
          <w:tcPr>
            <w:tcBorders>
              <w:top w:val="nil"/>
              <w:left w:val="nil"/>
              <w:bottom w:val="single" w:sz="12" w:space="0" w:color="000000"/>
              <w:right w:val="nil"/>
            </w:tcBorders>
          </w:tcPr>
          <w:tcPr/>
          <w:p>
            <w:pPr>
              <w:pStyle w:val="Compact"/>
            </w:pPr>
            <w:r>
              <w:rPr>
                <w:b/>
                <w:bCs/>
              </w:rPr>
              <w:t xml:space="preserve">0.215</w:t>
            </w:r>
          </w:p>
        </w:tc>
        <w:tc>
          <w:tcPr>
            <w:tcBorders>
              <w:top w:val="nil"/>
              <w:left w:val="nil"/>
              <w:bottom w:val="single" w:sz="12" w:space="0" w:color="000000"/>
              <w:right w:val="nil"/>
            </w:tcBorders>
          </w:tcPr>
          <w:tcPr/>
          <w:p>
            <w:pPr>
              <w:pStyle w:val="Compact"/>
            </w:pPr>
            <w:r>
              <w:rPr>
                <w:b/>
                <w:bCs/>
              </w:rPr>
              <w:t xml:space="preserve">0.000</w:t>
            </w:r>
          </w:p>
        </w:tc>
      </w:tr>
    </w:tbl>
    <w:p/>
    <w:p>
      <w:pPr>
        <w:pStyle w:val="TableCaption"/>
      </w:pPr>
      <w:r>
        <w:t xml:space="preserve">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w:t>
      </w:r>
    </w:p>
    <w:tbl>
      <w:tblPr>
        <w:tblStyle w:val="Table"/>
        <w:tblW w:type="pct" w:w="5000"/>
        <w:tblLayout w:type="fixed"/>
        <w:tblLook w:firstRow="1" w:lastRow="0" w:firstColumn="0" w:lastColumn="0" w:noHBand="0" w:noVBand="0" w:val="0020"/>
        <w:tblCaption w:val="Table 3. Cross-method agreement across the three published PPG signal-quality baselines on WESAD, with subject-clustered bootstrap 95% confidence intervals (2,000 resamples over the 15 subjects). Cohen’s κ is negative on the two Elgendi pairs despite raw agreement above 56%, a prevalence paradox from the shared 74 to 78% rejection rate; the prevalence-insensitive Gwet’s AC1 is positive for all three pairs. PPG-DaLiA values are within rounding (median raw 0.625, median AC1 +0.281, median κ -0.204; Section 3.7)."/>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Published-method pair</w:t>
            </w:r>
          </w:p>
        </w:tc>
        <w:tc>
          <w:tcPr>
            <w:tcBorders>
              <w:top w:val="single" w:sz="12" w:space="0" w:color="000000"/>
              <w:left w:val="nil"/>
              <w:bottom w:val="single" w:sz="8" w:space="0" w:color="000000"/>
              <w:right w:val="nil"/>
            </w:tcBorders>
          </w:tcPr>
          <w:tcPr/>
          <w:p>
            <w:pPr>
              <w:pStyle w:val="Compact"/>
            </w:pPr>
            <w:r>
              <w:t xml:space="preserve">Raw agreement</w:t>
            </w:r>
          </w:p>
        </w:tc>
        <w:tc>
          <w:tcPr>
            <w:tcBorders>
              <w:top w:val="single" w:sz="12" w:space="0" w:color="000000"/>
              <w:left w:val="nil"/>
              <w:bottom w:val="single" w:sz="8" w:space="0" w:color="000000"/>
              <w:right w:val="nil"/>
            </w:tcBorders>
          </w:tcPr>
          <w:tcPr/>
          <w:p>
            <w:pPr>
              <w:pStyle w:val="Compact"/>
            </w:pPr>
            <w:r>
              <w:t xml:space="preserve">Cohen’s κ [95% CI]</w:t>
            </w:r>
          </w:p>
        </w:tc>
        <w:tc>
          <w:tcPr>
            <w:tcBorders>
              <w:top w:val="single" w:sz="12" w:space="0" w:color="000000"/>
              <w:left w:val="nil"/>
              <w:bottom w:val="single" w:sz="8" w:space="0" w:color="000000"/>
              <w:right w:val="nil"/>
            </w:tcBorders>
          </w:tcPr>
          <w:tcPr/>
          <w:p>
            <w:pPr>
              <w:pStyle w:val="Compact"/>
            </w:pPr>
            <w:r>
              <w:t xml:space="preserve">Gwet’s AC1 [95% CI]</w:t>
            </w:r>
          </w:p>
        </w:tc>
        <w:tc>
          <w:tcPr>
            <w:tcBorders>
              <w:top w:val="single" w:sz="12" w:space="0" w:color="000000"/>
              <w:left w:val="nil"/>
              <w:bottom w:val="single" w:sz="8" w:space="0" w:color="000000"/>
              <w:right w:val="nil"/>
            </w:tcBorders>
          </w:tcPr>
          <w:tcPr/>
          <w:p>
            <w:pPr>
              <w:pStyle w:val="Compact"/>
            </w:pPr>
            <w:r>
              <w:t xml:space="preserve">PABAK</w:t>
            </w:r>
          </w:p>
        </w:tc>
        <w:tc>
          <w:tcPr>
            <w:tcBorders>
              <w:top w:val="single" w:sz="12" w:space="0" w:color="000000"/>
              <w:left w:val="nil"/>
              <w:bottom w:val="single" w:sz="8" w:space="0" w:color="000000"/>
              <w:right w:val="nil"/>
            </w:tcBorders>
          </w:tcPr>
          <w:tcPr/>
          <w:p>
            <w:pPr>
              <w:pStyle w:val="Compact"/>
            </w:pPr>
            <w:r>
              <w:t xml:space="preserve">MCC</w:t>
            </w:r>
          </w:p>
        </w:tc>
      </w:tr>
      <w:tr>
        <w:tc>
          <w:tcPr>
            <w:tcBorders>
              <w:top w:val="nil"/>
              <w:left w:val="nil"/>
              <w:bottom w:val="nil"/>
              <w:right w:val="nil"/>
            </w:tcBorders>
          </w:tcPr>
          <w:tcPr/>
          <w:p>
            <w:pPr>
              <w:pStyle w:val="Compact"/>
            </w:pPr>
            <w:r>
              <w:t xml:space="preserve">Orphanidou vs Sukor</w:t>
            </w:r>
          </w:p>
        </w:tc>
        <w:tc>
          <w:tcPr>
            <w:tcBorders>
              <w:top w:val="nil"/>
              <w:left w:val="nil"/>
              <w:bottom w:val="nil"/>
              <w:right w:val="nil"/>
            </w:tcBorders>
          </w:tcPr>
          <w:tcPr/>
          <w:p>
            <w:pPr>
              <w:pStyle w:val="Compact"/>
            </w:pPr>
            <w:r>
              <w:t xml:space="preserve">0.775</w:t>
            </w:r>
          </w:p>
        </w:tc>
        <w:tc>
          <w:tcPr>
            <w:tcBorders>
              <w:top w:val="nil"/>
              <w:left w:val="nil"/>
              <w:bottom w:val="nil"/>
              <w:right w:val="nil"/>
            </w:tcBorders>
          </w:tcPr>
          <w:tcPr/>
          <w:p>
            <w:pPr>
              <w:pStyle w:val="Compact"/>
            </w:pPr>
            <w:r>
              <w:t xml:space="preserve">+0.410 [+0.35, +0.47]</w:t>
            </w:r>
          </w:p>
        </w:tc>
        <w:tc>
          <w:tcPr>
            <w:tcBorders>
              <w:top w:val="nil"/>
              <w:left w:val="nil"/>
              <w:bottom w:val="nil"/>
              <w:right w:val="nil"/>
            </w:tcBorders>
          </w:tcPr>
          <w:tcPr/>
          <w:p>
            <w:pPr>
              <w:pStyle w:val="Compact"/>
            </w:pPr>
            <w:r>
              <w:t xml:space="preserve">+0.637 [+0.59, +0.68]</w:t>
            </w:r>
          </w:p>
        </w:tc>
        <w:tc>
          <w:tcPr>
            <w:tcBorders>
              <w:top w:val="nil"/>
              <w:left w:val="nil"/>
              <w:bottom w:val="nil"/>
              <w:right w:val="nil"/>
            </w:tcBorders>
          </w:tcPr>
          <w:tcPr/>
          <w:p>
            <w:pPr>
              <w:pStyle w:val="Compact"/>
            </w:pPr>
            <w:r>
              <w:t xml:space="preserve">+0.551</w:t>
            </w:r>
          </w:p>
        </w:tc>
        <w:tc>
          <w:tcPr>
            <w:tcBorders>
              <w:top w:val="nil"/>
              <w:left w:val="nil"/>
              <w:bottom w:val="nil"/>
              <w:right w:val="nil"/>
            </w:tcBorders>
          </w:tcPr>
          <w:tcPr/>
          <w:p>
            <w:pPr>
              <w:pStyle w:val="Compact"/>
            </w:pPr>
            <w:r>
              <w:t xml:space="preserve">+0.410</w:t>
            </w:r>
          </w:p>
        </w:tc>
      </w:tr>
      <w:tr>
        <w:tc>
          <w:tcPr>
            <w:tcBorders>
              <w:top w:val="nil"/>
              <w:left w:val="nil"/>
              <w:bottom w:val="nil"/>
              <w:right w:val="nil"/>
            </w:tcBorders>
          </w:tcPr>
          <w:tcPr/>
          <w:p>
            <w:pPr>
              <w:pStyle w:val="Compact"/>
            </w:pPr>
            <w:r>
              <w:t xml:space="preserve">Orphanidou vs Elgendi</w:t>
            </w:r>
          </w:p>
        </w:tc>
        <w:tc>
          <w:tcPr>
            <w:tcBorders>
              <w:top w:val="nil"/>
              <w:left w:val="nil"/>
              <w:bottom w:val="nil"/>
              <w:right w:val="nil"/>
            </w:tcBorders>
          </w:tcPr>
          <w:tcPr/>
          <w:p>
            <w:pPr>
              <w:pStyle w:val="Compact"/>
            </w:pPr>
            <w:r>
              <w:t xml:space="preserve">0.567</w:t>
            </w:r>
          </w:p>
        </w:tc>
        <w:tc>
          <w:tcPr>
            <w:tcBorders>
              <w:top w:val="nil"/>
              <w:left w:val="nil"/>
              <w:bottom w:val="nil"/>
              <w:right w:val="nil"/>
            </w:tcBorders>
          </w:tcPr>
          <w:tcPr/>
          <w:p>
            <w:pPr>
              <w:pStyle w:val="Compact"/>
            </w:pPr>
            <w:r>
              <w:t xml:space="preserve">-0.198 [-0.24, -0.16]</w:t>
            </w:r>
          </w:p>
        </w:tc>
        <w:tc>
          <w:tcPr>
            <w:tcBorders>
              <w:top w:val="nil"/>
              <w:left w:val="nil"/>
              <w:bottom w:val="nil"/>
              <w:right w:val="nil"/>
            </w:tcBorders>
          </w:tcPr>
          <w:tcPr/>
          <w:p>
            <w:pPr>
              <w:pStyle w:val="Compact"/>
            </w:pPr>
            <w:r>
              <w:t xml:space="preserve">+0.324 [+0.22, +0.42]</w:t>
            </w:r>
          </w:p>
        </w:tc>
        <w:tc>
          <w:tcPr>
            <w:tcBorders>
              <w:top w:val="nil"/>
              <w:left w:val="nil"/>
              <w:bottom w:val="nil"/>
              <w:right w:val="nil"/>
            </w:tcBorders>
          </w:tcPr>
          <w:tcPr/>
          <w:p>
            <w:pPr>
              <w:pStyle w:val="Compact"/>
            </w:pPr>
            <w:r>
              <w:t xml:space="preserve">+0.135</w:t>
            </w:r>
          </w:p>
        </w:tc>
        <w:tc>
          <w:tcPr>
            <w:tcBorders>
              <w:top w:val="nil"/>
              <w:left w:val="nil"/>
              <w:bottom w:val="nil"/>
              <w:right w:val="nil"/>
            </w:tcBorders>
          </w:tcPr>
          <w:tcPr/>
          <w:p>
            <w:pPr>
              <w:pStyle w:val="Compact"/>
            </w:pPr>
            <w:r>
              <w:t xml:space="preserve">-0.199</w:t>
            </w:r>
          </w:p>
        </w:tc>
      </w:tr>
      <w:tr>
        <w:tc>
          <w:tcPr>
            <w:tcBorders>
              <w:top w:val="nil"/>
              <w:left w:val="nil"/>
              <w:bottom w:val="nil"/>
              <w:right w:val="nil"/>
            </w:tcBorders>
          </w:tcPr>
          <w:tcPr/>
          <w:p>
            <w:pPr>
              <w:pStyle w:val="Compact"/>
            </w:pPr>
            <w:r>
              <w:t xml:space="preserve">Sukor vs Elgendi</w:t>
            </w:r>
          </w:p>
        </w:tc>
        <w:tc>
          <w:tcPr>
            <w:tcBorders>
              <w:top w:val="nil"/>
              <w:left w:val="nil"/>
              <w:bottom w:val="nil"/>
              <w:right w:val="nil"/>
            </w:tcBorders>
          </w:tcPr>
          <w:tcPr/>
          <w:p>
            <w:pPr>
              <w:pStyle w:val="Compact"/>
            </w:pPr>
            <w:r>
              <w:t xml:space="preserve">0.559</w:t>
            </w:r>
          </w:p>
        </w:tc>
        <w:tc>
          <w:tcPr>
            <w:tcBorders>
              <w:top w:val="nil"/>
              <w:left w:val="nil"/>
              <w:bottom w:val="nil"/>
              <w:right w:val="nil"/>
            </w:tcBorders>
          </w:tcPr>
          <w:tcPr/>
          <w:p>
            <w:pPr>
              <w:pStyle w:val="Compact"/>
            </w:pPr>
            <w:r>
              <w:t xml:space="preserve">-0.225 [-0.26, -0.19]</w:t>
            </w:r>
          </w:p>
        </w:tc>
        <w:tc>
          <w:tcPr>
            <w:tcBorders>
              <w:top w:val="nil"/>
              <w:left w:val="nil"/>
              <w:bottom w:val="nil"/>
              <w:right w:val="nil"/>
            </w:tcBorders>
          </w:tcPr>
          <w:tcPr/>
          <w:p>
            <w:pPr>
              <w:pStyle w:val="Compact"/>
            </w:pPr>
            <w:r>
              <w:t xml:space="preserve">+0.312 [+0.22, +0.40]</w:t>
            </w:r>
          </w:p>
        </w:tc>
        <w:tc>
          <w:tcPr>
            <w:tcBorders>
              <w:top w:val="nil"/>
              <w:left w:val="nil"/>
              <w:bottom w:val="nil"/>
              <w:right w:val="nil"/>
            </w:tcBorders>
          </w:tcPr>
          <w:tcPr/>
          <w:p>
            <w:pPr>
              <w:pStyle w:val="Compact"/>
            </w:pPr>
            <w:r>
              <w:t xml:space="preserve">+0.118</w:t>
            </w:r>
          </w:p>
        </w:tc>
        <w:tc>
          <w:tcPr>
            <w:tcBorders>
              <w:top w:val="nil"/>
              <w:left w:val="nil"/>
              <w:bottom w:val="nil"/>
              <w:right w:val="nil"/>
            </w:tcBorders>
          </w:tcPr>
          <w:tcPr/>
          <w:p>
            <w:pPr>
              <w:pStyle w:val="Compact"/>
            </w:pPr>
            <w:r>
              <w:t xml:space="preserve">-0.226</w:t>
            </w:r>
          </w:p>
        </w:tc>
      </w:tr>
      <w:tr>
        <w:tc>
          <w:tcPr>
            <w:tcBorders>
              <w:top w:val="nil"/>
              <w:left w:val="nil"/>
              <w:bottom w:val="single" w:sz="12" w:space="0" w:color="000000"/>
              <w:right w:val="nil"/>
            </w:tcBorders>
          </w:tcPr>
          <w:tcPr/>
          <w:p>
            <w:pPr>
              <w:pStyle w:val="Compact"/>
            </w:pPr>
            <w:r>
              <w:rPr>
                <w:b/>
                <w:bCs/>
              </w:rPr>
              <w:t xml:space="preserve">Median across three pairs</w:t>
            </w:r>
          </w:p>
        </w:tc>
        <w:tc>
          <w:tcPr>
            <w:tcBorders>
              <w:top w:val="nil"/>
              <w:left w:val="nil"/>
              <w:bottom w:val="single" w:sz="12" w:space="0" w:color="000000"/>
              <w:right w:val="nil"/>
            </w:tcBorders>
          </w:tcPr>
          <w:tcPr/>
          <w:p>
            <w:pPr>
              <w:pStyle w:val="Compact"/>
            </w:pPr>
            <w:r>
              <w:rPr>
                <w:b/>
                <w:bCs/>
              </w:rPr>
              <w:t xml:space="preserve">0.567</w:t>
            </w:r>
          </w:p>
        </w:tc>
        <w:tc>
          <w:tcPr>
            <w:tcBorders>
              <w:top w:val="nil"/>
              <w:left w:val="nil"/>
              <w:bottom w:val="single" w:sz="12" w:space="0" w:color="000000"/>
              <w:right w:val="nil"/>
            </w:tcBorders>
          </w:tcPr>
          <w:tcPr/>
          <w:p>
            <w:pPr>
              <w:pStyle w:val="Compact"/>
            </w:pPr>
            <w:r>
              <w:rPr>
                <w:b/>
                <w:bCs/>
              </w:rPr>
              <w:t xml:space="preserve">-0.198</w:t>
            </w:r>
          </w:p>
        </w:tc>
        <w:tc>
          <w:tcPr>
            <w:tcBorders>
              <w:top w:val="nil"/>
              <w:left w:val="nil"/>
              <w:bottom w:val="single" w:sz="12" w:space="0" w:color="000000"/>
              <w:right w:val="nil"/>
            </w:tcBorders>
          </w:tcPr>
          <w:tcPr/>
          <w:p>
            <w:pPr>
              <w:pStyle w:val="Compact"/>
            </w:pPr>
            <w:r>
              <w:rPr>
                <w:b/>
                <w:bCs/>
              </w:rPr>
              <w:t xml:space="preserve">+0.324</w:t>
            </w:r>
          </w:p>
        </w:tc>
        <w:tc>
          <w:tcPr>
            <w:tcBorders>
              <w:top w:val="nil"/>
              <w:left w:val="nil"/>
              <w:bottom w:val="single" w:sz="12" w:space="0" w:color="000000"/>
              <w:right w:val="nil"/>
            </w:tcBorders>
          </w:tcPr>
          <w:tcPr/>
          <w:p>
            <w:pPr>
              <w:pStyle w:val="Compact"/>
            </w:pPr>
            <w:r>
              <w:rPr>
                <w:b/>
                <w:bCs/>
              </w:rPr>
              <w:t xml:space="preserve">+0.135</w:t>
            </w:r>
          </w:p>
        </w:tc>
        <w:tc>
          <w:tcPr>
            <w:tcBorders>
              <w:top w:val="nil"/>
              <w:left w:val="nil"/>
              <w:bottom w:val="single" w:sz="12" w:space="0" w:color="000000"/>
              <w:right w:val="nil"/>
            </w:tcBorders>
          </w:tcPr>
          <w:tcPr/>
          <w:p>
            <w:pPr>
              <w:pStyle w:val="Compact"/>
            </w:pPr>
            <w:r>
              <w:rPr>
                <w:b/>
                <w:bCs/>
              </w:rPr>
              <w:t xml:space="preserve">-0.199</w:t>
            </w:r>
          </w:p>
        </w:tc>
      </w:tr>
    </w:tbl>
    <w:p>
      <w:pPr>
        <w:pStyle w:val="BodyText"/>
      </w:pPr>
      <w:r>
        <w:rPr>
          <w:b/>
          <w:bCs/>
        </w:rPr>
        <w:t xml:space="preserve">Three published baselines, fair-to-moderate agreement.</w:t>
      </w:r>
      <w:r>
        <w:t xml:space="preserve"> </w:t>
      </w:r>
      <w:r>
        <w:t xml:space="preserve">Cohen’s κ alone gives a misleading picture here. Orphanidou and Sukor agree moderately on which windows pass by every measure (κ = +0.410, Gwet’s AC1 = +0.637, raw agreement 77.5%). Elgendi agrees less with the other two and its Cohen’s κ is negative (-0.198 against Orphanidou, -0.225 against Sukor), but this is the κ paradox under skewed prevalence rather than genuine disagreement: all three methods reject 74 to 78% of windows, which inflates chance agreement and pushes κ below zero even though the methods make the same pass/fail call on 56 to 57% of windows. The prevalence-insensitive Gwet’s AC1 is positive for all three pairs (+0.31 to +0.64, median +0.324), and the subject-clustered intervals confirm the split: on the Orphanidou-Elgendi pair the κ interval lies entirely below zero ([-0.24, -0.16]) while the AC1 interval on the identical windows lies entirely above zero ([+0.22, +0.42]). The three baselines individually pass 25.6%, 25.5%, and 21.5% of windows and agree more than chance on pass/fail (median AC1 = +0.324, mean raw agreement 63%), not less.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Joint condition (n=6,585)</w:t>
            </w:r>
          </w:p>
        </w:tc>
        <w:tc>
          <w:tcPr>
            <w:tcBorders>
              <w:top w:val="single" w:sz="12" w:space="0" w:color="000000"/>
              <w:left w:val="nil"/>
              <w:bottom w:val="single" w:sz="8" w:space="0" w:color="000000"/>
              <w:right w:val="nil"/>
            </w:tcBorders>
          </w:tcPr>
          <w:tcPr/>
          <w:p>
            <w:pPr>
              <w:pStyle w:val="Compact"/>
            </w:pPr>
            <w:r>
              <w:t xml:space="preserve">Fraction</w:t>
            </w:r>
          </w:p>
        </w:tc>
      </w:tr>
      <w:tr>
        <w:tc>
          <w:tcPr>
            <w:tcBorders>
              <w:top w:val="nil"/>
              <w:left w:val="nil"/>
              <w:bottom w:val="nil"/>
              <w:right w:val="nil"/>
            </w:tcBorders>
          </w:tcPr>
          <w:tcPr/>
          <w:p>
            <w:pPr>
              <w:pStyle w:val="Compact"/>
            </w:pPr>
            <w:r>
              <w:t xml:space="preserve">All three published methods pass</w:t>
            </w:r>
          </w:p>
        </w:tc>
        <w:tc>
          <w:tcPr>
            <w:tcBorders>
              <w:top w:val="nil"/>
              <w:left w:val="nil"/>
              <w:bottom w:val="nil"/>
              <w:right w:val="nil"/>
            </w:tcBorders>
          </w:tcPr>
          <w:tcPr/>
          <w:p>
            <w:pPr>
              <w:pStyle w:val="Compact"/>
            </w:pPr>
            <w:r>
              <w:t xml:space="preserve">0.005 (0.5%)</w:t>
            </w:r>
          </w:p>
        </w:tc>
      </w:tr>
      <w:tr>
        <w:tc>
          <w:tcPr>
            <w:tcBorders>
              <w:top w:val="nil"/>
              <w:left w:val="nil"/>
              <w:bottom w:val="nil"/>
              <w:right w:val="nil"/>
            </w:tcBorders>
          </w:tcPr>
          <w:tcPr/>
          <w:p>
            <w:pPr>
              <w:pStyle w:val="Compact"/>
            </w:pPr>
            <w:r>
              <w:rPr>
                <w:b/>
                <w:bCs/>
              </w:rPr>
              <w:t xml:space="preserve">All three published methods fail</w:t>
            </w:r>
          </w:p>
        </w:tc>
        <w:tc>
          <w:tcPr>
            <w:tcBorders>
              <w:top w:val="nil"/>
              <w:left w:val="nil"/>
              <w:bottom w:val="nil"/>
              <w:right w:val="nil"/>
            </w:tcBorders>
          </w:tcPr>
          <w:tcPr/>
          <w:p>
            <w:pPr>
              <w:pStyle w:val="Compact"/>
            </w:pPr>
            <w:r>
              <w:rPr>
                <w:b/>
                <w:bCs/>
              </w:rPr>
              <w:t xml:space="preserve">0.446 (44.6%)</w:t>
            </w:r>
          </w:p>
        </w:tc>
      </w:tr>
      <w:tr>
        <w:tc>
          <w:tcPr>
            <w:tcBorders>
              <w:top w:val="nil"/>
              <w:left w:val="nil"/>
              <w:bottom w:val="single" w:sz="12" w:space="0" w:color="000000"/>
              <w:right w:val="nil"/>
            </w:tcBorders>
          </w:tcPr>
          <w:tcPr/>
          <w:p>
            <w:pPr>
              <w:pStyle w:val="Compact"/>
            </w:pPr>
            <w:r>
              <w:rPr>
                <w:b/>
                <w:bCs/>
              </w:rPr>
              <w:t xml:space="preserve">In-house passes while ALL three published methods fail</w:t>
            </w:r>
          </w:p>
        </w:tc>
        <w:tc>
          <w:tcPr>
            <w:tcBorders>
              <w:top w:val="nil"/>
              <w:left w:val="nil"/>
              <w:bottom w:val="single" w:sz="12" w:space="0" w:color="000000"/>
              <w:right w:val="nil"/>
            </w:tcBorders>
          </w:tcPr>
          <w:tcPr/>
          <w:p>
            <w:pPr>
              <w:pStyle w:val="Compact"/>
            </w:pPr>
            <w:r>
              <w:rPr>
                <w:b/>
                <w:bCs/>
              </w:rPr>
              <w:t xml:space="preserve">0.446 (44.6%)</w:t>
            </w:r>
          </w:p>
        </w:tc>
      </w:tr>
    </w:tbl>
    <w:p>
      <w:pPr>
        <w:pStyle w:val="BodyText"/>
      </w:pPr>
      <w:r>
        <w:t xml:space="preserve">44.6% of real wrist PPG windows are rejected by Orphanidou AND Sukor AND Elgendi simultaneously - three baselines, three different physical properties, three concordant rejections - and yet the in-house default threshold (0.70) passes every single one of them (a stacked-bar view of the same finding is in Supplementary Figure S4).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Unlike Cohen’s κ, Gwet’s AC1 remains defined when one classifier is near-constant, and it places the in-house threshold in active disagreement with every published method (AC1 = -0.40, -0.40, and -0.50 against Orphanidou, Sukor, and Elgendi): the in-house SQI accepts windows the published methods reject, so its chance-corrected agreement with them falls below zero. The published methods are not three mutually contradictory tests but three concordant ones, with the in-house threshold as the lone outlier.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w:t>
      </w:r>
    </w:p>
    <w:p>
      <w:pPr>
        <w:pStyle w:val="CaptionedFigure"/>
      </w:pPr>
      <w:r>
        <w:drawing>
          <wp:inline>
            <wp:extent cx="5334000" cy="4677605"/>
            <wp:effectExtent b="0" l="0" r="0" t="0"/>
            <wp:docPr descr="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 title="" id="34" name="Picture"/>
            <a:graphic>
              <a:graphicData uri="http://schemas.openxmlformats.org/drawingml/2006/picture">
                <pic:pic>
                  <pic:nvPicPr>
                    <pic:cNvPr descr="paper/figures/fig3_kappa_heatmap.png" id="35" name="Picture"/>
                    <pic:cNvPicPr>
                      <a:picLocks noChangeArrowheads="1" noChangeAspect="1"/>
                    </pic:cNvPicPr>
                  </pic:nvPicPr>
                  <pic:blipFill>
                    <a:blip r:embed="rId33"/>
                    <a:stretch>
                      <a:fillRect/>
                    </a:stretch>
                  </pic:blipFill>
                  <pic:spPr bwMode="auto">
                    <a:xfrm>
                      <a:off x="0" y="0"/>
                      <a:ext cx="5334000" cy="4677605"/>
                    </a:xfrm>
                    <a:prstGeom prst="rect">
                      <a:avLst/>
                    </a:prstGeom>
                    <a:noFill/>
                    <a:ln w="9525">
                      <a:noFill/>
                      <a:headEnd/>
                      <a:tailEnd/>
                    </a:ln>
                  </pic:spPr>
                </pic:pic>
              </a:graphicData>
            </a:graphic>
          </wp:inline>
        </w:drawing>
      </w:r>
    </w:p>
    <w:p>
      <w:pPr>
        <w:pStyle w:val="ImageCaption"/>
      </w:pPr>
      <w:r>
        <w:t xml:space="preserve">Figure 3. Cross-method PPG signal-quality agreement on WESAD (n = 6,585 windows). The in-house threshold passes 100% of windows; the three published methods individually pass 21.5 to 25.6%. Pairwise Cohen’s kappa across the three published methods spans -0.23 to +0.41 (median -0.20); the prevalence-insensitive Gwet’s AC1 is positive for all three pairs (median +0.32).</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and Supplementary Figure S2). The substantive finding, that three published methods reject the same ~44% of windows in common, is a property of how the published methods behave on real wrist PPG and does not depend on any in-house thresholding choice.</w:t>
      </w:r>
    </w:p>
    <w:bookmarkEnd w:id="36"/>
    <w:bookmarkStart w:id="40"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Threshold</w:t>
            </w:r>
          </w:p>
        </w:tc>
        <w:tc>
          <w:tcPr>
            <w:tcBorders>
              <w:top w:val="single" w:sz="12" w:space="0" w:color="000000"/>
              <w:left w:val="nil"/>
              <w:bottom w:val="single" w:sz="8" w:space="0" w:color="000000"/>
              <w:right w:val="nil"/>
            </w:tcBorders>
          </w:tcPr>
          <w:tcPr/>
          <w:p>
            <w:pPr>
              <w:pStyle w:val="Compact"/>
            </w:pPr>
            <w:r>
              <w:t xml:space="preserve">Holdout raw agreement</w:t>
            </w:r>
          </w:p>
        </w:tc>
        <w:tc>
          <w:tcPr>
            <w:tcBorders>
              <w:top w:val="single" w:sz="12" w:space="0" w:color="000000"/>
              <w:left w:val="nil"/>
              <w:bottom w:val="single" w:sz="8" w:space="0" w:color="000000"/>
              <w:right w:val="nil"/>
            </w:tcBorders>
          </w:tcPr>
          <w:tcPr/>
          <w:p>
            <w:pPr>
              <w:pStyle w:val="Compact"/>
            </w:pPr>
            <w:r>
              <w:rPr>
                <w:b/>
                <w:bCs/>
              </w:rPr>
              <w:t xml:space="preserve">Holdout Cohen’s κ</w:t>
            </w:r>
          </w:p>
        </w:tc>
      </w:tr>
      <w:tr>
        <w:tc>
          <w:tcPr>
            <w:tcBorders>
              <w:top w:val="nil"/>
              <w:left w:val="nil"/>
              <w:bottom w:val="nil"/>
              <w:right w:val="nil"/>
            </w:tcBorders>
          </w:tcPr>
          <w:tcPr/>
          <w:p>
            <w:pPr>
              <w:pStyle w:val="Compact"/>
            </w:pPr>
            <w:r>
              <w:t xml:space="preserve">Original (0.70)</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w:t>
            </w:r>
          </w:p>
        </w:tc>
      </w:tr>
      <w:tr>
        <w:tc>
          <w:tcPr>
            <w:tcBorders>
              <w:top w:val="nil"/>
              <w:left w:val="nil"/>
              <w:bottom w:val="nil"/>
              <w:right w:val="nil"/>
            </w:tcBorders>
          </w:tcPr>
          <w:tcPr/>
          <w:p>
            <w:pPr>
              <w:pStyle w:val="Compact"/>
            </w:pPr>
            <w:r>
              <w:t xml:space="preserve">Recalibrated (0.85)</w:t>
            </w:r>
          </w:p>
        </w:tc>
        <w:tc>
          <w:tcPr>
            <w:tcBorders>
              <w:top w:val="nil"/>
              <w:left w:val="nil"/>
              <w:bottom w:val="nil"/>
              <w:right w:val="nil"/>
            </w:tcBorders>
          </w:tcPr>
          <w:tcPr/>
          <w:p>
            <w:pPr>
              <w:pStyle w:val="Compact"/>
            </w:pPr>
            <w:r>
              <w:t xml:space="preserve">0.258</w:t>
            </w:r>
          </w:p>
        </w:tc>
        <w:tc>
          <w:tcPr>
            <w:tcBorders>
              <w:top w:val="nil"/>
              <w:left w:val="nil"/>
              <w:bottom w:val="nil"/>
              <w:right w:val="nil"/>
            </w:tcBorders>
          </w:tcPr>
          <w:tcPr/>
          <w:p>
            <w:pPr>
              <w:pStyle w:val="Compact"/>
            </w:pPr>
            <w:r>
              <w:rPr>
                <w:b/>
                <w:bCs/>
              </w:rPr>
              <w:t xml:space="preserve">0.0002</w:t>
            </w:r>
          </w:p>
        </w:tc>
      </w:tr>
      <w:tr>
        <w:tc>
          <w:tcPr>
            <w:tcBorders>
              <w:top w:val="nil"/>
              <w:left w:val="nil"/>
              <w:bottom w:val="single" w:sz="12" w:space="0" w:color="000000"/>
              <w:right w:val="nil"/>
            </w:tcBorders>
          </w:tcPr>
          <w:tcPr/>
          <w:p>
            <w:pPr>
              <w:pStyle w:val="Compact"/>
            </w:pPr>
            <w:r>
              <w:t xml:space="preserve">Δ κ</w:t>
            </w:r>
          </w:p>
        </w:tc>
        <w:tc>
          <w:tcPr>
            <w:tcBorders>
              <w:top w:val="nil"/>
              <w:left w:val="nil"/>
              <w:bottom w:val="single" w:sz="12" w:space="0" w:color="000000"/>
              <w:right w:val="nil"/>
            </w:tcBorders>
          </w:tcPr>
          <w:tcPr/>
          <w:p>
            <w:pPr>
              <w:pStyle w:val="Compact"/>
            </w:pPr>
          </w:p>
        </w:tc>
        <w:tc>
          <w:tcPr>
            <w:tcBorders>
              <w:top w:val="nil"/>
              <w:left w:val="nil"/>
              <w:bottom w:val="single" w:sz="12" w:space="0" w:color="000000"/>
              <w:right w:val="nil"/>
            </w:tcBorders>
          </w:tcPr>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CaptionedFigure"/>
      </w:pPr>
      <w:r>
        <w:drawing>
          <wp:inline>
            <wp:extent cx="5334000" cy="3873128"/>
            <wp:effectExtent b="0" l="0" r="0" t="0"/>
            <wp:docPr descr="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 title="" id="38" name="Picture"/>
            <a:graphic>
              <a:graphicData uri="http://schemas.openxmlformats.org/drawingml/2006/picture">
                <pic:pic>
                  <pic:nvPicPr>
                    <pic:cNvPr descr="paper/figures/fig6_recalibration.png" id="39" name="Picture"/>
                    <pic:cNvPicPr>
                      <a:picLocks noChangeArrowheads="1" noChangeAspect="1"/>
                    </pic:cNvPicPr>
                  </pic:nvPicPr>
                  <pic:blipFill>
                    <a:blip r:embed="rId37"/>
                    <a:stretch>
                      <a:fillRect/>
                    </a:stretch>
                  </pic:blipFill>
                  <pic:spPr bwMode="auto">
                    <a:xfrm>
                      <a:off x="0" y="0"/>
                      <a:ext cx="5334000" cy="3873128"/>
                    </a:xfrm>
                    <a:prstGeom prst="rect">
                      <a:avLst/>
                    </a:prstGeom>
                    <a:noFill/>
                    <a:ln w="9525">
                      <a:noFill/>
                      <a:headEnd/>
                      <a:tailEnd/>
                    </a:ln>
                  </pic:spPr>
                </pic:pic>
              </a:graphicData>
            </a:graphic>
          </wp:inline>
        </w:drawing>
      </w:r>
    </w:p>
    <w:p>
      <w:pPr>
        <w:pStyle w:val="ImageCaption"/>
      </w:pPr>
      <w:r>
        <w:t xml:space="preserve">Figure 4. Single-threshold recalibration of the in-house PPG SQI against the Orphanidou pass/fail label on the WESAD held-out split (3,293 windows). The recalibrated threshold leaves held-out Cohen’s kappa at approximately zero; AUROC for in-house SQI predicting Orphanidou pass/fail is 0.484 (chance level).</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10 of 15 subjects the train search settles on threshold 0.85, under which the in-house SQI still passes 100% of the held-out subject’s windows and held-out κ is degenerate at 0. For the remaining 5 subjects the train search lands on stricter thresholds (0.98 to 0.99) that produce non-trivial in-house pass/fail variation; on these held-out subjects κ ranges from -0.321 to +0.002, with 4 of 5 strongly negative (S10, S13, S16, S9 at κ between -0.32 and -0.16) and the fifth (S17) at +0.0017, essentially zero, meaning that when the in-house SQI is forced to make discriminating decisions it does not recover agreement with the Orphanidou baseline.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 </w:t>
      </w:r>
      <w:r>
        <w:t xml:space="preserve">and is visualized in Supplementary Figure S3.</w:t>
      </w:r>
    </w:p>
    <w:bookmarkEnd w:id="40"/>
    <w:bookmarkStart w:id="41"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tcBorders>
              <w:top w:val="single" w:sz="12" w:space="0" w:color="000000"/>
              <w:left w:val="nil"/>
              <w:bottom w:val="single" w:sz="8" w:space="0" w:color="000000"/>
              <w:right w:val="nil"/>
            </w:tcBorders>
          </w:tcPr>
          <w:tcPr/>
          <w:p>
            <w:pPr>
              <w:pStyle w:val="Compact"/>
            </w:pPr>
            <w:r>
              <w:t xml:space="preserve">Quantity</w:t>
            </w:r>
          </w:p>
        </w:tc>
        <w:tc>
          <w:tcPr>
            <w:tcBorders>
              <w:top w:val="single" w:sz="12" w:space="0" w:color="000000"/>
              <w:left w:val="nil"/>
              <w:bottom w:val="single" w:sz="8" w:space="0" w:color="000000"/>
              <w:right w:val="nil"/>
            </w:tcBorders>
          </w:tcPr>
          <w:tcPr/>
          <w:p>
            <w:pPr>
              <w:pStyle w:val="Compact"/>
            </w:pPr>
            <w:r>
              <w:t xml:space="preserve">Value (n = 15)</w:t>
            </w:r>
          </w:p>
        </w:tc>
      </w:tr>
      <w:tr>
        <w:tc>
          <w:tcPr>
            <w:tcBorders>
              <w:top w:val="nil"/>
              <w:left w:val="nil"/>
              <w:bottom w:val="nil"/>
              <w:right w:val="nil"/>
            </w:tcBorders>
          </w:tcPr>
          <w:tcPr/>
          <w:p>
            <w:pPr>
              <w:pStyle w:val="Compact"/>
            </w:pPr>
            <w:r>
              <w:t xml:space="preserve">Spearman (motion vs in-house SQI)</w:t>
            </w:r>
          </w:p>
        </w:tc>
        <w:tc>
          <w:tcPr>
            <w:tcBorders>
              <w:top w:val="nil"/>
              <w:left w:val="nil"/>
              <w:bottom w:val="nil"/>
              <w:right w:val="nil"/>
            </w:tcBorders>
          </w:tcPr>
          <w:tcPr/>
          <w:p>
            <w:pPr>
              <w:pStyle w:val="Compact"/>
            </w:pPr>
            <w:r>
              <w:t xml:space="preserve">-1.000 (deterministic)</w:t>
            </w:r>
          </w:p>
        </w:tc>
      </w:tr>
      <w:tr>
        <w:tc>
          <w:tcPr>
            <w:tcBorders>
              <w:top w:val="nil"/>
              <w:left w:val="nil"/>
              <w:bottom w:val="nil"/>
              <w:right w:val="nil"/>
            </w:tcBorders>
          </w:tcPr>
          <w:tcPr/>
          <w:p>
            <w:pPr>
              <w:pStyle w:val="Compact"/>
            </w:pPr>
            <w:r>
              <w:t xml:space="preserve">Spearman (motion vs absolute HR difference, PPG vs ECG)</w:t>
            </w:r>
          </w:p>
        </w:tc>
        <w:tc>
          <w:tcPr>
            <w:tcBorders>
              <w:top w:val="nil"/>
              <w:left w:val="nil"/>
              <w:bottom w:val="nil"/>
              <w:right w:val="nil"/>
            </w:tcBorders>
          </w:tcPr>
          <w:tcPr/>
          <w:p>
            <w:pPr>
              <w:pStyle w:val="Compact"/>
            </w:pPr>
            <w:r>
              <w:t xml:space="preserve">+0.088</w:t>
            </w:r>
          </w:p>
        </w:tc>
      </w:tr>
      <w:tr>
        <w:tc>
          <w:tcPr>
            <w:tcBorders>
              <w:top w:val="nil"/>
              <w:left w:val="nil"/>
              <w:bottom w:val="nil"/>
              <w:right w:val="nil"/>
            </w:tcBorders>
          </w:tcPr>
          <w:tcPr/>
          <w:p>
            <w:pPr>
              <w:pStyle w:val="Compact"/>
            </w:pPr>
            <w:r>
              <w:t xml:space="preserve">Spearman (motion vs Orphanidou template correlation)</w:t>
            </w:r>
          </w:p>
        </w:tc>
        <w:tc>
          <w:tcPr>
            <w:tcBorders>
              <w:top w:val="nil"/>
              <w:left w:val="nil"/>
              <w:bottom w:val="nil"/>
              <w:right w:val="nil"/>
            </w:tcBorders>
          </w:tcPr>
          <w:tcPr/>
          <w:p>
            <w:pPr>
              <w:pStyle w:val="Compact"/>
            </w:pPr>
            <w:r>
              <w:t xml:space="preserve">-0.004</w:t>
            </w:r>
          </w:p>
        </w:tc>
      </w:tr>
      <w:tr>
        <w:tc>
          <w:tcPr>
            <w:tcBorders>
              <w:top w:val="nil"/>
              <w:left w:val="nil"/>
              <w:bottom w:val="nil"/>
              <w:right w:val="nil"/>
            </w:tcBorders>
          </w:tcPr>
          <w:tcPr/>
          <w:p>
            <w:pPr>
              <w:pStyle w:val="Compact"/>
            </w:pPr>
            <w:r>
              <w:t xml:space="preserve">Mean absolute HR difference at low motion (bpm)</w:t>
            </w:r>
          </w:p>
        </w:tc>
        <w:tc>
          <w:tcPr>
            <w:tcBorders>
              <w:top w:val="nil"/>
              <w:left w:val="nil"/>
              <w:bottom w:val="nil"/>
              <w:right w:val="nil"/>
            </w:tcBorders>
          </w:tcPr>
          <w:tcPr/>
          <w:p>
            <w:pPr>
              <w:pStyle w:val="Compact"/>
            </w:pPr>
            <w:r>
              <w:t xml:space="preserve">9.12</w:t>
            </w:r>
          </w:p>
        </w:tc>
      </w:tr>
      <w:tr>
        <w:tc>
          <w:tcPr>
            <w:tcBorders>
              <w:top w:val="nil"/>
              <w:left w:val="nil"/>
              <w:bottom w:val="single" w:sz="12" w:space="0" w:color="000000"/>
              <w:right w:val="nil"/>
            </w:tcBorders>
          </w:tcPr>
          <w:tcPr/>
          <w:p>
            <w:pPr>
              <w:pStyle w:val="Compact"/>
            </w:pPr>
            <w:r>
              <w:t xml:space="preserve">Mean absolute HR difference at high motion (bpm)</w:t>
            </w:r>
          </w:p>
        </w:tc>
        <w:tc>
          <w:tcPr>
            <w:tcBorders>
              <w:top w:val="nil"/>
              <w:left w:val="nil"/>
              <w:bottom w:val="single" w:sz="12" w:space="0" w:color="000000"/>
              <w:right w:val="nil"/>
            </w:tcBorders>
          </w:tcPr>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41"/>
    <w:bookmarkStart w:id="42"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42"/>
    <w:bookmarkStart w:id="46"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w:t>
            </w:r>
          </w:p>
        </w:tc>
        <w:tc>
          <w:tcPr>
            <w:tcBorders>
              <w:top w:val="single" w:sz="12" w:space="0" w:color="000000"/>
              <w:left w:val="nil"/>
              <w:bottom w:val="single" w:sz="8" w:space="0" w:color="000000"/>
              <w:right w:val="nil"/>
            </w:tcBorders>
          </w:tcPr>
          <w:tcPr/>
          <w:p>
            <w:pPr>
              <w:pStyle w:val="Compact"/>
            </w:pPr>
            <w:r>
              <w:t xml:space="preserve">n subjects</w:t>
            </w:r>
          </w:p>
        </w:tc>
        <w:tc>
          <w:tcPr>
            <w:tcBorders>
              <w:top w:val="single" w:sz="12" w:space="0" w:color="000000"/>
              <w:left w:val="nil"/>
              <w:bottom w:val="single" w:sz="8" w:space="0" w:color="000000"/>
              <w:right w:val="nil"/>
            </w:tcBorders>
          </w:tcPr>
          <w:tcPr/>
          <w:p>
            <w:pPr>
              <w:pStyle w:val="Compact"/>
            </w:pPr>
            <w:r>
              <w:t xml:space="preserve">Mean AUROC</w:t>
            </w:r>
          </w:p>
        </w:tc>
        <w:tc>
          <w:tcPr>
            <w:tcBorders>
              <w:top w:val="single" w:sz="12" w:space="0" w:color="000000"/>
              <w:left w:val="nil"/>
              <w:bottom w:val="single" w:sz="8" w:space="0" w:color="000000"/>
              <w:right w:val="nil"/>
            </w:tcBorders>
          </w:tcPr>
          <w:tcPr/>
          <w:p>
            <w:pPr>
              <w:pStyle w:val="Compact"/>
            </w:pPr>
            <w:r>
              <w:t xml:space="preserve">95% bootstrap CI</w:t>
            </w:r>
          </w:p>
        </w:tc>
        <w:tc>
          <w:tcPr>
            <w:tcBorders>
              <w:top w:val="single" w:sz="12" w:space="0" w:color="000000"/>
              <w:left w:val="nil"/>
              <w:bottom w:val="single" w:sz="8" w:space="0" w:color="000000"/>
              <w:right w:val="nil"/>
            </w:tcBorders>
          </w:tcPr>
          <w:tcPr/>
          <w:p>
            <w:pPr>
              <w:pStyle w:val="Compact"/>
            </w:pPr>
            <w:r>
              <w:t xml:space="preserve">Median AUROC</w:t>
            </w:r>
          </w:p>
        </w:tc>
      </w:tr>
      <w:tr>
        <w:tc>
          <w:tcPr>
            <w:tcBorders>
              <w:top w:val="nil"/>
              <w:left w:val="nil"/>
              <w:bottom w:val="nil"/>
              <w:right w:val="nil"/>
            </w:tcBorders>
          </w:tcPr>
          <w:tcPr/>
          <w:p>
            <w:pPr>
              <w:pStyle w:val="Compact"/>
            </w:pPr>
            <w:r>
              <w:t xml:space="preserve">no audit</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t xml:space="preserve">in-house pass (≥ 0.70)</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0.804</w:t>
            </w:r>
          </w:p>
        </w:tc>
        <w:tc>
          <w:tcPr>
            <w:tcBorders>
              <w:top w:val="nil"/>
              <w:left w:val="nil"/>
              <w:bottom w:val="nil"/>
              <w:right w:val="nil"/>
            </w:tcBorders>
          </w:tcPr>
          <w:tcPr/>
          <w:p>
            <w:pPr>
              <w:pStyle w:val="Compact"/>
            </w:pPr>
            <w:r>
              <w:t xml:space="preserve">[0.716, 0.871]</w:t>
            </w:r>
          </w:p>
        </w:tc>
        <w:tc>
          <w:tcPr>
            <w:tcBorders>
              <w:top w:val="nil"/>
              <w:left w:val="nil"/>
              <w:bottom w:val="nil"/>
              <w:right w:val="nil"/>
            </w:tcBorders>
          </w:tcPr>
          <w:tcPr/>
          <w:p>
            <w:pPr>
              <w:pStyle w:val="Compact"/>
            </w:pPr>
            <w:r>
              <w:t xml:space="preserve">0.850</w:t>
            </w:r>
          </w:p>
        </w:tc>
      </w:tr>
      <w:tr>
        <w:tc>
          <w:tcPr>
            <w:tcBorders>
              <w:top w:val="nil"/>
              <w:left w:val="nil"/>
              <w:bottom w:val="nil"/>
              <w:right w:val="nil"/>
            </w:tcBorders>
          </w:tcPr>
          <w:tcPr/>
          <w:p>
            <w:pPr>
              <w:pStyle w:val="Compact"/>
            </w:pPr>
            <w:r>
              <w:rPr>
                <w:b/>
                <w:bCs/>
              </w:rPr>
              <w:t xml:space="preserve">Orphanidou pass</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0.823</w:t>
            </w:r>
          </w:p>
        </w:tc>
        <w:tc>
          <w:tcPr>
            <w:tcBorders>
              <w:top w:val="nil"/>
              <w:left w:val="nil"/>
              <w:bottom w:val="nil"/>
              <w:right w:val="nil"/>
            </w:tcBorders>
          </w:tcPr>
          <w:tcPr/>
          <w:p>
            <w:pPr>
              <w:pStyle w:val="Compact"/>
            </w:pPr>
            <w:r>
              <w:rPr>
                <w:b/>
                <w:bCs/>
              </w:rPr>
              <w:t xml:space="preserve">[0.744, 0.906]</w:t>
            </w:r>
          </w:p>
        </w:tc>
        <w:tc>
          <w:tcPr>
            <w:tcBorders>
              <w:top w:val="nil"/>
              <w:left w:val="nil"/>
              <w:bottom w:val="nil"/>
              <w:right w:val="nil"/>
            </w:tcBorders>
          </w:tcPr>
          <w:tcPr/>
          <w:p>
            <w:pPr>
              <w:pStyle w:val="Compact"/>
            </w:pPr>
            <w:r>
              <w:rPr>
                <w:b/>
                <w:bCs/>
              </w:rPr>
              <w:t xml:space="preserve">0.822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0.823</w:t>
            </w:r>
          </w:p>
        </w:tc>
        <w:tc>
          <w:tcPr>
            <w:tcBorders>
              <w:top w:val="nil"/>
              <w:left w:val="nil"/>
              <w:bottom w:val="single" w:sz="12" w:space="0" w:color="000000"/>
              <w:right w:val="nil"/>
            </w:tcBorders>
          </w:tcPr>
          <w:tcPr/>
          <w:p>
            <w:pPr>
              <w:pStyle w:val="Compact"/>
            </w:pPr>
            <w:r>
              <w:t xml:space="preserve">[0.744, 0.906]</w:t>
            </w:r>
          </w:p>
        </w:tc>
        <w:tc>
          <w:tcPr>
            <w:tcBorders>
              <w:top w:val="nil"/>
              <w:left w:val="nil"/>
              <w:bottom w:val="single" w:sz="12" w:space="0" w:color="000000"/>
              <w:right w:val="nil"/>
            </w:tcBorders>
          </w:tcPr>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tcBorders>
              <w:top w:val="single" w:sz="12" w:space="0" w:color="000000"/>
              <w:left w:val="nil"/>
              <w:bottom w:val="single" w:sz="8" w:space="0" w:color="000000"/>
              <w:right w:val="nil"/>
            </w:tcBorders>
          </w:tcPr>
          <w:tcPr/>
          <w:p>
            <w:pPr>
              <w:pStyle w:val="Compact"/>
            </w:pPr>
            <w:r>
              <w:t xml:space="preserve">Condition vs no-audit</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AUROC</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(one-sided, greater)</w:t>
            </w:r>
          </w:p>
        </w:tc>
      </w:tr>
      <w:tr>
        <w:tc>
          <w:tcPr>
            <w:tcBorders>
              <w:top w:val="nil"/>
              <w:left w:val="nil"/>
              <w:bottom w:val="nil"/>
              <w:right w:val="nil"/>
            </w:tcBorders>
          </w:tcPr>
          <w:tcPr/>
          <w:p>
            <w:pPr>
              <w:pStyle w:val="Compact"/>
            </w:pPr>
            <w:r>
              <w:t xml:space="preserve">in-house</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w:t>
            </w:r>
          </w:p>
        </w:tc>
        <w:tc>
          <w:tcPr>
            <w:tcBorders>
              <w:top w:val="nil"/>
              <w:left w:val="nil"/>
              <w:bottom w:val="nil"/>
              <w:right w:val="nil"/>
            </w:tcBorders>
          </w:tcPr>
          <w:tcPr/>
          <w:p>
            <w:pPr>
              <w:pStyle w:val="Compact"/>
            </w:pPr>
            <w:r>
              <w:rPr>
                <w:b/>
                <w:bCs/>
              </w:rPr>
              <w:t xml:space="preserve">14</w:t>
            </w:r>
          </w:p>
        </w:tc>
        <w:tc>
          <w:tcPr>
            <w:tcBorders>
              <w:top w:val="nil"/>
              <w:left w:val="nil"/>
              <w:bottom w:val="nil"/>
              <w:right w:val="nil"/>
            </w:tcBorders>
          </w:tcPr>
          <w:tcPr/>
          <w:p>
            <w:pPr>
              <w:pStyle w:val="Compact"/>
            </w:pPr>
            <w:r>
              <w:rPr>
                <w:b/>
                <w:bCs/>
              </w:rPr>
              <w:t xml:space="preserve">+0.027</w:t>
            </w:r>
          </w:p>
        </w:tc>
        <w:tc>
          <w:tcPr>
            <w:tcBorders>
              <w:top w:val="nil"/>
              <w:left w:val="nil"/>
              <w:bottom w:val="nil"/>
              <w:right w:val="nil"/>
            </w:tcBorders>
          </w:tcPr>
          <w:tcPr/>
          <w:p>
            <w:pPr>
              <w:pStyle w:val="Compact"/>
            </w:pPr>
            <w:r>
              <w:rPr>
                <w:b/>
                <w:bCs/>
              </w:rPr>
              <w:t xml:space="preserve">10 / 4</w:t>
            </w:r>
          </w:p>
        </w:tc>
        <w:tc>
          <w:tcPr>
            <w:tcBorders>
              <w:top w:val="nil"/>
              <w:left w:val="nil"/>
              <w:bottom w:val="nil"/>
              <w:right w:val="nil"/>
            </w:tcBorders>
          </w:tcPr>
          <w:tcPr/>
          <w:p>
            <w:pPr>
              <w:pStyle w:val="Compact"/>
            </w:pPr>
            <w:r>
              <w:rPr>
                <w:b/>
                <w:bCs/>
              </w:rPr>
              <w:t xml:space="preserve">0.052</w:t>
            </w:r>
          </w:p>
        </w:tc>
      </w:tr>
      <w:tr>
        <w:tc>
          <w:tcPr>
            <w:tcBorders>
              <w:top w:val="nil"/>
              <w:left w:val="nil"/>
              <w:bottom w:val="single" w:sz="12" w:space="0" w:color="000000"/>
              <w:right w:val="nil"/>
            </w:tcBorders>
          </w:tcPr>
          <w:tcPr/>
          <w:p>
            <w:pPr>
              <w:pStyle w:val="Compact"/>
            </w:pPr>
            <w:r>
              <w:t xml:space="preserve">both</w:t>
            </w:r>
          </w:p>
        </w:tc>
        <w:tc>
          <w:tcPr>
            <w:tcBorders>
              <w:top w:val="nil"/>
              <w:left w:val="nil"/>
              <w:bottom w:val="single" w:sz="12" w:space="0" w:color="000000"/>
              <w:right w:val="nil"/>
            </w:tcBorders>
          </w:tcPr>
          <w:tcPr/>
          <w:p>
            <w:pPr>
              <w:pStyle w:val="Compact"/>
            </w:pPr>
            <w:r>
              <w:t xml:space="preserve">14</w:t>
            </w:r>
          </w:p>
        </w:tc>
        <w:tc>
          <w:tcPr>
            <w:tcBorders>
              <w:top w:val="nil"/>
              <w:left w:val="nil"/>
              <w:bottom w:val="single" w:sz="12" w:space="0" w:color="000000"/>
              <w:right w:val="nil"/>
            </w:tcBorders>
          </w:tcPr>
          <w:tcPr/>
          <w:p>
            <w:pPr>
              <w:pStyle w:val="Compact"/>
            </w:pPr>
            <w:r>
              <w:t xml:space="preserve">+0.027</w:t>
            </w:r>
          </w:p>
        </w:tc>
        <w:tc>
          <w:tcPr>
            <w:tcBorders>
              <w:top w:val="nil"/>
              <w:left w:val="nil"/>
              <w:bottom w:val="single" w:sz="12" w:space="0" w:color="000000"/>
              <w:right w:val="nil"/>
            </w:tcBorders>
          </w:tcPr>
          <w:tcPr/>
          <w:p>
            <w:pPr>
              <w:pStyle w:val="Compact"/>
            </w:pPr>
            <w:r>
              <w:t xml:space="preserve">10 / 4</w:t>
            </w:r>
          </w:p>
        </w:tc>
        <w:tc>
          <w:tcPr>
            <w:tcBorders>
              <w:top w:val="nil"/>
              <w:left w:val="nil"/>
              <w:bottom w:val="single" w:sz="12" w:space="0" w:color="000000"/>
              <w:right w:val="nil"/>
            </w:tcBorders>
          </w:tcPr>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tcBorders>
              <w:top w:val="single" w:sz="12" w:space="0" w:color="000000"/>
              <w:left w:val="nil"/>
              <w:bottom w:val="single" w:sz="8" w:space="0" w:color="000000"/>
              <w:right w:val="nil"/>
            </w:tcBorders>
          </w:tcPr>
          <w:tcPr/>
          <w:p>
            <w:pPr>
              <w:pStyle w:val="Compact"/>
            </w:pPr>
            <w:r>
              <w:t xml:space="preserve">Comparison</w:t>
            </w:r>
          </w:p>
        </w:tc>
        <w:tc>
          <w:tcPr>
            <w:tcBorders>
              <w:top w:val="single" w:sz="12" w:space="0" w:color="000000"/>
              <w:left w:val="nil"/>
              <w:bottom w:val="single" w:sz="8" w:space="0" w:color="000000"/>
              <w:right w:val="nil"/>
            </w:tcBorders>
          </w:tcPr>
          <w:tcPr/>
          <w:p>
            <w:pPr>
              <w:pStyle w:val="Compact"/>
            </w:pPr>
            <w:r>
              <w:t xml:space="preserve">n paired</w:t>
            </w:r>
          </w:p>
        </w:tc>
        <w:tc>
          <w:tcPr>
            <w:tcBorders>
              <w:top w:val="single" w:sz="12" w:space="0" w:color="000000"/>
              <w:left w:val="nil"/>
              <w:bottom w:val="single" w:sz="8" w:space="0" w:color="000000"/>
              <w:right w:val="nil"/>
            </w:tcBorders>
          </w:tcPr>
          <w:tcPr/>
          <w:p>
            <w:pPr>
              <w:pStyle w:val="Compact"/>
            </w:pPr>
            <w:r>
              <w:t xml:space="preserve">Mean Δ ρ</w:t>
            </w:r>
          </w:p>
        </w:tc>
        <w:tc>
          <w:tcPr>
            <w:tcBorders>
              <w:top w:val="single" w:sz="12" w:space="0" w:color="000000"/>
              <w:left w:val="nil"/>
              <w:bottom w:val="single" w:sz="8" w:space="0" w:color="000000"/>
              <w:right w:val="nil"/>
            </w:tcBorders>
          </w:tcPr>
          <w:tcPr/>
          <w:p>
            <w:pPr>
              <w:pStyle w:val="Compact"/>
            </w:pPr>
            <w:r>
              <w:t xml:space="preserve">Median Δ ρ</w:t>
            </w:r>
          </w:p>
        </w:tc>
        <w:tc>
          <w:tcPr>
            <w:tcBorders>
              <w:top w:val="single" w:sz="12" w:space="0" w:color="000000"/>
              <w:left w:val="nil"/>
              <w:bottom w:val="single" w:sz="8" w:space="0" w:color="000000"/>
              <w:right w:val="nil"/>
            </w:tcBorders>
          </w:tcPr>
          <w:tcPr/>
          <w:p>
            <w:pPr>
              <w:pStyle w:val="Compact"/>
            </w:pPr>
            <w:r>
              <w:t xml:space="preserve">n improved / n worse</w:t>
            </w:r>
          </w:p>
        </w:tc>
        <w:tc>
          <w:tcPr>
            <w:tcBorders>
              <w:top w:val="single" w:sz="12" w:space="0" w:color="000000"/>
              <w:left w:val="nil"/>
              <w:bottom w:val="single" w:sz="8" w:space="0" w:color="000000"/>
              <w:right w:val="nil"/>
            </w:tcBorders>
          </w:tcPr>
          <w:tcPr/>
          <w:p>
            <w:pPr>
              <w:pStyle w:val="Compact"/>
            </w:pPr>
            <w:r>
              <w:t xml:space="preserve">Wilcoxon p (greater)</w:t>
            </w:r>
          </w:p>
        </w:tc>
      </w:tr>
      <w:tr>
        <w:tc>
          <w:tcPr>
            <w:tcBorders>
              <w:top w:val="nil"/>
              <w:left w:val="nil"/>
              <w:bottom w:val="nil"/>
              <w:right w:val="nil"/>
            </w:tcBorders>
          </w:tcPr>
          <w:tcPr/>
          <w:p>
            <w:pPr>
              <w:pStyle w:val="Compact"/>
            </w:pPr>
            <w:r>
              <w:t xml:space="preserve">in-house vs all</w:t>
            </w:r>
          </w:p>
        </w:tc>
        <w:tc>
          <w:tcPr>
            <w:tcBorders>
              <w:top w:val="nil"/>
              <w:left w:val="nil"/>
              <w:bottom w:val="nil"/>
              <w:right w:val="nil"/>
            </w:tcBorders>
          </w:tcPr>
          <w:tcPr/>
          <w:p>
            <w:pPr>
              <w:pStyle w:val="Compact"/>
            </w:pPr>
            <w:r>
              <w:t xml:space="preserve">15</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 / 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rPr>
                <w:b/>
                <w:bCs/>
              </w:rPr>
              <w:t xml:space="preserve">Orphanidou vs all</w:t>
            </w:r>
          </w:p>
        </w:tc>
        <w:tc>
          <w:tcPr>
            <w:tcBorders>
              <w:top w:val="nil"/>
              <w:left w:val="nil"/>
              <w:bottom w:val="nil"/>
              <w:right w:val="nil"/>
            </w:tcBorders>
          </w:tcPr>
          <w:tcPr/>
          <w:p>
            <w:pPr>
              <w:pStyle w:val="Compact"/>
            </w:pPr>
            <w:r>
              <w:rPr>
                <w:b/>
                <w:bCs/>
              </w:rPr>
              <w:t xml:space="preserve">15</w:t>
            </w:r>
          </w:p>
        </w:tc>
        <w:tc>
          <w:tcPr>
            <w:tcBorders>
              <w:top w:val="nil"/>
              <w:left w:val="nil"/>
              <w:bottom w:val="nil"/>
              <w:right w:val="nil"/>
            </w:tcBorders>
          </w:tcPr>
          <w:tcPr/>
          <w:p>
            <w:pPr>
              <w:pStyle w:val="Compact"/>
            </w:pPr>
            <w:r>
              <w:rPr>
                <w:b/>
                <w:bCs/>
              </w:rPr>
              <w:t xml:space="preserve">+0.102</w:t>
            </w:r>
          </w:p>
        </w:tc>
        <w:tc>
          <w:tcPr>
            <w:tcBorders>
              <w:top w:val="nil"/>
              <w:left w:val="nil"/>
              <w:bottom w:val="nil"/>
              <w:right w:val="nil"/>
            </w:tcBorders>
          </w:tcPr>
          <w:tcPr/>
          <w:p>
            <w:pPr>
              <w:pStyle w:val="Compact"/>
            </w:pPr>
            <w:r>
              <w:rPr>
                <w:b/>
                <w:bCs/>
              </w:rPr>
              <w:t xml:space="preserve">+0.110</w:t>
            </w:r>
          </w:p>
        </w:tc>
        <w:tc>
          <w:tcPr>
            <w:tcBorders>
              <w:top w:val="nil"/>
              <w:left w:val="nil"/>
              <w:bottom w:val="nil"/>
              <w:right w:val="nil"/>
            </w:tcBorders>
          </w:tcPr>
          <w:tcPr/>
          <w:p>
            <w:pPr>
              <w:pStyle w:val="Compact"/>
            </w:pPr>
            <w:r>
              <w:rPr>
                <w:b/>
                <w:bCs/>
              </w:rPr>
              <w:t xml:space="preserve">13 / 2</w:t>
            </w:r>
          </w:p>
        </w:tc>
        <w:tc>
          <w:tcPr>
            <w:tcBorders>
              <w:top w:val="nil"/>
              <w:left w:val="nil"/>
              <w:bottom w:val="nil"/>
              <w:right w:val="nil"/>
            </w:tcBorders>
          </w:tcPr>
          <w:tcPr/>
          <w:p>
            <w:pPr>
              <w:pStyle w:val="Compact"/>
            </w:pPr>
            <w:r>
              <w:rPr>
                <w:b/>
                <w:bCs/>
              </w:rPr>
              <w:t xml:space="preserve">1.5e-04</w:t>
            </w:r>
          </w:p>
        </w:tc>
      </w:tr>
      <w:tr>
        <w:tc>
          <w:tcPr>
            <w:tcBorders>
              <w:top w:val="nil"/>
              <w:left w:val="nil"/>
              <w:bottom w:val="single" w:sz="12" w:space="0" w:color="000000"/>
              <w:right w:val="nil"/>
            </w:tcBorders>
          </w:tcPr>
          <w:tcPr/>
          <w:p>
            <w:pPr>
              <w:pStyle w:val="Compact"/>
            </w:pPr>
            <w:r>
              <w:t xml:space="preserve">both vs all</w:t>
            </w:r>
          </w:p>
        </w:tc>
        <w:tc>
          <w:tcPr>
            <w:tcBorders>
              <w:top w:val="nil"/>
              <w:left w:val="nil"/>
              <w:bottom w:val="single" w:sz="12" w:space="0" w:color="000000"/>
              <w:right w:val="nil"/>
            </w:tcBorders>
          </w:tcPr>
          <w:tcPr/>
          <w:p>
            <w:pPr>
              <w:pStyle w:val="Compact"/>
            </w:pPr>
            <w:r>
              <w:t xml:space="preserve">15</w:t>
            </w:r>
          </w:p>
        </w:tc>
        <w:tc>
          <w:tcPr>
            <w:tcBorders>
              <w:top w:val="nil"/>
              <w:left w:val="nil"/>
              <w:bottom w:val="single" w:sz="12" w:space="0" w:color="000000"/>
              <w:right w:val="nil"/>
            </w:tcBorders>
          </w:tcPr>
          <w:tcPr/>
          <w:p>
            <w:pPr>
              <w:pStyle w:val="Compact"/>
            </w:pPr>
            <w:r>
              <w:t xml:space="preserve">+0.102</w:t>
            </w:r>
          </w:p>
        </w:tc>
        <w:tc>
          <w:tcPr>
            <w:tcBorders>
              <w:top w:val="nil"/>
              <w:left w:val="nil"/>
              <w:bottom w:val="single" w:sz="12" w:space="0" w:color="000000"/>
              <w:right w:val="nil"/>
            </w:tcBorders>
          </w:tcPr>
          <w:tcPr/>
          <w:p>
            <w:pPr>
              <w:pStyle w:val="Compact"/>
            </w:pPr>
            <w:r>
              <w:t xml:space="preserve">+0.110</w:t>
            </w:r>
          </w:p>
        </w:tc>
        <w:tc>
          <w:tcPr>
            <w:tcBorders>
              <w:top w:val="nil"/>
              <w:left w:val="nil"/>
              <w:bottom w:val="single" w:sz="12" w:space="0" w:color="000000"/>
              <w:right w:val="nil"/>
            </w:tcBorders>
          </w:tcPr>
          <w:tcPr/>
          <w:p>
            <w:pPr>
              <w:pStyle w:val="Compact"/>
            </w:pPr>
            <w:r>
              <w:t xml:space="preserve">13 / 2</w:t>
            </w:r>
          </w:p>
        </w:tc>
        <w:tc>
          <w:tcPr>
            <w:tcBorders>
              <w:top w:val="nil"/>
              <w:left w:val="nil"/>
              <w:bottom w:val="single" w:sz="12" w:space="0" w:color="000000"/>
              <w:right w:val="nil"/>
            </w:tcBorders>
          </w:tcPr>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The improvement is quality-specific and filter-dependent.</w:t>
      </w:r>
      <w:r>
        <w:t xml:space="preserve"> </w:t>
      </w:r>
      <w:r>
        <w:t xml:space="preserve">Two controls bound this result. As a negative control, retaining the same number of windows per subject chosen at random rather than by Orphanidou produces a median correlation change of +0.005 on WESAD and +0.000 on PPG-DaLiA, with the 95% range across 200 draws straddling zero. The gain is therefore a property of which windows are kept, not of keeping fewer windows or of range restriction from subsetting. Filter choice also matters: substituting Sukor for Orphanidou gives a similar improvement (median +0.139 on WESAD, +0.177 on PPG-DaLiA), but substituting Elgendi reverses it (median -0.171 on WESAD, -0.186 on PPG-DaLiA, with 0 to 2 of 15 subjects improving). The two SQIs that test pulse timing and shape, properties tied to rate recovery, improve HR agreement; the amplitude-distribution SQI does not. The downstream benefit is specific to HR-relevant quality criteria rather than automatic for any SQI, which is why we filter by Orphanidou and report the contrast rather than treating the three methods as interchangeable downstream filters.</w:t>
      </w:r>
    </w:p>
    <w:p>
      <w:pPr>
        <w:pStyle w:val="BodyText"/>
      </w:pPr>
      <w:r>
        <w:rPr>
          <w:b/>
          <w:bCs/>
        </w:rPr>
        <w:t xml:space="preserve">Combined interpretation.</w:t>
      </w:r>
      <w:r>
        <w:t xml:space="preserve"> </w:t>
      </w:r>
      <w:r>
        <w:t xml:space="preserve">Filtering by an HR-relevant SQI improves window-level HR agreement but only marginally improves cohort-level classification, and the two results carry different evidential weight. The classification result (Task A, +0.027, p = 0.05) is the more independent test, because the SQI is not optimized for stress classification: any gain there reflects cleaner model inputs rather than the filter selecting for its own objective. LOSO evaluation on n = 15 has limited statistical power, and the +0.027 mean improvement is consistent with a real effect the sample size cannot declare significant. The HR-correlation result (Task B, +0.110, p &lt; 0.001) is larger and, by the negative control above, quality-specific rather than a retention artifact, but it sits closer to the filtering criterion: filtering on PPG quality and then scoring PPG-derived HR accuracy is partly self-fulfilling, since improving rate recoverability is much of what a pulse-shape or interval SQI does. We therefore read Task A as the more demanding evidence that the audit affects a task it does not directly target, and Task B as confirmation that Orphanidou and Sukor act as competent HR-quality filters.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CaptionedFigure"/>
      </w:pPr>
      <w:r>
        <w:drawing>
          <wp:inline>
            <wp:extent cx="5334000" cy="3673268"/>
            <wp:effectExtent b="0" l="0" r="0" t="0"/>
            <wp:docPr descr="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 title="" id="44" name="Picture"/>
            <a:graphic>
              <a:graphicData uri="http://schemas.openxmlformats.org/drawingml/2006/picture">
                <pic:pic>
                  <pic:nvPicPr>
                    <pic:cNvPr descr="results/downstream_demo/figure_downstream.png" id="45" name="Picture"/>
                    <pic:cNvPicPr>
                      <a:picLocks noChangeArrowheads="1" noChangeAspect="1"/>
                    </pic:cNvPicPr>
                  </pic:nvPicPr>
                  <pic:blipFill>
                    <a:blip r:embed="rId43"/>
                    <a:stretch>
                      <a:fillRect/>
                    </a:stretch>
                  </pic:blipFill>
                  <pic:spPr bwMode="auto">
                    <a:xfrm>
                      <a:off x="0" y="0"/>
                      <a:ext cx="5334000" cy="3673268"/>
                    </a:xfrm>
                    <a:prstGeom prst="rect">
                      <a:avLst/>
                    </a:prstGeom>
                    <a:noFill/>
                    <a:ln w="9525">
                      <a:noFill/>
                      <a:headEnd/>
                      <a:tailEnd/>
                    </a:ln>
                  </pic:spPr>
                </pic:pic>
              </a:graphicData>
            </a:graphic>
          </wp:inline>
        </w:drawing>
      </w:r>
    </w:p>
    <w:p>
      <w:pPr>
        <w:pStyle w:val="ImageCaption"/>
      </w:pPr>
      <w:r>
        <w:t xml:space="preserve">Figure 5. Audit-based filtering improves per-subject biomarker estimation on WESAD. Panel A: LOSO baseline-vs-stress AUROC distributions by audit condition. Panel B: per-subject paired Delta-AUROC vs no-audit, by audit variant. Panel C: per-subject wrist-PPG-to-chest-ECG HR Spearman correlation under each condition. Panel D: per-subject retention vs Delta-rho trade-off under the Orphanidou filter (13 of 15 subjects improve, paired Wilcoxon p = 1.5e-04).</w:t>
      </w:r>
    </w:p>
    <w:bookmarkEnd w:id="46"/>
    <w:bookmarkStart w:id="47" w:name="external-validation-on-ppg-dalia"/>
    <w:p>
      <w:pPr>
        <w:pStyle w:val="Heading3"/>
      </w:pPr>
      <w:r>
        <w:t xml:space="preserve">3.7 External validation on PPG-DaLiA</w:t>
      </w:r>
    </w:p>
    <w:p>
      <w:pPr>
        <w:pStyle w:val="FirstParagraph"/>
      </w:pPr>
      <w:r>
        <w:t xml:space="preserve">The cross-method SQI consensus-rejection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pattern as on WESAD, with the prevalence-insensitive Gwet’s AC1 positive on both datasets (median AC1 +0.281 on PPG-DaLiA versus +0.324 on WESAD):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consensus-rejection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consensus-rejection finding replicates on a 3x larger benchmark with a different activity paradigm and the same hardware."/>
      </w:tblPr>
      <w:tblGrid>
        <w:gridCol w:w="2640"/>
        <w:gridCol w:w="2640"/>
        <w:gridCol w:w="2640"/>
      </w:tblGrid>
      <w:tr>
        <w:trPr>
          <w:tblHeader w:val="on"/>
        </w:trPr>
        <w:tc>
          <w:tcPr>
            <w:tcBorders>
              <w:top w:val="single" w:sz="12" w:space="0" w:color="000000"/>
              <w:left w:val="nil"/>
              <w:bottom w:val="single" w:sz="8" w:space="0" w:color="000000"/>
              <w:right w:val="nil"/>
            </w:tcBorders>
          </w:tcPr>
          <w:tcPr/>
          <w:p>
            <w:pPr>
              <w:pStyle w:val="Compact"/>
            </w:pPr>
            <w:r>
              <w:t xml:space="preserve">Metric</w:t>
            </w:r>
          </w:p>
        </w:tc>
        <w:tc>
          <w:tcPr>
            <w:tcBorders>
              <w:top w:val="single" w:sz="12" w:space="0" w:color="000000"/>
              <w:left w:val="nil"/>
              <w:bottom w:val="single" w:sz="8" w:space="0" w:color="000000"/>
              <w:right w:val="nil"/>
            </w:tcBorders>
          </w:tcPr>
          <w:tcPr/>
          <w:p>
            <w:pPr>
              <w:pStyle w:val="Compact"/>
            </w:pPr>
            <w:r>
              <w:t xml:space="preserve">WESAD (n = 15, 6,585 windows)</w:t>
            </w:r>
          </w:p>
        </w:tc>
        <w:tc>
          <w:tcPr>
            <w:tcBorders>
              <w:top w:val="single" w:sz="12" w:space="0" w:color="000000"/>
              <w:left w:val="nil"/>
              <w:bottom w:val="single" w:sz="8" w:space="0" w:color="000000"/>
              <w:right w:val="nil"/>
            </w:tcBorders>
          </w:tcPr>
          <w:tcPr/>
          <w:p>
            <w:pPr>
              <w:pStyle w:val="Compact"/>
            </w:pPr>
            <w:r>
              <w:t xml:space="preserve">PPG-DaLiA (n = 15, 18,781 windows)</w:t>
            </w:r>
          </w:p>
        </w:tc>
      </w:tr>
      <w:tr>
        <w:tc>
          <w:tcPr>
            <w:tcBorders>
              <w:top w:val="nil"/>
              <w:left w:val="nil"/>
              <w:bottom w:val="nil"/>
              <w:right w:val="nil"/>
            </w:tcBorders>
          </w:tcPr>
          <w:tcPr/>
          <w:p>
            <w:pPr>
              <w:pStyle w:val="Compact"/>
            </w:pPr>
            <w:r>
              <w:t xml:space="preserve">In-house pass rate</w:t>
            </w:r>
          </w:p>
        </w:tc>
        <w:tc>
          <w:tcPr>
            <w:tcBorders>
              <w:top w:val="nil"/>
              <w:left w:val="nil"/>
              <w:bottom w:val="nil"/>
              <w:right w:val="nil"/>
            </w:tcBorders>
          </w:tcPr>
          <w:tcPr/>
          <w:p>
            <w:pPr>
              <w:pStyle w:val="Compact"/>
            </w:pPr>
            <w:r>
              <w:t xml:space="preserve">1.000</w:t>
            </w:r>
          </w:p>
        </w:tc>
        <w:tc>
          <w:tcPr>
            <w:tcBorders>
              <w:top w:val="nil"/>
              <w:left w:val="nil"/>
              <w:bottom w:val="nil"/>
              <w:right w:val="nil"/>
            </w:tcBorders>
          </w:tcPr>
          <w:tcPr/>
          <w:p>
            <w:pPr>
              <w:pStyle w:val="Compact"/>
            </w:pPr>
            <w:r>
              <w:t xml:space="preserve">1.000</w:t>
            </w:r>
          </w:p>
        </w:tc>
      </w:tr>
      <w:tr>
        <w:tc>
          <w:tcPr>
            <w:tcBorders>
              <w:top w:val="nil"/>
              <w:left w:val="nil"/>
              <w:bottom w:val="nil"/>
              <w:right w:val="nil"/>
            </w:tcBorders>
          </w:tcPr>
          <w:tcPr/>
          <w:p>
            <w:pPr>
              <w:pStyle w:val="Compact"/>
            </w:pPr>
            <w:r>
              <w:t xml:space="preserve">Orphanidou pass rate</w:t>
            </w:r>
          </w:p>
        </w:tc>
        <w:tc>
          <w:tcPr>
            <w:tcBorders>
              <w:top w:val="nil"/>
              <w:left w:val="nil"/>
              <w:bottom w:val="nil"/>
              <w:right w:val="nil"/>
            </w:tcBorders>
          </w:tcPr>
          <w:tcPr/>
          <w:p>
            <w:pPr>
              <w:pStyle w:val="Compact"/>
            </w:pPr>
            <w:r>
              <w:t xml:space="preserve">0.256</w:t>
            </w:r>
          </w:p>
        </w:tc>
        <w:tc>
          <w:tcPr>
            <w:tcBorders>
              <w:top w:val="nil"/>
              <w:left w:val="nil"/>
              <w:bottom w:val="nil"/>
              <w:right w:val="nil"/>
            </w:tcBorders>
          </w:tcPr>
          <w:tcPr/>
          <w:p>
            <w:pPr>
              <w:pStyle w:val="Compact"/>
            </w:pPr>
            <w:r>
              <w:t xml:space="preserve">0.282</w:t>
            </w:r>
          </w:p>
        </w:tc>
      </w:tr>
      <w:tr>
        <w:tc>
          <w:tcPr>
            <w:tcBorders>
              <w:top w:val="nil"/>
              <w:left w:val="nil"/>
              <w:bottom w:val="nil"/>
              <w:right w:val="nil"/>
            </w:tcBorders>
          </w:tcPr>
          <w:tcPr/>
          <w:p>
            <w:pPr>
              <w:pStyle w:val="Compact"/>
            </w:pPr>
            <w:r>
              <w:t xml:space="preserve">Sukor pass rate</w:t>
            </w:r>
          </w:p>
        </w:tc>
        <w:tc>
          <w:tcPr>
            <w:tcBorders>
              <w:top w:val="nil"/>
              <w:left w:val="nil"/>
              <w:bottom w:val="nil"/>
              <w:right w:val="nil"/>
            </w:tcBorders>
          </w:tcPr>
          <w:tcPr/>
          <w:p>
            <w:pPr>
              <w:pStyle w:val="Compact"/>
            </w:pPr>
            <w:r>
              <w:t xml:space="preserve">0.255</w:t>
            </w:r>
          </w:p>
        </w:tc>
        <w:tc>
          <w:tcPr>
            <w:tcBorders>
              <w:top w:val="nil"/>
              <w:left w:val="nil"/>
              <w:bottom w:val="nil"/>
              <w:right w:val="nil"/>
            </w:tcBorders>
          </w:tcPr>
          <w:tcPr/>
          <w:p>
            <w:pPr>
              <w:pStyle w:val="Compact"/>
            </w:pPr>
            <w:r>
              <w:t xml:space="preserve">0.271</w:t>
            </w:r>
          </w:p>
        </w:tc>
      </w:tr>
      <w:tr>
        <w:tc>
          <w:tcPr>
            <w:tcBorders>
              <w:top w:val="nil"/>
              <w:left w:val="nil"/>
              <w:bottom w:val="nil"/>
              <w:right w:val="nil"/>
            </w:tcBorders>
          </w:tcPr>
          <w:tcPr/>
          <w:p>
            <w:pPr>
              <w:pStyle w:val="Compact"/>
            </w:pPr>
            <w:r>
              <w:t xml:space="preserve">Elgendi pass rate</w:t>
            </w:r>
          </w:p>
        </w:tc>
        <w:tc>
          <w:tcPr>
            <w:tcBorders>
              <w:top w:val="nil"/>
              <w:left w:val="nil"/>
              <w:bottom w:val="nil"/>
              <w:right w:val="nil"/>
            </w:tcBorders>
          </w:tcPr>
          <w:tcPr/>
          <w:p>
            <w:pPr>
              <w:pStyle w:val="Compact"/>
            </w:pPr>
            <w:r>
              <w:t xml:space="preserve">0.215</w:t>
            </w:r>
          </w:p>
        </w:tc>
        <w:tc>
          <w:tcPr>
            <w:tcBorders>
              <w:top w:val="nil"/>
              <w:left w:val="nil"/>
              <w:bottom w:val="nil"/>
              <w:right w:val="nil"/>
            </w:tcBorders>
          </w:tcPr>
          <w:tcPr/>
          <w:p>
            <w:pPr>
              <w:pStyle w:val="Compact"/>
            </w:pPr>
            <w:r>
              <w:t xml:space="preserve">0.220</w:t>
            </w:r>
          </w:p>
        </w:tc>
      </w:tr>
      <w:tr>
        <w:tc>
          <w:tcPr>
            <w:tcBorders>
              <w:top w:val="nil"/>
              <w:left w:val="nil"/>
              <w:bottom w:val="nil"/>
              <w:right w:val="nil"/>
            </w:tcBorders>
          </w:tcPr>
          <w:tcPr/>
          <w:p>
            <w:pPr>
              <w:pStyle w:val="Compact"/>
            </w:pPr>
            <w:r>
              <w:t xml:space="preserve">In-house pass AND all 3 published fail</w:t>
            </w:r>
          </w:p>
        </w:tc>
        <w:tc>
          <w:tcPr>
            <w:tcBorders>
              <w:top w:val="nil"/>
              <w:left w:val="nil"/>
              <w:bottom w:val="nil"/>
              <w:right w:val="nil"/>
            </w:tcBorders>
          </w:tcPr>
          <w:tcPr/>
          <w:p>
            <w:pPr>
              <w:pStyle w:val="Compact"/>
            </w:pPr>
            <w:r>
              <w:t xml:space="preserve">0.446</w:t>
            </w:r>
          </w:p>
        </w:tc>
        <w:tc>
          <w:tcPr>
            <w:tcBorders>
              <w:top w:val="nil"/>
              <w:left w:val="nil"/>
              <w:bottom w:val="nil"/>
              <w:right w:val="nil"/>
            </w:tcBorders>
          </w:tcPr>
          <w:tcPr/>
          <w:p>
            <w:pPr>
              <w:pStyle w:val="Compact"/>
            </w:pPr>
            <w:r>
              <w:t xml:space="preserve">0.431</w:t>
            </w:r>
          </w:p>
        </w:tc>
      </w:tr>
      <w:tr>
        <w:tc>
          <w:tcPr>
            <w:tcBorders>
              <w:top w:val="nil"/>
              <w:left w:val="nil"/>
              <w:bottom w:val="nil"/>
              <w:right w:val="nil"/>
            </w:tcBorders>
          </w:tcPr>
          <w:tcPr/>
          <w:p>
            <w:pPr>
              <w:pStyle w:val="Compact"/>
            </w:pPr>
            <w:r>
              <w:t xml:space="preserve">Median pairwise κ (published methods)</w:t>
            </w:r>
          </w:p>
        </w:tc>
        <w:tc>
          <w:tcPr>
            <w:tcBorders>
              <w:top w:val="nil"/>
              <w:left w:val="nil"/>
              <w:bottom w:val="nil"/>
              <w:right w:val="nil"/>
            </w:tcBorders>
          </w:tcPr>
          <w:tcPr/>
          <w:p>
            <w:pPr>
              <w:pStyle w:val="Compact"/>
            </w:pPr>
            <w:r>
              <w:t xml:space="preserve">-0.198</w:t>
            </w:r>
          </w:p>
        </w:tc>
        <w:tc>
          <w:tcPr>
            <w:tcBorders>
              <w:top w:val="nil"/>
              <w:left w:val="nil"/>
              <w:bottom w:val="nil"/>
              <w:right w:val="nil"/>
            </w:tcBorders>
          </w:tcPr>
          <w:tcPr/>
          <w:p>
            <w:pPr>
              <w:pStyle w:val="Compact"/>
            </w:pPr>
            <w:r>
              <w:t xml:space="preserve">-0.204</w:t>
            </w:r>
          </w:p>
        </w:tc>
      </w:tr>
      <w:tr>
        <w:tc>
          <w:tcPr>
            <w:tcBorders>
              <w:top w:val="nil"/>
              <w:left w:val="nil"/>
              <w:bottom w:val="nil"/>
              <w:right w:val="nil"/>
            </w:tcBorders>
          </w:tcPr>
          <w:tcPr/>
          <w:p>
            <w:pPr>
              <w:pStyle w:val="Compact"/>
            </w:pPr>
            <w:r>
              <w:t xml:space="preserve">κ vs in-house (all three published)</w:t>
            </w:r>
          </w:p>
        </w:tc>
        <w:tc>
          <w:tcPr>
            <w:tcBorders>
              <w:top w:val="nil"/>
              <w:left w:val="nil"/>
              <w:bottom w:val="nil"/>
              <w:right w:val="nil"/>
            </w:tcBorders>
          </w:tcPr>
          <w:tcPr/>
          <w:p>
            <w:pPr>
              <w:pStyle w:val="Compact"/>
            </w:pPr>
            <w:r>
              <w:t xml:space="preserve">0.000</w:t>
            </w:r>
          </w:p>
        </w:tc>
        <w:tc>
          <w:tcPr>
            <w:tcBorders>
              <w:top w:val="nil"/>
              <w:left w:val="nil"/>
              <w:bottom w:val="nil"/>
              <w:right w:val="nil"/>
            </w:tcBorders>
          </w:tcPr>
          <w:tcPr/>
          <w:p>
            <w:pPr>
              <w:pStyle w:val="Compact"/>
            </w:pPr>
            <w:r>
              <w:t xml:space="preserve">0.000</w:t>
            </w:r>
          </w:p>
        </w:tc>
      </w:tr>
      <w:tr>
        <w:tc>
          <w:tcPr>
            <w:tcBorders>
              <w:top w:val="nil"/>
              <w:left w:val="nil"/>
              <w:bottom w:val="nil"/>
              <w:right w:val="nil"/>
            </w:tcBorders>
          </w:tcPr>
          <w:tcPr/>
          <w:p>
            <w:pPr>
              <w:pStyle w:val="Compact"/>
            </w:pPr>
            <w:r>
              <w:t xml:space="preserve">Per-subject absolute HR-difference range (bpm)</w:t>
            </w:r>
          </w:p>
        </w:tc>
        <w:tc>
          <w:tcPr>
            <w:tcBorders>
              <w:top w:val="nil"/>
              <w:left w:val="nil"/>
              <w:bottom w:val="nil"/>
              <w:right w:val="nil"/>
            </w:tcBorders>
          </w:tcPr>
          <w:tcPr/>
          <w:p>
            <w:pPr>
              <w:pStyle w:val="Compact"/>
            </w:pPr>
            <w:r>
              <w:t xml:space="preserve">6.75-26.02</w:t>
            </w:r>
          </w:p>
        </w:tc>
        <w:tc>
          <w:tcPr>
            <w:tcBorders>
              <w:top w:val="nil"/>
              <w:left w:val="nil"/>
              <w:bottom w:val="nil"/>
              <w:right w:val="nil"/>
            </w:tcBorders>
          </w:tcPr>
          <w:tcPr/>
          <w:p>
            <w:pPr>
              <w:pStyle w:val="Compact"/>
            </w:pPr>
            <w:r>
              <w:t xml:space="preserve">6.66-16.27</w:t>
            </w:r>
          </w:p>
        </w:tc>
      </w:tr>
      <w:tr>
        <w:tc>
          <w:tcPr>
            <w:tcBorders>
              <w:top w:val="nil"/>
              <w:left w:val="nil"/>
              <w:bottom w:val="single" w:sz="12" w:space="0" w:color="000000"/>
              <w:right w:val="nil"/>
            </w:tcBorders>
          </w:tcPr>
          <w:tcPr/>
          <w:p>
            <w:pPr>
              <w:pStyle w:val="Compact"/>
            </w:pPr>
            <w:r>
              <w:t xml:space="preserve">Per-subject fold range</w:t>
            </w:r>
          </w:p>
        </w:tc>
        <w:tc>
          <w:tcPr>
            <w:tcBorders>
              <w:top w:val="nil"/>
              <w:left w:val="nil"/>
              <w:bottom w:val="single" w:sz="12" w:space="0" w:color="000000"/>
              <w:right w:val="nil"/>
            </w:tcBorders>
          </w:tcPr>
          <w:tcPr/>
          <w:p>
            <w:pPr>
              <w:pStyle w:val="Compact"/>
            </w:pPr>
            <w:r>
              <w:t xml:space="preserve">4.0x</w:t>
            </w:r>
          </w:p>
        </w:tc>
        <w:tc>
          <w:tcPr>
            <w:tcBorders>
              <w:top w:val="nil"/>
              <w:left w:val="nil"/>
              <w:bottom w:val="single" w:sz="12" w:space="0" w:color="000000"/>
              <w:right w:val="nil"/>
            </w:tcBorders>
          </w:tcPr>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consensus-rejection finding is a property of wrist PPG itself rather than of the WESAD stress paradigm or of any single recording session.</w:t>
      </w:r>
    </w:p>
    <w:bookmarkEnd w:id="47"/>
    <w:bookmarkEnd w:id="48"/>
    <w:bookmarkStart w:id="49" w:name="Xf8d28994ab18c569b43451e1d59264a3df91dd7"/>
    <w:p>
      <w:pPr>
        <w:pStyle w:val="Heading2"/>
      </w:pPr>
      <w:r>
        <w:t xml:space="preserve">4. Methodological validation on synthetic data</w:t>
      </w:r>
    </w:p>
    <w:p>
      <w:pPr>
        <w:pStyle w:val="FirstParagraph"/>
      </w:pPr>
      <w:r>
        <w:t xml:space="preserve">The pipeline components that WESAD and PPG-DaLiA cannot exercise, the reliability primitives, the Digital Biomarker Trust Score, the AIPW-adjusted confounding analysis, and the stratified fairness audit, are validated on a 300-participant 60-day synthetic cohort with documented injected failure modes (cohort and generator described in Section 2.2). These analyses recover the injected effects (for example device-family and skin-tone signal-quality gaps, and an AIPW-adjusted active-minutes effect on HRV that a screening correlation misses) and characterise the components for follow-up studies on longitudinal datasets. They do not bear on the empirical findings in Section 3. The full results, tables, and figures are in supplement Section S10.</w:t>
      </w:r>
    </w:p>
    <w:bookmarkEnd w:id="49"/>
    <w:bookmarkStart w:id="53" w:name="discussion"/>
    <w:p>
      <w:pPr>
        <w:pStyle w:val="Heading2"/>
      </w:pPr>
      <w:r>
        <w:t xml:space="preserve">5. Discussion</w:t>
      </w:r>
    </w:p>
    <w:bookmarkStart w:id="5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agree and converge on rejecting a large window population on real wearable data.</w:t>
      </w:r>
      <w:r>
        <w:t xml:space="preserve"> </w:t>
      </w:r>
      <w:r>
        <w:t xml:space="preserve">The published methods individually pass 21.5% to 25.6% of windows and collectively reject 44.6% of windows accepted by a single fixed in-house threshold. Across the three methods the prevalence-insensitive Gwet’s AC1 is positive on every pair (median +0.32) and raw agreement averages 63%; the negative median Cohen’s κ (-0.20) is a prevalence paradox from the shared 74 to 78% rejection rate, not genuine disagreement. The methods agree more than chance on pass/fail and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the alternative to test.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filtering to a timing-based SQI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Orphanidou-passing windows improves per-subject wrist-PPG-to-chest-ECG HR correlation by a median of +0.110 (13 of 15 subjects improved, paired Wilcoxon p = 1.5e-04), with the largest gains in subjects whose unfiltered correlation was modest (S10: 0.65 → 0.78, S9: 0.47 → 0.76).</w:t>
      </w:r>
    </w:p>
    <w:bookmarkEnd w:id="50"/>
    <w:bookmarkStart w:id="51" w:name="relation-to-prior-work"/>
    <w:p>
      <w:pPr>
        <w:pStyle w:val="Heading3"/>
      </w:pPr>
      <w:r>
        <w:t xml:space="preserve">5.2 Relation to prior work</w:t>
      </w:r>
    </w:p>
    <w:p>
      <w:pPr>
        <w:pStyle w:val="FirstParagraph"/>
      </w:pPr>
      <w:r>
        <w:t xml:space="preserve">Wearable signal-quality methods and feature-extraction toolkits have been addressed previously, for example by</w:t>
      </w:r>
      <w:r>
        <w:t xml:space="preserve"> </w:t>
      </w:r>
      <w:r>
        <w:t xml:space="preserve">Clifford et al. (2012)</w:t>
      </w:r>
      <w:r>
        <w:t xml:space="preserve"> </w:t>
      </w:r>
      <w:r>
        <w:t xml:space="preserve">and</w:t>
      </w:r>
      <w:r>
        <w:t xml:space="preserve"> </w:t>
      </w:r>
      <w:r>
        <w:t xml:space="preserve">Föll et al. (2021)</w:t>
      </w:r>
      <w:r>
        <w:t xml:space="preserve">, and prior work has argued that a single quality threshold cannot serve all measurement contexts</w:t>
      </w:r>
      <w:r>
        <w:t xml:space="preserve"> </w:t>
      </w:r>
      <w:r>
        <w:t xml:space="preserve">(McLean et al. 2023)</w:t>
      </w:r>
      <w:r>
        <w:t xml:space="preserve">. What that literature has not done is quantify, on a public real-wearable-PPG benchmark, how far the published SQI methods agree with one another and what audit-based filtering does to downstream biomarker estimation. That empirical question is the contribution here: on WESAD and PPG-DaLiA the three published methods reach prevalence-insensitive agreement and consensus-reject a large window population that a single fixed in-house threshold accepts, and filtering to a timing-based published SQI improves per-subject HR correlation. The remaining pipeline components (reliability primitives, a doubly-robust AIPW confounding estimator under a user-supplied DAG, and a stratified fairness audit) are supporting infrastructure, validated on synthetic data in the supplement rather than claimed as empirical findings.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51"/>
    <w:bookmarkStart w:id="5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(the three published methods consensus-reject a large fraction of windows accepted by the in-house threshold, which is the lone outlier) strengthened at n=15, but the pilot’s</w:t>
      </w:r>
      <w:r>
        <w:t xml:space="preserve"> </w:t>
      </w:r>
      <w:r>
        <w:t xml:space="preserve">“recalibration recovers fair agreement”</w:t>
      </w:r>
      <w:r>
        <w:t xml:space="preserve"> </w:t>
      </w:r>
      <w:r>
        <w:t xml:space="preserve">finding did not replicate. This is reported as an honest negative result in Section 3.3, stable across split strategies: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consensus-rejection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 multi-device wearable corpus would provide the natural next test.</w:t>
      </w:r>
    </w:p>
    <w:p>
      <w:pPr>
        <w:pStyle w:val="BodyText"/>
      </w:pPr>
      <w:r>
        <w:rPr>
          <w:b/>
          <w:bCs/>
        </w:rPr>
        <w:t xml:space="preserve">The in-house baseline is a simple motion threshold, not a validated quality index.</w:t>
      </w:r>
      <w:r>
        <w:t xml:space="preserve"> </w:t>
      </w:r>
      <w:r>
        <w:t xml:space="preserve">The in-house SQI used here is a motion-driven per-window score applied at a fixed 0.70 cutoff. At that cutoff it accepts essentially all windows on both datasets, and Table 6 shows it is close to a deterministic inverse of the motion estimate (Spearman -1.000), so we do not claim it is a calibrated or validated signal-quality index. A reader could reasonably object that rejecting windows such a score accepts is a low bar. We include it only as a stand-in for the common practice of applying a single fixed threshold to a motion-correlated quality score, and the substantive finding does not depend on it: the consensus-rejection result is a property of the three published methods agreeing on the same large fraction of windows (44.6% on WESAD, 43.1% on PPG-DaLiA; Section 3.2), independent of any in-house decision, and the threshold-sensitivity analysis shows the headline is unchanged across the full 0.50 to 0.95 range (Supplementary Table S5). The intended reading is not that the published methods beat the in-house threshold, but that three independently developed methods converge while a single motion threshold does not discriminate among windows at all.</w:t>
      </w:r>
    </w:p>
    <w:p>
      <w:pPr>
        <w:pStyle w:val="BodyText"/>
      </w:pPr>
      <w:r>
        <w:rPr>
          <w:b/>
          <w:bCs/>
        </w:rPr>
        <w:t xml:space="preserve">No hand-labeled signal-quality ground truth.</w:t>
      </w:r>
      <w:r>
        <w:t xml:space="preserve"> </w:t>
      </w:r>
      <w:r>
        <w:t xml:space="preserve">On WESAD and PPG-DaLiA the three published methods converge on a consensus-reject set while still differing on individual windows (raw agreement 56 to 78%); without hand-labeled signal-quality ground truth on these datasets, we cannot identify which method (if any) is correct on any specific disagreed-on window. The HR-agreement evidence in Section 3.6 is an indirect proxy: Orphanidou-passing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(supplement Section S10.2).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the All of Us Research Program.</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(supplement Section S10.3,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2.10)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2.10).</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Methodology study, not clinical validation.</w:t>
      </w:r>
      <w:r>
        <w:t xml:space="preserve"> </w:t>
      </w:r>
      <w:r>
        <w:t xml:space="preserve">This is a methodology paper rather than a clinical validation study.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would require prospective clinical validation with relevant device experience; the synthetic-cohort validation in Section 4 and the WESAD/PPG-DaLiA empirical study in Section 3 are methodological contributions rather than clinical findings.</w:t>
      </w:r>
    </w:p>
    <w:bookmarkEnd w:id="52"/>
    <w:bookmarkEnd w:id="53"/>
    <w:bookmarkStart w:id="5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single fixed in-house threshold. The three methods agree with each other once base rates are accounted for (median Gwet’s AC1 = +0.32; the negative Cohen’s κ is a prevalence paradox) and converge on the consensus rejection set. Single-threshold recalibration at n = 15 does not recover agreement, and per-subject heterogeneity in cross-modality HR disagreement spans a four-fold range across subjects. Restricting downstream models to Orphanidou-passing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54"/>
    <w:bookmarkStart w:id="55" w:name="code-and-data-availability"/>
    <w:p>
      <w:pPr>
        <w:pStyle w:val="Heading2"/>
      </w:pPr>
      <w:r>
        <w:t xml:space="preserve">Code and data availability</w:t>
      </w:r>
    </w:p>
    <w:p>
      <w:pPr>
        <w:pStyle w:val="FirstParagraph"/>
      </w:pPr>
      <w:r>
        <w:t xml:space="preserve">Code: https://github.com/ceyhunolcan/biomedical-signal-forensics-lab, released under the MIT license. PyPI: https://pypi.org/project/biomedical-signal-forensics-lab/. Concept DOI: 10.5281/zenodo.20349806. All synthetic data is generated by code from a fixed seed; no data is distributed separately. Two public datasets were used in the empirical study: WESAD</w:t>
      </w:r>
      <w:r>
        <w:t xml:space="preserve"> </w:t>
      </w:r>
      <w:r>
        <w:t xml:space="preserve">(Schmidt et al. 2018)</w:t>
      </w:r>
      <w:r>
        <w:t xml:space="preserve">, publicly available from the UCI Machine Learning Repository, and PPG-DaLiA</w:t>
      </w:r>
      <w:r>
        <w:t xml:space="preserve"> </w:t>
      </w:r>
      <w:r>
        <w:t xml:space="preserve">(Reiss et al. 2019)</w:t>
      </w:r>
      <w:r>
        <w:t xml:space="preserve">, also publicly available from the UCI Machine Learning Repository. Both are released without restrictions for research use.</w:t>
      </w:r>
    </w:p>
    <w:bookmarkEnd w:id="55"/>
    <w:bookmarkStart w:id="5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 Mehmet Ozberk Olcan: Writing - original draft, Writing - review and editing. Seckin Olcan: Writing - original draft, Writing - review and editing.</w:t>
      </w:r>
    </w:p>
    <w:bookmarkEnd w:id="56"/>
    <w:bookmarkStart w:id="57" w:name="funding"/>
    <w:p>
      <w:pPr>
        <w:pStyle w:val="Heading2"/>
      </w:pPr>
      <w:r>
        <w:t xml:space="preserve">Funding</w:t>
      </w:r>
    </w:p>
    <w:p>
      <w:pPr>
        <w:pStyle w:val="FirstParagraph"/>
      </w:pPr>
      <w:r>
        <w:t xml:space="preserve">No external funding supported this work.</w:t>
      </w:r>
    </w:p>
    <w:bookmarkEnd w:id="57"/>
    <w:bookmarkStart w:id="58" w:name="ethics-statement"/>
    <w:p>
      <w:pPr>
        <w:pStyle w:val="Heading2"/>
      </w:pPr>
      <w:r>
        <w:t xml:space="preserve">Ethics statement</w:t>
      </w:r>
    </w:p>
    <w:p>
      <w:pPr>
        <w:pStyle w:val="FirstParagraph"/>
      </w:pPr>
      <w:r>
        <w:t xml:space="preserve">This study is a secondary analysis of two publicly available datasets, WESAD</w:t>
      </w:r>
      <w:r>
        <w:t xml:space="preserve"> </w:t>
      </w:r>
      <w:r>
        <w:t xml:space="preserve">(Schmidt et al. 2018)</w:t>
      </w:r>
      <w:r>
        <w:t xml:space="preserve"> </w:t>
      </w:r>
      <w:r>
        <w:t xml:space="preserve">and PPG-DaLiA</w:t>
      </w:r>
      <w:r>
        <w:t xml:space="preserve"> </w:t>
      </w:r>
      <w:r>
        <w:t xml:space="preserve">(Reiss et al. 2019)</w:t>
      </w:r>
      <w:r>
        <w:t xml:space="preserve">, released under terms permitting research use. No new human-subjects data were collected; institutional review board approval was therefore not required for this work.</w:t>
      </w:r>
    </w:p>
    <w:bookmarkEnd w:id="58"/>
    <w:bookmarkStart w:id="59" w:name="competing-interests"/>
    <w:p>
      <w:pPr>
        <w:pStyle w:val="Heading2"/>
      </w:pPr>
      <w:r>
        <w:t xml:space="preserve">Competing interests</w:t>
      </w:r>
    </w:p>
    <w:p>
      <w:pPr>
        <w:pStyle w:val="FirstParagraph"/>
      </w:pPr>
      <w:r>
        <w:t xml:space="preserve">The authors declare no competing interests.</w:t>
      </w:r>
    </w:p>
    <w:bookmarkEnd w:id="59"/>
    <w:bookmarkStart w:id="115" w:name="references"/>
    <w:p>
      <w:pPr>
        <w:pStyle w:val="Heading2"/>
      </w:pPr>
      <w:r>
        <w:t xml:space="preserve">References</w:t>
      </w:r>
    </w:p>
    <w:bookmarkStart w:id="114" w:name="refs"/>
    <w:bookmarkStart w:id="6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60">
        <w:r>
          <w:rPr>
            <w:rStyle w:val="Hyperlink"/>
          </w:rPr>
          <w:t xml:space="preserve">https://doi.org/10.1088/0967-3334/28/3/R01</w:t>
        </w:r>
      </w:hyperlink>
      <w:r>
        <w:t xml:space="preserve">.</w:t>
      </w:r>
    </w:p>
    <w:bookmarkEnd w:id="61"/>
    <w:bookmarkStart w:id="6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62">
        <w:r>
          <w:rPr>
            <w:rStyle w:val="Hyperlink"/>
          </w:rPr>
          <w:t xml:space="preserve">https://doi.org/10.1038/s41746-020-0226-6</w:t>
        </w:r>
      </w:hyperlink>
      <w:r>
        <w:t xml:space="preserve">.</w:t>
      </w:r>
    </w:p>
    <w:bookmarkEnd w:id="63"/>
    <w:bookmarkStart w:id="6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64">
        <w:r>
          <w:rPr>
            <w:rStyle w:val="Hyperlink"/>
          </w:rPr>
          <w:t xml:space="preserve">https://doi.org/10.1016/S0140-6736(86)90837-8</w:t>
        </w:r>
      </w:hyperlink>
      <w:r>
        <w:t xml:space="preserve">.</w:t>
      </w:r>
    </w:p>
    <w:bookmarkEnd w:id="65"/>
    <w:bookmarkStart w:id="6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66">
        <w:r>
          <w:rPr>
            <w:rStyle w:val="Hyperlink"/>
          </w:rPr>
          <w:t xml:space="preserve">https://doi.org/10.1136/bmj.h5527</w:t>
        </w:r>
      </w:hyperlink>
      <w:r>
        <w:t xml:space="preserve">.</w:t>
      </w:r>
    </w:p>
    <w:bookmarkEnd w:id="67"/>
    <w:bookmarkStart w:id="6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68">
        <w:r>
          <w:rPr>
            <w:rStyle w:val="Hyperlink"/>
          </w:rPr>
          <w:t xml:space="preserve">https://doi.org/10.1037/0033-2909.114.3.494</w:t>
        </w:r>
      </w:hyperlink>
      <w:r>
        <w:t xml:space="preserve">.</w:t>
      </w:r>
    </w:p>
    <w:bookmarkEnd w:id="69"/>
    <w:bookmarkStart w:id="7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70">
        <w:r>
          <w:rPr>
            <w:rStyle w:val="Hyperlink"/>
          </w:rPr>
          <w:t xml:space="preserve">https://doi.org/10.1088/0967-3334/33/9/1419</w:t>
        </w:r>
      </w:hyperlink>
      <w:r>
        <w:t xml:space="preserve">.</w:t>
      </w:r>
    </w:p>
    <w:bookmarkEnd w:id="71"/>
    <w:bookmarkStart w:id="7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72"/>
    <w:bookmarkStart w:id="7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73">
        <w:r>
          <w:rPr>
            <w:rStyle w:val="Hyperlink"/>
          </w:rPr>
          <w:t xml:space="preserve">https://doi.org/10.1136/bmj-2023-078378</w:t>
        </w:r>
      </w:hyperlink>
      <w:r>
        <w:t xml:space="preserve">.</w:t>
      </w:r>
    </w:p>
    <w:bookmarkEnd w:id="74"/>
    <w:bookmarkStart w:id="7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75"/>
    <w:bookmarkStart w:id="7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76">
        <w:r>
          <w:rPr>
            <w:rStyle w:val="Hyperlink"/>
          </w:rPr>
          <w:t xml:space="preserve">https://doi.org/10.3390/bioengineering3040021</w:t>
        </w:r>
      </w:hyperlink>
      <w:r>
        <w:t xml:space="preserve">.</w:t>
      </w:r>
    </w:p>
    <w:bookmarkEnd w:id="77"/>
    <w:bookmarkStart w:id="7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78">
        <w:r>
          <w:rPr>
            <w:rStyle w:val="Hyperlink"/>
          </w:rPr>
          <w:t xml:space="preserve">https://doi.org/10.1016/j.cmpb.2021.106461</w:t>
        </w:r>
      </w:hyperlink>
      <w:r>
        <w:t xml:space="preserve">.</w:t>
      </w:r>
    </w:p>
    <w:bookmarkEnd w:id="79"/>
    <w:bookmarkStart w:id="8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80">
        <w:r>
          <w:rPr>
            <w:rStyle w:val="Hyperlink"/>
          </w:rPr>
          <w:t xml:space="preserve">https://doi.org/10.1038/s41591-020-1034-x</w:t>
        </w:r>
      </w:hyperlink>
      <w:r>
        <w:t xml:space="preserve">.</w:t>
      </w:r>
    </w:p>
    <w:bookmarkEnd w:id="81"/>
    <w:bookmarkStart w:id="8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82">
        <w:r>
          <w:rPr>
            <w:rStyle w:val="Hyperlink"/>
          </w:rPr>
          <w:t xml:space="preserve">https://doi.org/10.1093/oxfordjournals.eurheartj.a014868</w:t>
        </w:r>
      </w:hyperlink>
      <w:r>
        <w:t xml:space="preserve">.</w:t>
      </w:r>
    </w:p>
    <w:bookmarkEnd w:id="83"/>
    <w:bookmarkStart w:id="85" w:name="ref-mclean2023sliding"/>
    <w:p>
      <w:pPr>
        <w:pStyle w:val="Bibliography"/>
      </w:pPr>
      <w:r>
        <w:t xml:space="preserve">McLean, Marnie K., R. Glenn Weaver, Abbi Lane, et al. 2023.</w:t>
      </w:r>
      <w:r>
        <w:t xml:space="preserve"> </w:t>
      </w:r>
      <w:r>
        <w:t xml:space="preserve">“A Sliding Scale Signal Quality Metric of Photoplethysmography Applicable to Measuring Heart Rate Across Clinical Contexts with Chest Mounting as a Case Study.”</w:t>
      </w:r>
      <w:r>
        <w:t xml:space="preserve"> </w:t>
      </w:r>
      <w:r>
        <w:rPr>
          <w:i/>
          <w:iCs/>
        </w:rPr>
        <w:t xml:space="preserve">Sensors</w:t>
      </w:r>
      <w:r>
        <w:t xml:space="preserve"> </w:t>
      </w:r>
      <w:r>
        <w:t xml:space="preserve">23 (7): 3429.</w:t>
      </w:r>
      <w:r>
        <w:t xml:space="preserve"> </w:t>
      </w:r>
      <w:hyperlink r:id="rId84">
        <w:r>
          <w:rPr>
            <w:rStyle w:val="Hyperlink"/>
          </w:rPr>
          <w:t xml:space="preserve">https://doi.org/10.3390/s23073429</w:t>
        </w:r>
      </w:hyperlink>
      <w:r>
        <w:t xml:space="preserve">.</w:t>
      </w:r>
    </w:p>
    <w:bookmarkEnd w:id="85"/>
    <w:bookmarkStart w:id="87"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86">
        <w:r>
          <w:rPr>
            <w:rStyle w:val="Hyperlink"/>
          </w:rPr>
          <w:t xml:space="preserve">https://doi.org/10.1016/B978-0-12-823374-0.00015-3</w:t>
        </w:r>
      </w:hyperlink>
      <w:r>
        <w:t xml:space="preserve">.</w:t>
      </w:r>
    </w:p>
    <w:bookmarkEnd w:id="87"/>
    <w:bookmarkStart w:id="89" w:name="ref-obermeyer2019"/>
    <w:p>
      <w:pPr>
        <w:pStyle w:val="Bibliography"/>
      </w:pPr>
      <w:r>
        <w:t xml:space="preserve">Obermeyer, Ziad, Brian Powers, Christine Vogeli, and Sendhil Mullainathan. 2019.</w:t>
      </w:r>
      <w:r>
        <w:t xml:space="preserve"> </w:t>
      </w:r>
      <w:r>
        <w:t xml:space="preserve">“Dissecting Racial Bias in an Algorithm Used to Manage the Health of Populations.”</w:t>
      </w:r>
      <w:r>
        <w:t xml:space="preserve"> </w:t>
      </w:r>
      <w:r>
        <w:rPr>
          <w:i/>
          <w:iCs/>
        </w:rPr>
        <w:t xml:space="preserve">Science</w:t>
      </w:r>
      <w:r>
        <w:t xml:space="preserve"> </w:t>
      </w:r>
      <w:r>
        <w:t xml:space="preserve">366 (6464): 447–53.</w:t>
      </w:r>
      <w:r>
        <w:t xml:space="preserve"> </w:t>
      </w:r>
      <w:hyperlink r:id="rId88">
        <w:r>
          <w:rPr>
            <w:rStyle w:val="Hyperlink"/>
          </w:rPr>
          <w:t xml:space="preserve">https://doi.org/10.1126/science.aax2342</w:t>
        </w:r>
      </w:hyperlink>
      <w:r>
        <w:t xml:space="preserve">.</w:t>
      </w:r>
    </w:p>
    <w:bookmarkEnd w:id="89"/>
    <w:bookmarkStart w:id="91"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90">
        <w:r>
          <w:rPr>
            <w:rStyle w:val="Hyperlink"/>
          </w:rPr>
          <w:t xml:space="preserve">https://doi.org/10.1109/JBHI.2014.2338351</w:t>
        </w:r>
      </w:hyperlink>
      <w:r>
        <w:t xml:space="preserve">.</w:t>
      </w:r>
    </w:p>
    <w:bookmarkEnd w:id="91"/>
    <w:bookmarkStart w:id="9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92">
        <w:r>
          <w:rPr>
            <w:rStyle w:val="Hyperlink"/>
          </w:rPr>
          <w:t xml:space="preserve">https://doi.org/10.3390/s19143079</w:t>
        </w:r>
      </w:hyperlink>
      <w:r>
        <w:t xml:space="preserve">.</w:t>
      </w:r>
    </w:p>
    <w:bookmarkEnd w:id="93"/>
    <w:bookmarkStart w:id="9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94">
        <w:r>
          <w:rPr>
            <w:rStyle w:val="Hyperlink"/>
          </w:rPr>
          <w:t xml:space="preserve">https://doi.org/10.1080/01621459.1994.10476818</w:t>
        </w:r>
      </w:hyperlink>
      <w:r>
        <w:t xml:space="preserve">.</w:t>
      </w:r>
    </w:p>
    <w:bookmarkEnd w:id="95"/>
    <w:bookmarkStart w:id="9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96">
        <w:r>
          <w:rPr>
            <w:rStyle w:val="Hyperlink"/>
          </w:rPr>
          <w:t xml:space="preserve">https://doi.org/10.1016/j.ijcard.2012.03.119</w:t>
        </w:r>
      </w:hyperlink>
      <w:r>
        <w:t xml:space="preserve">.</w:t>
      </w:r>
    </w:p>
    <w:bookmarkEnd w:id="97"/>
    <w:bookmarkStart w:id="9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98">
        <w:r>
          <w:rPr>
            <w:rStyle w:val="Hyperlink"/>
          </w:rPr>
          <w:t xml:space="preserve">https://doi.org/10.1145/3242969.3242985</w:t>
        </w:r>
      </w:hyperlink>
      <w:r>
        <w:t xml:space="preserve">.</w:t>
      </w:r>
    </w:p>
    <w:bookmarkEnd w:id="99"/>
    <w:bookmarkStart w:id="10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100">
        <w:r>
          <w:rPr>
            <w:rStyle w:val="Hyperlink"/>
          </w:rPr>
          <w:t xml:space="preserve">https://doi.org/10.3390/jpm7020003</w:t>
        </w:r>
      </w:hyperlink>
      <w:r>
        <w:t xml:space="preserve">.</w:t>
      </w:r>
    </w:p>
    <w:bookmarkEnd w:id="101"/>
    <w:bookmarkStart w:id="10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102">
        <w:r>
          <w:rPr>
            <w:rStyle w:val="Hyperlink"/>
          </w:rPr>
          <w:t xml:space="preserve">https://doi.org/10.1037/0033-2909.86.2.420</w:t>
        </w:r>
      </w:hyperlink>
      <w:r>
        <w:t xml:space="preserve">.</w:t>
      </w:r>
    </w:p>
    <w:bookmarkEnd w:id="103"/>
    <w:bookmarkStart w:id="105" w:name="ref-sjoding2020"/>
    <w:p>
      <w:pPr>
        <w:pStyle w:val="Bibliography"/>
      </w:pPr>
      <w:r>
        <w:t xml:space="preserve">Sjoding, Michael W, Robert P Dickson, Theodore J Iwashyna, Steven E Gay, and Thomas S Valley. 2020.</w:t>
      </w:r>
      <w:r>
        <w:t xml:space="preserve"> </w:t>
      </w:r>
      <w:r>
        <w:t xml:space="preserve">“Racial Bias in Pulse Oximetry Measurement.”</w:t>
      </w:r>
      <w:r>
        <w:t xml:space="preserve"> </w:t>
      </w:r>
      <w:r>
        <w:rPr>
          <w:i/>
          <w:iCs/>
        </w:rPr>
        <w:t xml:space="preserve">New England Journal of Medicine</w:t>
      </w:r>
      <w:r>
        <w:t xml:space="preserve"> </w:t>
      </w:r>
      <w:r>
        <w:t xml:space="preserve">383 (25): 2477–78.</w:t>
      </w:r>
      <w:r>
        <w:t xml:space="preserve"> </w:t>
      </w:r>
      <w:hyperlink r:id="rId104">
        <w:r>
          <w:rPr>
            <w:rStyle w:val="Hyperlink"/>
          </w:rPr>
          <w:t xml:space="preserve">https://doi.org/10.1056/NEJMc2029240</w:t>
        </w:r>
      </w:hyperlink>
      <w:r>
        <w:t xml:space="preserve">.</w:t>
      </w:r>
    </w:p>
    <w:bookmarkEnd w:id="105"/>
    <w:bookmarkStart w:id="107"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106">
        <w:r>
          <w:rPr>
            <w:rStyle w:val="Hyperlink"/>
          </w:rPr>
          <w:t xml:space="preserve">https://doi.org/10.1088/0967-3334/32/3/008</w:t>
        </w:r>
      </w:hyperlink>
      <w:r>
        <w:t xml:space="preserve">.</w:t>
      </w:r>
    </w:p>
    <w:bookmarkEnd w:id="107"/>
    <w:bookmarkStart w:id="109"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108">
        <w:r>
          <w:rPr>
            <w:rStyle w:val="Hyperlink"/>
          </w:rPr>
          <w:t xml:space="preserve">https://doi.org/10.1038/s41591-022-01772-9</w:t>
        </w:r>
      </w:hyperlink>
      <w:r>
        <w:t xml:space="preserve">.</w:t>
      </w:r>
    </w:p>
    <w:bookmarkEnd w:id="109"/>
    <w:bookmarkStart w:id="111" w:name="ref-vyas2020"/>
    <w:p>
      <w:pPr>
        <w:pStyle w:val="Bibliography"/>
      </w:pPr>
      <w:r>
        <w:t xml:space="preserve">Vyas, Darshali A, Leo G Eisenstein, and David S Jones. 2020.</w:t>
      </w:r>
      <w:r>
        <w:t xml:space="preserve"> </w:t>
      </w:r>
      <w:r>
        <w:t xml:space="preserve">“Hidden in Plain Sight—Reconsidering the Use of Race Correction in Clinical Algorithms.”</w:t>
      </w:r>
      <w:r>
        <w:t xml:space="preserve"> </w:t>
      </w:r>
      <w:r>
        <w:rPr>
          <w:i/>
          <w:iCs/>
        </w:rPr>
        <w:t xml:space="preserve">New England Journal of Medicine</w:t>
      </w:r>
      <w:r>
        <w:t xml:space="preserve"> </w:t>
      </w:r>
      <w:r>
        <w:t xml:space="preserve">383 (9): 874–82.</w:t>
      </w:r>
      <w:r>
        <w:t xml:space="preserve"> </w:t>
      </w:r>
      <w:hyperlink r:id="rId110">
        <w:r>
          <w:rPr>
            <w:rStyle w:val="Hyperlink"/>
          </w:rPr>
          <w:t xml:space="preserve">https://doi.org/10.1056/NEJMms2004740</w:t>
        </w:r>
      </w:hyperlink>
      <w:r>
        <w:t xml:space="preserve">.</w:t>
      </w:r>
    </w:p>
    <w:bookmarkEnd w:id="111"/>
    <w:bookmarkStart w:id="113"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112">
        <w:r>
          <w:rPr>
            <w:rStyle w:val="Hyperlink"/>
          </w:rPr>
          <w:t xml:space="preserve">https://doi.org/10.2307/3001968</w:t>
        </w:r>
      </w:hyperlink>
      <w:r>
        <w:t xml:space="preserve">.</w:t>
      </w:r>
    </w:p>
    <w:bookmarkEnd w:id="113"/>
    <w:bookmarkEnd w:id="114"/>
    <w:bookmarkEnd w:id="115"/>
    <w:bookmarkStart w:id="116" w:name="supplementary-materials"/>
    <w:p>
      <w:pPr>
        <w:pStyle w:val="Heading2"/>
      </w:pPr>
      <w:r>
        <w:t xml:space="preserve">Supplementary materials</w:t>
      </w:r>
    </w:p>
    <w:p>
      <w:pPr>
        <w:pStyle w:val="Compact"/>
        <w:numPr>
          <w:ilvl w:val="0"/>
          <w:numId w:val="1006"/>
        </w:numPr>
      </w:pPr>
      <w:r>
        <w:rPr>
          <w:rStyle w:val="VerbatimChar"/>
        </w:rPr>
        <w:t xml:space="preserve">paper/supplement.md</w:t>
      </w:r>
      <w:r>
        <w:t xml:space="preserve"> </w:t>
      </w:r>
      <w:r>
        <w:t xml:space="preserve">/</w:t>
      </w:r>
      <w:r>
        <w:t xml:space="preserve"> </w:t>
      </w:r>
      <w:r>
        <w:rPr>
          <w:rStyle w:val="VerbatimChar"/>
        </w:rPr>
        <w:t xml:space="preserve">paper/supplement.docx</w:t>
      </w:r>
      <w:r>
        <w:t xml:space="preserve">: companion supplement with seven sections (S1 ICC days-as-raters diagnostic, S2 AIPW positivity and E-value sensitivity, S3 cross-cohort parameter-sweep details, S4 per-subject stress effect-sizes on WESAD, S5 per-subject amusement effect-sizes on WESAD, S6 learned trust-score weights with training-versus-holdout breakdown, S7 threshold-sensitivity analysis for the in-house SQI baseline on both real datasets) and five supplementary tables (Tables S1-S5).</w:t>
      </w:r>
    </w:p>
    <w:p>
      <w:pPr>
        <w:pStyle w:val="Compact"/>
        <w:numPr>
          <w:ilvl w:val="0"/>
          <w:numId w:val="1006"/>
        </w:numPr>
      </w:pPr>
      <w:r>
        <w:rPr>
          <w:rStyle w:val="VerbatimChar"/>
        </w:rPr>
        <w:t xml:space="preserve">paper/checklists/</w:t>
      </w:r>
      <w:r>
        <w:t xml:space="preserve">: per-standard reporting-compliance summaries (TRIPOD+AI, STARD 2015, CONSORT-AI applicability, DECIDE-AI applicability).</w:t>
      </w:r>
    </w:p>
    <w:p>
      <w:pPr>
        <w:pStyle w:val="Compact"/>
        <w:numPr>
          <w:ilvl w:val="0"/>
          <w:numId w:val="1006"/>
        </w:numPr>
      </w:pPr>
      <w:r>
        <w:rPr>
          <w:rStyle w:val="VerbatimChar"/>
        </w:rPr>
        <w:t xml:space="preserve">results/real_data/wesad_deep/</w:t>
      </w:r>
      <w:r>
        <w:t xml:space="preserve"> </w:t>
      </w:r>
      <w:r>
        <w:t xml:space="preserve">and</w:t>
      </w:r>
      <w:r>
        <w:t xml:space="preserve"> </w:t>
      </w:r>
      <w:r>
        <w:rPr>
          <w:rStyle w:val="VerbatimChar"/>
        </w:rPr>
        <w:t xml:space="preserve">results/real_data/ppg_dalia/</w:t>
      </w:r>
      <w:r>
        <w:t xml:space="preserve">: per-window CSVs (window_table.csv, window_meta.csv, daily_summary.csv) and summary.json files for both real-data datasets.</w:t>
      </w:r>
    </w:p>
    <w:p>
      <w:pPr>
        <w:pStyle w:val="Compact"/>
        <w:numPr>
          <w:ilvl w:val="0"/>
          <w:numId w:val="1006"/>
        </w:numPr>
      </w:pPr>
      <w:r>
        <w:rPr>
          <w:rStyle w:val="VerbatimChar"/>
        </w:rPr>
        <w:t xml:space="preserve">results/real_data/threshold_sensitivity.csv</w:t>
      </w:r>
      <w:r>
        <w:t xml:space="preserve"> </w:t>
      </w:r>
      <w:r>
        <w:t xml:space="preserve">and</w:t>
      </w:r>
      <w:r>
        <w:t xml:space="preserve"> </w:t>
      </w:r>
      <w:r>
        <w:rPr>
          <w:rStyle w:val="VerbatimChar"/>
        </w:rPr>
        <w:t xml:space="preserve">results/real_data/loso_recalibration.csv</w:t>
      </w:r>
      <w:r>
        <w:t xml:space="preserve">: robustness-analysis output files.</w:t>
      </w:r>
    </w:p>
    <w:p>
      <w:pPr>
        <w:pStyle w:val="Compact"/>
        <w:numPr>
          <w:ilvl w:val="0"/>
          <w:numId w:val="1006"/>
        </w:numPr>
      </w:pPr>
      <w:r>
        <w:rPr>
          <w:rStyle w:val="VerbatimChar"/>
        </w:rPr>
        <w:t xml:space="preserve">CHANGELOG.md</w:t>
      </w:r>
      <w:r>
        <w:t xml:space="preserve">: full release history of the toolkit.</w:t>
      </w:r>
    </w:p>
    <w:bookmarkEnd w:id="116"/>
    <w:bookmarkEnd w:id="117"/>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B978-0-12-823374-0.00015-3" TargetMode="External" /><Relationship Type="http://schemas.openxmlformats.org/officeDocument/2006/relationships/hyperlink" Id="rId64" Target="https://doi.org/10.1016/S0140-6736(86)90837-8" TargetMode="External" /><Relationship Type="http://schemas.openxmlformats.org/officeDocument/2006/relationships/hyperlink" Id="rId78" Target="https://doi.org/10.1016/j.cmpb.2021.106461" TargetMode="External" /><Relationship Type="http://schemas.openxmlformats.org/officeDocument/2006/relationships/hyperlink" Id="rId96" Target="https://doi.org/10.1016/j.ijcard.2012.03.119" TargetMode="External" /><Relationship Type="http://schemas.openxmlformats.org/officeDocument/2006/relationships/hyperlink" Id="rId68" Target="https://doi.org/10.1037/0033-2909.114.3.494" TargetMode="External" /><Relationship Type="http://schemas.openxmlformats.org/officeDocument/2006/relationships/hyperlink" Id="rId102" Target="https://doi.org/10.1037/0033-2909.86.2.420" TargetMode="External" /><Relationship Type="http://schemas.openxmlformats.org/officeDocument/2006/relationships/hyperlink" Id="rId80" Target="https://doi.org/10.1038/s41591-020-1034-x" TargetMode="External" /><Relationship Type="http://schemas.openxmlformats.org/officeDocument/2006/relationships/hyperlink" Id="rId108" Target="https://doi.org/10.1038/s41591-022-01772-9" TargetMode="External" /><Relationship Type="http://schemas.openxmlformats.org/officeDocument/2006/relationships/hyperlink" Id="rId62" Target="https://doi.org/10.1038/s41746-020-0226-6" TargetMode="External" /><Relationship Type="http://schemas.openxmlformats.org/officeDocument/2006/relationships/hyperlink" Id="rId104" Target="https://doi.org/10.1056/NEJMc2029240" TargetMode="External" /><Relationship Type="http://schemas.openxmlformats.org/officeDocument/2006/relationships/hyperlink" Id="rId110" Target="https://doi.org/10.1056/NEJMms2004740" TargetMode="External" /><Relationship Type="http://schemas.openxmlformats.org/officeDocument/2006/relationships/hyperlink" Id="rId94" Target="https://doi.org/10.1080/01621459.1994.10476818" TargetMode="External" /><Relationship Type="http://schemas.openxmlformats.org/officeDocument/2006/relationships/hyperlink" Id="rId60" Target="https://doi.org/10.1088/0967-3334/28/3/R01" TargetMode="External" /><Relationship Type="http://schemas.openxmlformats.org/officeDocument/2006/relationships/hyperlink" Id="rId106" Target="https://doi.org/10.1088/0967-3334/32/3/008" TargetMode="External" /><Relationship Type="http://schemas.openxmlformats.org/officeDocument/2006/relationships/hyperlink" Id="rId70" Target="https://doi.org/10.1088/0967-3334/33/9/1419" TargetMode="External" /><Relationship Type="http://schemas.openxmlformats.org/officeDocument/2006/relationships/hyperlink" Id="rId82" Target="https://doi.org/10.1093/oxfordjournals.eurheartj.a014868" TargetMode="External" /><Relationship Type="http://schemas.openxmlformats.org/officeDocument/2006/relationships/hyperlink" Id="rId90" Target="https://doi.org/10.1109/JBHI.2014.2338351" TargetMode="External" /><Relationship Type="http://schemas.openxmlformats.org/officeDocument/2006/relationships/hyperlink" Id="rId88" Target="https://doi.org/10.1126/science.aax2342" TargetMode="External" /><Relationship Type="http://schemas.openxmlformats.org/officeDocument/2006/relationships/hyperlink" Id="rId73" Target="https://doi.org/10.1136/bmj-2023-078378" TargetMode="External" /><Relationship Type="http://schemas.openxmlformats.org/officeDocument/2006/relationships/hyperlink" Id="rId66" Target="https://doi.org/10.1136/bmj.h5527" TargetMode="External" /><Relationship Type="http://schemas.openxmlformats.org/officeDocument/2006/relationships/hyperlink" Id="rId98" Target="https://doi.org/10.1145/3242969.3242985" TargetMode="External" /><Relationship Type="http://schemas.openxmlformats.org/officeDocument/2006/relationships/hyperlink" Id="rId112" Target="https://doi.org/10.2307/3001968" TargetMode="External" /><Relationship Type="http://schemas.openxmlformats.org/officeDocument/2006/relationships/hyperlink" Id="rId76" Target="https://doi.org/10.3390/bioengineering3040021" TargetMode="External" /><Relationship Type="http://schemas.openxmlformats.org/officeDocument/2006/relationships/hyperlink" Id="rId100" Target="https://doi.org/10.3390/jpm7020003" TargetMode="External" /><Relationship Type="http://schemas.openxmlformats.org/officeDocument/2006/relationships/hyperlink" Id="rId92" Target="https://doi.org/10.3390/s19143079" TargetMode="External" /><Relationship Type="http://schemas.openxmlformats.org/officeDocument/2006/relationships/hyperlink" Id="rId84" Target="https://doi.org/10.3390/s23073429" TargetMode="External" /><Relationship Type="http://schemas.openxmlformats.org/officeDocument/2006/relationships/hyperlink" Id="rId9" Target="https://orcid.org/0000-0002-6326-6071" TargetMode="External" /><Relationship Type="http://schemas.openxmlformats.org/officeDocument/2006/relationships/hyperlink" Id="rId10" Target="https://orcid.org/0009-0003-5233-4475" TargetMode="External" /><Relationship Type="http://schemas.openxmlformats.org/officeDocument/2006/relationships/hyperlink" Id="rId11" Target="https://orcid.org/0009-0007-4033-7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2026-06-02T00:38:38Z</dcterms:created>
  <dcterms:modified xsi:type="dcterms:W3CDTF">2026-06-02T00:38:38Z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/Users/ceyhun/Downloads/biomedical-signal-forensics-lab-2/paper/paper.bib</vt:lpwstr>
  </property>
</Properties>
</file>