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49.png" ContentType="image/png"/>
  <Override PartName="/word/media/rId58.png" ContentType="image/png"/>
  <Override PartName="/word/media/rId33.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X2a6ad74602addf8e6cd2d7e44f3b1c0d89e76e6"/>
    <w:p>
      <w:pPr>
        <w:pStyle w:val="Heading1"/>
      </w:pPr>
      <w:r>
        <w:t xml:space="preserve">A Single Signal-Quality Threshold Is Insufficient for Wearable Photoplethysmography: A Multi-Baseline Audit on WESAD and PPG-DaLiA</w:t>
      </w:r>
    </w:p>
    <w:p>
      <w:pPr>
        <w:pStyle w:val="FirstParagraph"/>
      </w:pPr>
      <w:r>
        <w:rPr>
          <w:b/>
          <w:bCs/>
        </w:rPr>
        <w:t xml:space="preserve">Authors.</w:t>
      </w:r>
      <w:r>
        <w:t xml:space="preserve"> </w:t>
      </w:r>
      <w:r>
        <w:t xml:space="preserve">Ceyhun Olcan¹, Mehmet Ozberk Olcan², Seckin Olcan²</w:t>
      </w:r>
    </w:p>
    <w:p>
      <w:pPr>
        <w:pStyle w:val="BodyText"/>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t xml:space="preserve">² Faculty of Medicine, Cukurova University, Adana, Turkey.</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 Mehmet Ozberk Olcan:</w:t>
      </w:r>
      <w:r>
        <w:t xml:space="preserve"> </w:t>
      </w:r>
      <w:hyperlink r:id="rId10">
        <w:r>
          <w:rPr>
            <w:rStyle w:val="Hyperlink"/>
          </w:rPr>
          <w:t xml:space="preserve">0009-0003-5233-4475</w:t>
        </w:r>
      </w:hyperlink>
      <w:r>
        <w:t xml:space="preserve">; Seckin Olcan:</w:t>
      </w:r>
      <w:r>
        <w:t xml:space="preserve"> </w:t>
      </w:r>
      <w:hyperlink r:id="rId11">
        <w:r>
          <w:rPr>
            <w:rStyle w:val="Hyperlink"/>
          </w:rPr>
          <w:t xml:space="preserve">0009-0007-4033-7491</w:t>
        </w:r>
      </w:hyperlink>
      <w:r>
        <w:t xml:space="preserve">.</w:t>
      </w:r>
    </w:p>
    <w:bookmarkStart w:id="12"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single fixed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agreed with each other (median Gwet’s AC1 = +0.32, mean raw agreement 63%; Cohen’s κ was negative on two of three pairs, a prevalence paradox from their shared 74 to 78% rejection rate) and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published-method Gwet’s AC1 +0.28 (vs +0.32), with the in-house threshold the lone outlier on both.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2"/>
    <w:bookmarkStart w:id="16"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agree with each other once base rates are accounted for (median Gwet’s AC1 = +0.32; Cohen’s κ is negative on two of the three pairs, a prevalence paradox) and converge on rejecting 44.6% of windows that a single fixed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consensus-rejection finding; the toolkit is the supporting infrastructure that made the finding reproducible.</w:t>
      </w:r>
    </w:p>
    <w:p>
      <w:pPr>
        <w:pStyle w:val="CaptionedFigure"/>
      </w:pPr>
      <w:r>
        <w:drawing>
          <wp:inline>
            <wp:extent cx="5334000" cy="2459481"/>
            <wp:effectExtent b="0" l="0" r="0" t="0"/>
            <wp:docPr descr="Figure 1. Cross-method signal-quality agreement and consensus rejection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agree more than chance on pass/fail once prevalence is accounted for (median Gwet’s AC1 = +0.32) and converge on which to reject. Headline numbers in the figure are uncorrected and identical to those in Table 4 (WESAD) and Table 10 (PPG-DaLiA)." title="" id="14" name="Picture"/>
            <a:graphic>
              <a:graphicData uri="http://schemas.openxmlformats.org/drawingml/2006/picture">
                <pic:pic>
                  <pic:nvPicPr>
                    <pic:cNvPr descr="paper/figures/fig1_conceptual.png" id="15" name="Picture"/>
                    <pic:cNvPicPr>
                      <a:picLocks noChangeArrowheads="1" noChangeAspect="1"/>
                    </pic:cNvPicPr>
                  </pic:nvPicPr>
                  <pic:blipFill>
                    <a:blip r:embed="rId13"/>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agreement and consensus rejection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agree more than chance on pass/fail once prevalence is accounted for (median Gwet’s AC1 = +0.32) and converge on which to reject. Headline numbers in the figure are uncorrected and identical to those in Table 4 (WESAD) and Table 10 (PPG-DaLiA).</w:t>
      </w:r>
    </w:p>
    <w:bookmarkEnd w:id="16"/>
    <w:bookmarkStart w:id="27" w:name="methods"/>
    <w:p>
      <w:pPr>
        <w:pStyle w:val="Heading2"/>
      </w:pPr>
      <w:r>
        <w:t xml:space="preserve">2. Methods</w:t>
      </w:r>
    </w:p>
    <w:bookmarkStart w:id="17"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single fixed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7"/>
    <w:bookmarkStart w:id="18"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8"/>
    <w:bookmarkStart w:id="19"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9"/>
    <w:bookmarkStart w:id="20"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20"/>
    <w:bookmarkStart w:id="21"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21"/>
    <w:bookmarkStart w:id="22"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2"/>
    <w:bookmarkStart w:id="23"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3"/>
    <w:bookmarkStart w:id="24"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4"/>
    <w:bookmarkStart w:id="25"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5"/>
    <w:bookmarkStart w:id="26"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6"/>
    <w:bookmarkEnd w:id="27"/>
    <w:bookmarkStart w:id="48"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8"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8"/>
    <w:bookmarkStart w:id="32"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30" name="Picture"/>
            <a:graphic>
              <a:graphicData uri="http://schemas.openxmlformats.org/drawingml/2006/picture">
                <pic:pic>
                  <pic:nvPicPr>
                    <pic:cNvPr descr="paper/figures/fig1_bland_altman.png" id="31" name="Picture"/>
                    <pic:cNvPicPr>
                      <a:picLocks noChangeArrowheads="1" noChangeAspect="1"/>
                    </pic:cNvPicPr>
                  </pic:nvPicPr>
                  <pic:blipFill>
                    <a:blip r:embed="rId29"/>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2"/>
    <w:bookmarkStart w:id="36"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w:t>
      </w:r>
    </w:p>
    <w:tbl>
      <w:tblPr>
        <w:tblStyle w:val="Table"/>
        <w:tblW w:type="pct" w:w="5000"/>
        <w:tblLayout w:type="fixed"/>
        <w:tblLook w:firstRow="1" w:lastRow="0" w:firstColumn="0" w:lastColumn="0" w:noHBand="0" w:noVBand="0" w:val="0020"/>
        <w:tblCaption w:val="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Published-method pair</w:t>
            </w:r>
          </w:p>
        </w:tc>
        <w:tc>
          <w:tcPr>
            <w:tcBorders>
              <w:top w:val="single" w:sz="12" w:space="0" w:color="000000"/>
              <w:left w:val="nil"/>
              <w:bottom w:val="single" w:sz="8" w:space="0" w:color="000000"/>
              <w:right w:val="nil"/>
            </w:tcBorders>
          </w:tcPr>
          <w:tcPr/>
          <w:p>
            <w:pPr>
              <w:pStyle w:val="Compact"/>
            </w:pPr>
            <w:r>
              <w:t xml:space="preserve">Raw agreement</w:t>
            </w:r>
          </w:p>
        </w:tc>
        <w:tc>
          <w:tcPr>
            <w:tcBorders>
              <w:top w:val="single" w:sz="12" w:space="0" w:color="000000"/>
              <w:left w:val="nil"/>
              <w:bottom w:val="single" w:sz="8" w:space="0" w:color="000000"/>
              <w:right w:val="nil"/>
            </w:tcBorders>
          </w:tcPr>
          <w:tcPr/>
          <w:p>
            <w:pPr>
              <w:pStyle w:val="Compact"/>
            </w:pPr>
            <w:r>
              <w:t xml:space="preserve">Cohen’s κ [95% CI]</w:t>
            </w:r>
          </w:p>
        </w:tc>
        <w:tc>
          <w:tcPr>
            <w:tcBorders>
              <w:top w:val="single" w:sz="12" w:space="0" w:color="000000"/>
              <w:left w:val="nil"/>
              <w:bottom w:val="single" w:sz="8" w:space="0" w:color="000000"/>
              <w:right w:val="nil"/>
            </w:tcBorders>
          </w:tcPr>
          <w:tcPr/>
          <w:p>
            <w:pPr>
              <w:pStyle w:val="Compact"/>
            </w:pPr>
            <w:r>
              <w:t xml:space="preserve">Gwet’s AC1 [95% CI]</w:t>
            </w:r>
          </w:p>
        </w:tc>
        <w:tc>
          <w:tcPr>
            <w:tcBorders>
              <w:top w:val="single" w:sz="12" w:space="0" w:color="000000"/>
              <w:left w:val="nil"/>
              <w:bottom w:val="single" w:sz="8" w:space="0" w:color="000000"/>
              <w:right w:val="nil"/>
            </w:tcBorders>
          </w:tcPr>
          <w:tcPr/>
          <w:p>
            <w:pPr>
              <w:pStyle w:val="Compact"/>
            </w:pPr>
            <w:r>
              <w:t xml:space="preserve">PABAK</w:t>
            </w:r>
          </w:p>
        </w:tc>
        <w:tc>
          <w:tcPr>
            <w:tcBorders>
              <w:top w:val="single" w:sz="12" w:space="0" w:color="000000"/>
              <w:left w:val="nil"/>
              <w:bottom w:val="single" w:sz="8" w:space="0" w:color="000000"/>
              <w:right w:val="nil"/>
            </w:tcBorders>
          </w:tcPr>
          <w:tcPr/>
          <w:p>
            <w:pPr>
              <w:pStyle w:val="Compact"/>
            </w:pPr>
            <w:r>
              <w:t xml:space="preserve">MCC</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0.775</w:t>
            </w:r>
          </w:p>
        </w:tc>
        <w:tc>
          <w:tcPr>
            <w:tcBorders>
              <w:top w:val="nil"/>
              <w:left w:val="nil"/>
              <w:bottom w:val="nil"/>
              <w:right w:val="nil"/>
            </w:tcBorders>
          </w:tcPr>
          <w:tcPr/>
          <w:p>
            <w:pPr>
              <w:pStyle w:val="Compact"/>
            </w:pPr>
            <w:r>
              <w:t xml:space="preserve">+0.410 [+0.35, +0.47]</w:t>
            </w:r>
          </w:p>
        </w:tc>
        <w:tc>
          <w:tcPr>
            <w:tcBorders>
              <w:top w:val="nil"/>
              <w:left w:val="nil"/>
              <w:bottom w:val="nil"/>
              <w:right w:val="nil"/>
            </w:tcBorders>
          </w:tcPr>
          <w:tcPr/>
          <w:p>
            <w:pPr>
              <w:pStyle w:val="Compact"/>
            </w:pPr>
            <w:r>
              <w:t xml:space="preserve">+0.637 [+0.59, +0.68]</w:t>
            </w:r>
          </w:p>
        </w:tc>
        <w:tc>
          <w:tcPr>
            <w:tcBorders>
              <w:top w:val="nil"/>
              <w:left w:val="nil"/>
              <w:bottom w:val="nil"/>
              <w:right w:val="nil"/>
            </w:tcBorders>
          </w:tcPr>
          <w:tcPr/>
          <w:p>
            <w:pPr>
              <w:pStyle w:val="Compact"/>
            </w:pPr>
            <w:r>
              <w:t xml:space="preserve">+0.551</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0.567</w:t>
            </w:r>
          </w:p>
        </w:tc>
        <w:tc>
          <w:tcPr>
            <w:tcBorders>
              <w:top w:val="nil"/>
              <w:left w:val="nil"/>
              <w:bottom w:val="nil"/>
              <w:right w:val="nil"/>
            </w:tcBorders>
          </w:tcPr>
          <w:tcPr/>
          <w:p>
            <w:pPr>
              <w:pStyle w:val="Compact"/>
            </w:pPr>
            <w:r>
              <w:t xml:space="preserve">-0.198 [-0.24, -0.16]</w:t>
            </w:r>
          </w:p>
        </w:tc>
        <w:tc>
          <w:tcPr>
            <w:tcBorders>
              <w:top w:val="nil"/>
              <w:left w:val="nil"/>
              <w:bottom w:val="nil"/>
              <w:right w:val="nil"/>
            </w:tcBorders>
          </w:tcPr>
          <w:tcPr/>
          <w:p>
            <w:pPr>
              <w:pStyle w:val="Compact"/>
            </w:pPr>
            <w:r>
              <w:t xml:space="preserve">+0.324 [+0.22, +0.42]</w:t>
            </w:r>
          </w:p>
        </w:tc>
        <w:tc>
          <w:tcPr>
            <w:tcBorders>
              <w:top w:val="nil"/>
              <w:left w:val="nil"/>
              <w:bottom w:val="nil"/>
              <w:right w:val="nil"/>
            </w:tcBorders>
          </w:tcPr>
          <w:tcPr/>
          <w:p>
            <w:pPr>
              <w:pStyle w:val="Compact"/>
            </w:pPr>
            <w:r>
              <w:t xml:space="preserve">+0.135</w:t>
            </w:r>
          </w:p>
        </w:tc>
        <w:tc>
          <w:tcPr>
            <w:tcBorders>
              <w:top w:val="nil"/>
              <w:left w:val="nil"/>
              <w:bottom w:val="nil"/>
              <w:right w:val="nil"/>
            </w:tcBorders>
          </w:tcPr>
          <w:tcPr/>
          <w:p>
            <w:pPr>
              <w:pStyle w:val="Compact"/>
            </w:pPr>
            <w:r>
              <w:t xml:space="preserve">-0.199</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0.559</w:t>
            </w:r>
          </w:p>
        </w:tc>
        <w:tc>
          <w:tcPr>
            <w:tcBorders>
              <w:top w:val="nil"/>
              <w:left w:val="nil"/>
              <w:bottom w:val="nil"/>
              <w:right w:val="nil"/>
            </w:tcBorders>
          </w:tcPr>
          <w:tcPr/>
          <w:p>
            <w:pPr>
              <w:pStyle w:val="Compact"/>
            </w:pPr>
            <w:r>
              <w:t xml:space="preserve">-0.225 [-0.26, -0.19]</w:t>
            </w:r>
          </w:p>
        </w:tc>
        <w:tc>
          <w:tcPr>
            <w:tcBorders>
              <w:top w:val="nil"/>
              <w:left w:val="nil"/>
              <w:bottom w:val="nil"/>
              <w:right w:val="nil"/>
            </w:tcBorders>
          </w:tcPr>
          <w:tcPr/>
          <w:p>
            <w:pPr>
              <w:pStyle w:val="Compact"/>
            </w:pPr>
            <w:r>
              <w:t xml:space="preserve">+0.312 [+0.22, +0.40]</w:t>
            </w:r>
          </w:p>
        </w:tc>
        <w:tc>
          <w:tcPr>
            <w:tcBorders>
              <w:top w:val="nil"/>
              <w:left w:val="nil"/>
              <w:bottom w:val="nil"/>
              <w:right w:val="nil"/>
            </w:tcBorders>
          </w:tcPr>
          <w:tcPr/>
          <w:p>
            <w:pPr>
              <w:pStyle w:val="Compact"/>
            </w:pPr>
            <w:r>
              <w:t xml:space="preserve">+0.118</w:t>
            </w:r>
          </w:p>
        </w:tc>
        <w:tc>
          <w:tcPr>
            <w:tcBorders>
              <w:top w:val="nil"/>
              <w:left w:val="nil"/>
              <w:bottom w:val="nil"/>
              <w:right w:val="nil"/>
            </w:tcBorders>
          </w:tcPr>
          <w:tcPr/>
          <w:p>
            <w:pPr>
              <w:pStyle w:val="Compact"/>
            </w:pPr>
            <w:r>
              <w:t xml:space="preserve">-0.226</w:t>
            </w:r>
          </w:p>
        </w:tc>
      </w:tr>
      <w:tr>
        <w:tc>
          <w:tcPr>
            <w:tcBorders>
              <w:top w:val="nil"/>
              <w:left w:val="nil"/>
              <w:bottom w:val="single" w:sz="12" w:space="0" w:color="000000"/>
              <w:right w:val="nil"/>
            </w:tcBorders>
          </w:tcPr>
          <w:tcPr/>
          <w:p>
            <w:pPr>
              <w:pStyle w:val="Compact"/>
            </w:pPr>
            <w:r>
              <w:rPr>
                <w:b/>
                <w:bCs/>
              </w:rPr>
              <w:t xml:space="preserve">Median across three pairs</w:t>
            </w:r>
          </w:p>
        </w:tc>
        <w:tc>
          <w:tcPr>
            <w:tcBorders>
              <w:top w:val="nil"/>
              <w:left w:val="nil"/>
              <w:bottom w:val="single" w:sz="12" w:space="0" w:color="000000"/>
              <w:right w:val="nil"/>
            </w:tcBorders>
          </w:tcPr>
          <w:tcPr/>
          <w:p>
            <w:pPr>
              <w:pStyle w:val="Compact"/>
            </w:pPr>
            <w:r>
              <w:rPr>
                <w:b/>
                <w:bCs/>
              </w:rPr>
              <w:t xml:space="preserve">0.567</w:t>
            </w:r>
          </w:p>
        </w:tc>
        <w:tc>
          <w:tcPr>
            <w:tcBorders>
              <w:top w:val="nil"/>
              <w:left w:val="nil"/>
              <w:bottom w:val="single" w:sz="12" w:space="0" w:color="000000"/>
              <w:right w:val="nil"/>
            </w:tcBorders>
          </w:tcPr>
          <w:tcPr/>
          <w:p>
            <w:pPr>
              <w:pStyle w:val="Compact"/>
            </w:pPr>
            <w:r>
              <w:rPr>
                <w:b/>
                <w:bCs/>
              </w:rPr>
              <w:t xml:space="preserve">-0.198</w:t>
            </w:r>
          </w:p>
        </w:tc>
        <w:tc>
          <w:tcPr>
            <w:tcBorders>
              <w:top w:val="nil"/>
              <w:left w:val="nil"/>
              <w:bottom w:val="single" w:sz="12" w:space="0" w:color="000000"/>
              <w:right w:val="nil"/>
            </w:tcBorders>
          </w:tcPr>
          <w:tcPr/>
          <w:p>
            <w:pPr>
              <w:pStyle w:val="Compact"/>
            </w:pPr>
            <w:r>
              <w:rPr>
                <w:b/>
                <w:bCs/>
              </w:rPr>
              <w:t xml:space="preserve">+0.324</w:t>
            </w:r>
          </w:p>
        </w:tc>
        <w:tc>
          <w:tcPr>
            <w:tcBorders>
              <w:top w:val="nil"/>
              <w:left w:val="nil"/>
              <w:bottom w:val="single" w:sz="12" w:space="0" w:color="000000"/>
              <w:right w:val="nil"/>
            </w:tcBorders>
          </w:tcPr>
          <w:tcPr/>
          <w:p>
            <w:pPr>
              <w:pStyle w:val="Compact"/>
            </w:pPr>
            <w:r>
              <w:rPr>
                <w:b/>
                <w:bCs/>
              </w:rPr>
              <w:t xml:space="preserve">+0.135</w:t>
            </w:r>
          </w:p>
        </w:tc>
        <w:tc>
          <w:tcPr>
            <w:tcBorders>
              <w:top w:val="nil"/>
              <w:left w:val="nil"/>
              <w:bottom w:val="single" w:sz="12" w:space="0" w:color="000000"/>
              <w:right w:val="nil"/>
            </w:tcBorders>
          </w:tcPr>
          <w:tcPr/>
          <w:p>
            <w:pPr>
              <w:pStyle w:val="Compact"/>
            </w:pPr>
            <w:r>
              <w:rPr>
                <w:b/>
                <w:bCs/>
              </w:rPr>
              <w:t xml:space="preserve">-0.199</w:t>
            </w:r>
          </w:p>
        </w:tc>
      </w:tr>
    </w:tbl>
    <w:p>
      <w:pPr>
        <w:pStyle w:val="BodyText"/>
      </w:pPr>
      <w:r>
        <w:rPr>
          <w:b/>
          <w:bCs/>
        </w:rPr>
        <w:t xml:space="preserve">Three published baselines, fair-to-moderate agreement.</w:t>
      </w:r>
      <w:r>
        <w:t xml:space="preserve"> </w:t>
      </w:r>
      <w:r>
        <w:t xml:space="preserve">Cohen’s κ alone gives a misleading picture here. Orphanidou and Sukor agree moderately on which windows pass by every measure (κ = +0.410, Gwet’s AC1 = +0.637, raw agreement 77.5%). Elgendi agrees less with the other two and its Cohen’s κ is negative (-0.198 against Orphanidou, -0.225 against Sukor), but this is the κ paradox under skewed prevalence rather than genuine disagreement: all three methods reject 74 to 78% of windows, which inflates chance agreement and pushes κ below zero even though the methods make the same pass/fail call on 56 to 57% of windows. The prevalence-insensitive Gwet’s AC1 is positive for all three pairs (+0.31 to +0.64, median +0.324), and the subject-clustered intervals confirm the split: on the Orphanidou-Elgendi pair the κ interval lies entirely below zero ([-0.24, -0.16]) while the AC1 interval on the identical windows lies entirely above zero ([+0.22, +0.42]). The three baselines individually pass 25.6%, 25.5%, and 21.5% of windows and agree more than chance on pass/fail (median AC1 = +0.324, mean raw agreement 63%), not less.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Unlike Cohen’s κ, Gwet’s AC1 remains defined when one classifier is near-constant, and it places the in-house threshold in active disagreement with every published method (AC1 = -0.40, -0.40, and -0.50 against Orphanidou, Sukor, and Elgendi): the in-house SQI accepts windows the published methods reject, so its chance-corrected agreement with them falls below zero. The published methods are not three mutually contradictory tests but three concordant ones, with the in-house threshold as the lone outlier.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 title="" id="34" name="Picture"/>
            <a:graphic>
              <a:graphicData uri="http://schemas.openxmlformats.org/drawingml/2006/picture">
                <pic:pic>
                  <pic:nvPicPr>
                    <pic:cNvPr descr="paper/figures/fig3_kappa_heatmap.png" id="35" name="Picture"/>
                    <pic:cNvPicPr>
                      <a:picLocks noChangeArrowheads="1" noChangeAspect="1"/>
                    </pic:cNvPicPr>
                  </pic:nvPicPr>
                  <pic:blipFill>
                    <a:blip r:embed="rId33"/>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6"/>
    <w:bookmarkStart w:id="40"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8" name="Picture"/>
            <a:graphic>
              <a:graphicData uri="http://schemas.openxmlformats.org/drawingml/2006/picture">
                <pic:pic>
                  <pic:nvPicPr>
                    <pic:cNvPr descr="paper/figures/fig6_recalibration.png" id="39" name="Picture"/>
                    <pic:cNvPicPr>
                      <a:picLocks noChangeArrowheads="1" noChangeAspect="1"/>
                    </pic:cNvPicPr>
                  </pic:nvPicPr>
                  <pic:blipFill>
                    <a:blip r:embed="rId37"/>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40"/>
    <w:bookmarkStart w:id="41"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41"/>
    <w:bookmarkStart w:id="42"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2"/>
    <w:bookmarkStart w:id="46"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4" name="Picture"/>
            <a:graphic>
              <a:graphicData uri="http://schemas.openxmlformats.org/drawingml/2006/picture">
                <pic:pic>
                  <pic:nvPicPr>
                    <pic:cNvPr descr="results/downstream_demo/figure_downstream.png" id="45" name="Picture"/>
                    <pic:cNvPicPr>
                      <a:picLocks noChangeArrowheads="1" noChangeAspect="1"/>
                    </pic:cNvPicPr>
                  </pic:nvPicPr>
                  <pic:blipFill>
                    <a:blip r:embed="rId43"/>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6"/>
    <w:bookmarkStart w:id="47" w:name="external-validation-on-ppg-dalia"/>
    <w:p>
      <w:pPr>
        <w:pStyle w:val="Heading3"/>
      </w:pPr>
      <w:r>
        <w:t xml:space="preserve">3.7 External validation on PPG-DaLiA</w:t>
      </w:r>
    </w:p>
    <w:p>
      <w:pPr>
        <w:pStyle w:val="FirstParagraph"/>
      </w:pPr>
      <w:r>
        <w:t xml:space="preserve">The cross-method SQI consensus-rejection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pattern as on WESAD, with the prevalence-insensitive Gwet’s AC1 positive on both datasets (median AC1 +0.281 on PPG-DaLiA versus +0.324 on WESAD):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consensus-rejection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consensus-rejection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consensus-rejection finding is a property of wrist PPG itself rather than of the WESAD stress paradigm or of any single recording session.</w:t>
      </w:r>
    </w:p>
    <w:bookmarkEnd w:id="47"/>
    <w:bookmarkEnd w:id="48"/>
    <w:bookmarkStart w:id="62" w:name="Xf8d28994ab18c569b43451e1d59264a3df91dd7"/>
    <w:p>
      <w:pPr>
        <w:pStyle w:val="Heading2"/>
      </w:pPr>
      <w:r>
        <w:t xml:space="preserve">4. Methodological validation on synthetic data</w:t>
      </w:r>
    </w:p>
    <w:bookmarkStart w:id="52"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p>
      <w:pPr>
        <w:pStyle w:val="CaptionedFigure"/>
      </w:pPr>
      <w:r>
        <w:drawing>
          <wp:inline>
            <wp:extent cx="5334000" cy="3977375"/>
            <wp:effectExtent b="0" l="0" r="0" t="0"/>
            <wp:docPr descr="Figure 6. Cohort-level Digital Biomarker Trust Score on the synthetic cohort (n = 300 participants, 60 days each). Mean overall DBTS = 74.11 (moderate category); 31 participants in the high category, 266 moderate, 3 low." title="" id="50" name="Picture"/>
            <a:graphic>
              <a:graphicData uri="http://schemas.openxmlformats.org/drawingml/2006/picture">
                <pic:pic>
                  <pic:nvPicPr>
                    <pic:cNvPr descr="paper/figures/fig2_synthetic_headline.png" id="51" name="Picture"/>
                    <pic:cNvPicPr>
                      <a:picLocks noChangeArrowheads="1" noChangeAspect="1"/>
                    </pic:cNvPicPr>
                  </pic:nvPicPr>
                  <pic:blipFill>
                    <a:blip r:embed="rId49"/>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Figure 6. Cohort-level Digital Biomarker Trust Score on the synthetic cohort (n = 300 participants, 60 days each). Mean overall DBTS = 74.11 (moderate category); 31 participants in the high category, 266 moderate, 3 low.</w:t>
      </w:r>
    </w:p>
    <w:bookmarkEnd w:id="52"/>
    <w:bookmarkStart w:id="53"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53"/>
    <w:bookmarkStart w:id="54"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54"/>
    <w:bookmarkStart w:id="55"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55"/>
    <w:bookmarkStart w:id="56"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56"/>
    <w:bookmarkStart w:id="57"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57"/>
    <w:bookmarkStart w:id="61"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p>
      <w:pPr>
        <w:pStyle w:val="CaptionedFigure"/>
      </w:pPr>
      <w:r>
        <w:drawing>
          <wp:inline>
            <wp:extent cx="5334000" cy="1751128"/>
            <wp:effectExtent b="0" l="0" r="0" t="0"/>
            <wp:docPr descr="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59" name="Picture"/>
            <a:graphic>
              <a:graphicData uri="http://schemas.openxmlformats.org/drawingml/2006/picture">
                <pic:pic>
                  <pic:nvPicPr>
                    <pic:cNvPr descr="paper/figures/fig3_cross_cohort.png" id="60" name="Picture"/>
                    <pic:cNvPicPr>
                      <a:picLocks noChangeArrowheads="1" noChangeAspect="1"/>
                    </pic:cNvPicPr>
                  </pic:nvPicPr>
                  <pic:blipFill>
                    <a:blip r:embed="rId58"/>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61"/>
    <w:bookmarkEnd w:id="62"/>
    <w:bookmarkStart w:id="66" w:name="discussion"/>
    <w:p>
      <w:pPr>
        <w:pStyle w:val="Heading2"/>
      </w:pPr>
      <w:r>
        <w:t xml:space="preserve">5. Discussion</w:t>
      </w:r>
    </w:p>
    <w:bookmarkStart w:id="63"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agree and converge on rejecting a large window population on real wearable data.</w:t>
      </w:r>
      <w:r>
        <w:t xml:space="preserve"> </w:t>
      </w:r>
      <w:r>
        <w:t xml:space="preserve">The published methods individually pass 21.5% to 25.6% of windows and collectively reject 44.6% of windows accepted by a single fixed in-house threshold. Across the three methods the prevalence-insensitive Gwet’s AC1 is positive on every pair (median +0.32) and raw agreement averages 63%; the negative median Cohen’s κ (-0.20) is a prevalence paradox from the shared 74 to 78% rejection rate, not genuine disagreement. The methods agree more than chance on pass/fail and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63"/>
    <w:bookmarkStart w:id="64" w:name="relation-to-prior-work"/>
    <w:p>
      <w:pPr>
        <w:pStyle w:val="Heading3"/>
      </w:pPr>
      <w:r>
        <w:t xml:space="preserve">5.2 Relation to prior work</w:t>
      </w:r>
    </w:p>
    <w:p>
      <w:pPr>
        <w:pStyle w:val="FirstParagraph"/>
      </w:pPr>
      <w:r>
        <w:t xml:space="preserve">Wearable signal-quality auditing and feature extraction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64"/>
    <w:bookmarkStart w:id="65"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stable across split strategies: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consensus-rejection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The in-house baseline is a simple motion threshold, not a validated quality index.</w:t>
      </w:r>
      <w:r>
        <w:t xml:space="preserve"> </w:t>
      </w:r>
      <w:r>
        <w:t xml:space="preserve">The in-house SQI used here is a motion-driven per-window score applied at a fixed 0.70 cutoff. At that cutoff it accepts essentially all windows on both datasets, and Table 6 shows it is close to a deterministic inverse of the motion estimate (Spearman -1.000), so we do not claim it is a calibrated or validated signal-quality index. A reader could reasonably object that rejecting windows such a score accepts is a low bar. We include it only as a stand-in for the common practice of applying a single fixed threshold to a motion-correlated quality score, and the substantive finding does not depend on it: the consensus-rejection result is a property of the three published methods agreeing on the same large fraction of windows (44.6% on WESAD, 43.1% on PPG-DaLiA; Section 3.2), independent of any in-house decision, and the threshold-sensitivity analysis shows the headline is unchanged across the full 0.50 to 0.95 range (Supplementary Table S5). The intended reading is not that the published methods beat the in-house threshold, but that three independently developed methods converge while a single motion threshold does not discriminate among windows at all.</w:t>
      </w:r>
    </w:p>
    <w:p>
      <w:pPr>
        <w:pStyle w:val="BodyText"/>
      </w:pPr>
      <w:r>
        <w:rPr>
          <w:b/>
          <w:bCs/>
        </w:rPr>
        <w:t xml:space="preserve">No hand-labeled signal-quality ground truth.</w:t>
      </w:r>
      <w:r>
        <w:t xml:space="preserve"> </w:t>
      </w:r>
      <w:r>
        <w:t xml:space="preserve">On WESAD and PPG-DaLiA the three published methods converge on a consensus-reject set while still differing on individual windows (raw agreement 56 to 78%);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2.10)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2.10).</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Methodology study, not clinical validation.</w:t>
      </w:r>
      <w:r>
        <w:t xml:space="preserve"> </w:t>
      </w:r>
      <w:r>
        <w:t xml:space="preserve">This is a methodology paper rather than a clinical validation study.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would require prospective clinical validation with relevant device experience; the synthetic-cohort validation in Section 4 and the WESAD/PPG-DaLiA empirical study in Section 3 are methodological contributions rather than clinical findings.</w:t>
      </w:r>
    </w:p>
    <w:bookmarkEnd w:id="65"/>
    <w:bookmarkEnd w:id="66"/>
    <w:bookmarkStart w:id="67"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single fixed in-house threshold. The three methods agree with each other once base rates are accounted for (median Gwet’s AC1 = +0.32; the negative Cohen’s κ is a prevalence paradox) and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67"/>
    <w:bookmarkStart w:id="68"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68"/>
    <w:bookmarkStart w:id="69"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 Mehmet Ozberk Olcan: Writing - original draft, Writing - review and editing. Seckin Olcan: Writing - original draft, Writing - review and editing.</w:t>
      </w:r>
    </w:p>
    <w:bookmarkEnd w:id="69"/>
    <w:bookmarkStart w:id="70" w:name="funding"/>
    <w:p>
      <w:pPr>
        <w:pStyle w:val="Heading2"/>
      </w:pPr>
      <w:r>
        <w:t xml:space="preserve">Funding</w:t>
      </w:r>
    </w:p>
    <w:p>
      <w:pPr>
        <w:pStyle w:val="FirstParagraph"/>
      </w:pPr>
      <w:r>
        <w:t xml:space="preserve">No external funding supported this work.</w:t>
      </w:r>
    </w:p>
    <w:bookmarkEnd w:id="70"/>
    <w:bookmarkStart w:id="71" w:name="ethics-statement"/>
    <w:p>
      <w:pPr>
        <w:pStyle w:val="Heading2"/>
      </w:pPr>
      <w:r>
        <w:t xml:space="preserve">Ethics statement</w:t>
      </w:r>
    </w:p>
    <w:p>
      <w:pPr>
        <w:pStyle w:val="FirstParagraph"/>
      </w:pPr>
      <w:r>
        <w:t xml:space="preserve">This study is a secondary analysis of two publicly available datasets, WESAD</w:t>
      </w:r>
      <w:r>
        <w:t xml:space="preserve"> </w:t>
      </w:r>
      <w:r>
        <w:t xml:space="preserve">(Schmidt et al. 2018)</w:t>
      </w:r>
      <w:r>
        <w:t xml:space="preserve"> </w:t>
      </w:r>
      <w:r>
        <w:t xml:space="preserve">and PPG-DaLiA</w:t>
      </w:r>
      <w:r>
        <w:t xml:space="preserve"> </w:t>
      </w:r>
      <w:r>
        <w:t xml:space="preserve">(Reiss et al. 2019)</w:t>
      </w:r>
      <w:r>
        <w:t xml:space="preserve">, released under terms permitting research use. No new human-subjects data were collected; institutional review board approval was therefore not required for this work.</w:t>
      </w:r>
    </w:p>
    <w:bookmarkEnd w:id="71"/>
    <w:bookmarkStart w:id="72" w:name="competing-interests"/>
    <w:p>
      <w:pPr>
        <w:pStyle w:val="Heading2"/>
      </w:pPr>
      <w:r>
        <w:t xml:space="preserve">Competing interests</w:t>
      </w:r>
    </w:p>
    <w:p>
      <w:pPr>
        <w:pStyle w:val="FirstParagraph"/>
      </w:pPr>
      <w:r>
        <w:t xml:space="preserve">The authors declare no competing interests.</w:t>
      </w:r>
    </w:p>
    <w:bookmarkEnd w:id="72"/>
    <w:bookmarkStart w:id="128" w:name="references"/>
    <w:p>
      <w:pPr>
        <w:pStyle w:val="Heading2"/>
      </w:pPr>
      <w:r>
        <w:t xml:space="preserve">References</w:t>
      </w:r>
    </w:p>
    <w:bookmarkStart w:id="127" w:name="refs"/>
    <w:bookmarkStart w:id="74"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73">
        <w:r>
          <w:rPr>
            <w:rStyle w:val="Hyperlink"/>
          </w:rPr>
          <w:t xml:space="preserve">https://doi.org/10.1088/0967-3334/28/3/R01</w:t>
        </w:r>
      </w:hyperlink>
      <w:r>
        <w:t xml:space="preserve">.</w:t>
      </w:r>
    </w:p>
    <w:bookmarkEnd w:id="74"/>
    <w:bookmarkStart w:id="76"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75">
        <w:r>
          <w:rPr>
            <w:rStyle w:val="Hyperlink"/>
          </w:rPr>
          <w:t xml:space="preserve">https://doi.org/10.1038/s41746-020-0226-6</w:t>
        </w:r>
      </w:hyperlink>
      <w:r>
        <w:t xml:space="preserve">.</w:t>
      </w:r>
    </w:p>
    <w:bookmarkEnd w:id="76"/>
    <w:bookmarkStart w:id="78"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77">
        <w:r>
          <w:rPr>
            <w:rStyle w:val="Hyperlink"/>
          </w:rPr>
          <w:t xml:space="preserve">https://doi.org/10.1016/S0140-6736(86)90837-8</w:t>
        </w:r>
      </w:hyperlink>
      <w:r>
        <w:t xml:space="preserve">.</w:t>
      </w:r>
    </w:p>
    <w:bookmarkEnd w:id="78"/>
    <w:bookmarkStart w:id="80"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79">
        <w:r>
          <w:rPr>
            <w:rStyle w:val="Hyperlink"/>
          </w:rPr>
          <w:t xml:space="preserve">https://doi.org/10.1136/bmj.h5527</w:t>
        </w:r>
      </w:hyperlink>
      <w:r>
        <w:t xml:space="preserve">.</w:t>
      </w:r>
    </w:p>
    <w:bookmarkEnd w:id="80"/>
    <w:bookmarkStart w:id="82"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81">
        <w:r>
          <w:rPr>
            <w:rStyle w:val="Hyperlink"/>
          </w:rPr>
          <w:t xml:space="preserve">https://doi.org/10.1037/0033-2909.114.3.494</w:t>
        </w:r>
      </w:hyperlink>
      <w:r>
        <w:t xml:space="preserve">.</w:t>
      </w:r>
    </w:p>
    <w:bookmarkEnd w:id="82"/>
    <w:bookmarkStart w:id="84"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83">
        <w:r>
          <w:rPr>
            <w:rStyle w:val="Hyperlink"/>
          </w:rPr>
          <w:t xml:space="preserve">https://doi.org/10.1088/0967-3334/33/9/1419</w:t>
        </w:r>
      </w:hyperlink>
      <w:r>
        <w:t xml:space="preserve">.</w:t>
      </w:r>
    </w:p>
    <w:bookmarkEnd w:id="84"/>
    <w:bookmarkStart w:id="85"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85"/>
    <w:bookmarkStart w:id="87"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86">
        <w:r>
          <w:rPr>
            <w:rStyle w:val="Hyperlink"/>
          </w:rPr>
          <w:t xml:space="preserve">https://doi.org/10.1136/bmj-2023-078378</w:t>
        </w:r>
      </w:hyperlink>
      <w:r>
        <w:t xml:space="preserve">.</w:t>
      </w:r>
    </w:p>
    <w:bookmarkEnd w:id="87"/>
    <w:bookmarkStart w:id="88"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88"/>
    <w:bookmarkStart w:id="90"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89">
        <w:r>
          <w:rPr>
            <w:rStyle w:val="Hyperlink"/>
          </w:rPr>
          <w:t xml:space="preserve">https://doi.org/10.3390/bioengineering3040021</w:t>
        </w:r>
      </w:hyperlink>
      <w:r>
        <w:t xml:space="preserve">.</w:t>
      </w:r>
    </w:p>
    <w:bookmarkEnd w:id="90"/>
    <w:bookmarkStart w:id="92"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91">
        <w:r>
          <w:rPr>
            <w:rStyle w:val="Hyperlink"/>
          </w:rPr>
          <w:t xml:space="preserve">https://doi.org/10.1016/j.cmpb.2021.106461</w:t>
        </w:r>
      </w:hyperlink>
      <w:r>
        <w:t xml:space="preserve">.</w:t>
      </w:r>
    </w:p>
    <w:bookmarkEnd w:id="92"/>
    <w:bookmarkStart w:id="94"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93">
        <w:r>
          <w:rPr>
            <w:rStyle w:val="Hyperlink"/>
          </w:rPr>
          <w:t xml:space="preserve">https://doi.org/10.1038/s41591-020-1034-x</w:t>
        </w:r>
      </w:hyperlink>
      <w:r>
        <w:t xml:space="preserve">.</w:t>
      </w:r>
    </w:p>
    <w:bookmarkEnd w:id="94"/>
    <w:bookmarkStart w:id="96"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95">
        <w:r>
          <w:rPr>
            <w:rStyle w:val="Hyperlink"/>
          </w:rPr>
          <w:t xml:space="preserve">https://doi.org/10.1093/oxfordjournals.eurheartj.a014868</w:t>
        </w:r>
      </w:hyperlink>
      <w:r>
        <w:t xml:space="preserve">.</w:t>
      </w:r>
    </w:p>
    <w:bookmarkEnd w:id="96"/>
    <w:bookmarkStart w:id="98"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97">
        <w:r>
          <w:rPr>
            <w:rStyle w:val="Hyperlink"/>
          </w:rPr>
          <w:t xml:space="preserve">https://doi.org/10.3390/s23073429</w:t>
        </w:r>
      </w:hyperlink>
      <w:r>
        <w:t xml:space="preserve">.</w:t>
      </w:r>
    </w:p>
    <w:bookmarkEnd w:id="98"/>
    <w:bookmarkStart w:id="100"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99">
        <w:r>
          <w:rPr>
            <w:rStyle w:val="Hyperlink"/>
          </w:rPr>
          <w:t xml:space="preserve">https://doi.org/10.1016/B978-0-12-823374-0.00015-3</w:t>
        </w:r>
      </w:hyperlink>
      <w:r>
        <w:t xml:space="preserve">.</w:t>
      </w:r>
    </w:p>
    <w:bookmarkEnd w:id="100"/>
    <w:bookmarkStart w:id="102"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101">
        <w:r>
          <w:rPr>
            <w:rStyle w:val="Hyperlink"/>
          </w:rPr>
          <w:t xml:space="preserve">https://doi.org/10.1126/science.aax2342</w:t>
        </w:r>
      </w:hyperlink>
      <w:r>
        <w:t xml:space="preserve">.</w:t>
      </w:r>
    </w:p>
    <w:bookmarkEnd w:id="102"/>
    <w:bookmarkStart w:id="104"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103">
        <w:r>
          <w:rPr>
            <w:rStyle w:val="Hyperlink"/>
          </w:rPr>
          <w:t xml:space="preserve">https://doi.org/10.1109/JBHI.2014.2338351</w:t>
        </w:r>
      </w:hyperlink>
      <w:r>
        <w:t xml:space="preserve">.</w:t>
      </w:r>
    </w:p>
    <w:bookmarkEnd w:id="104"/>
    <w:bookmarkStart w:id="106"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105">
        <w:r>
          <w:rPr>
            <w:rStyle w:val="Hyperlink"/>
          </w:rPr>
          <w:t xml:space="preserve">https://doi.org/10.3390/s19143079</w:t>
        </w:r>
      </w:hyperlink>
      <w:r>
        <w:t xml:space="preserve">.</w:t>
      </w:r>
    </w:p>
    <w:bookmarkEnd w:id="106"/>
    <w:bookmarkStart w:id="108"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107">
        <w:r>
          <w:rPr>
            <w:rStyle w:val="Hyperlink"/>
          </w:rPr>
          <w:t xml:space="preserve">https://doi.org/10.1080/01621459.1994.10476818</w:t>
        </w:r>
      </w:hyperlink>
      <w:r>
        <w:t xml:space="preserve">.</w:t>
      </w:r>
    </w:p>
    <w:bookmarkEnd w:id="108"/>
    <w:bookmarkStart w:id="110"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109">
        <w:r>
          <w:rPr>
            <w:rStyle w:val="Hyperlink"/>
          </w:rPr>
          <w:t xml:space="preserve">https://doi.org/10.1016/j.ijcard.2012.03.119</w:t>
        </w:r>
      </w:hyperlink>
      <w:r>
        <w:t xml:space="preserve">.</w:t>
      </w:r>
    </w:p>
    <w:bookmarkEnd w:id="110"/>
    <w:bookmarkStart w:id="112"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111">
        <w:r>
          <w:rPr>
            <w:rStyle w:val="Hyperlink"/>
          </w:rPr>
          <w:t xml:space="preserve">https://doi.org/10.1145/3242969.3242985</w:t>
        </w:r>
      </w:hyperlink>
      <w:r>
        <w:t xml:space="preserve">.</w:t>
      </w:r>
    </w:p>
    <w:bookmarkEnd w:id="112"/>
    <w:bookmarkStart w:id="114"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13">
        <w:r>
          <w:rPr>
            <w:rStyle w:val="Hyperlink"/>
          </w:rPr>
          <w:t xml:space="preserve">https://doi.org/10.3390/jpm7020003</w:t>
        </w:r>
      </w:hyperlink>
      <w:r>
        <w:t xml:space="preserve">.</w:t>
      </w:r>
    </w:p>
    <w:bookmarkEnd w:id="114"/>
    <w:bookmarkStart w:id="116"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15">
        <w:r>
          <w:rPr>
            <w:rStyle w:val="Hyperlink"/>
          </w:rPr>
          <w:t xml:space="preserve">https://doi.org/10.1037/0033-2909.86.2.420</w:t>
        </w:r>
      </w:hyperlink>
      <w:r>
        <w:t xml:space="preserve">.</w:t>
      </w:r>
    </w:p>
    <w:bookmarkEnd w:id="116"/>
    <w:bookmarkStart w:id="118"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17">
        <w:r>
          <w:rPr>
            <w:rStyle w:val="Hyperlink"/>
          </w:rPr>
          <w:t xml:space="preserve">https://doi.org/10.1056/NEJMc2029240</w:t>
        </w:r>
      </w:hyperlink>
      <w:r>
        <w:t xml:space="preserve">.</w:t>
      </w:r>
    </w:p>
    <w:bookmarkEnd w:id="118"/>
    <w:bookmarkStart w:id="120"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19">
        <w:r>
          <w:rPr>
            <w:rStyle w:val="Hyperlink"/>
          </w:rPr>
          <w:t xml:space="preserve">https://doi.org/10.1088/0967-3334/32/3/008</w:t>
        </w:r>
      </w:hyperlink>
      <w:r>
        <w:t xml:space="preserve">.</w:t>
      </w:r>
    </w:p>
    <w:bookmarkEnd w:id="120"/>
    <w:bookmarkStart w:id="122"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21">
        <w:r>
          <w:rPr>
            <w:rStyle w:val="Hyperlink"/>
          </w:rPr>
          <w:t xml:space="preserve">https://doi.org/10.1038/s41591-022-01772-9</w:t>
        </w:r>
      </w:hyperlink>
      <w:r>
        <w:t xml:space="preserve">.</w:t>
      </w:r>
    </w:p>
    <w:bookmarkEnd w:id="122"/>
    <w:bookmarkStart w:id="124"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23">
        <w:r>
          <w:rPr>
            <w:rStyle w:val="Hyperlink"/>
          </w:rPr>
          <w:t xml:space="preserve">https://doi.org/10.1056/NEJMms2004740</w:t>
        </w:r>
      </w:hyperlink>
      <w:r>
        <w:t xml:space="preserve">.</w:t>
      </w:r>
    </w:p>
    <w:bookmarkEnd w:id="124"/>
    <w:bookmarkStart w:id="126"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25">
        <w:r>
          <w:rPr>
            <w:rStyle w:val="Hyperlink"/>
          </w:rPr>
          <w:t xml:space="preserve">https://doi.org/10.2307/3001968</w:t>
        </w:r>
      </w:hyperlink>
      <w:r>
        <w:t xml:space="preserve">.</w:t>
      </w:r>
    </w:p>
    <w:bookmarkEnd w:id="126"/>
    <w:bookmarkEnd w:id="127"/>
    <w:bookmarkEnd w:id="128"/>
    <w:bookmarkStart w:id="129"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End w:id="129"/>
    <w:bookmarkEnd w:id="130"/>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hyperlink" Id="rId99" Target="https://doi.org/10.1016/B978-0-12-823374-0.00015-3" TargetMode="External" /><Relationship Type="http://schemas.openxmlformats.org/officeDocument/2006/relationships/hyperlink" Id="rId77" Target="https://doi.org/10.1016/S0140-6736(86)90837-8" TargetMode="External" /><Relationship Type="http://schemas.openxmlformats.org/officeDocument/2006/relationships/hyperlink" Id="rId91" Target="https://doi.org/10.1016/j.cmpb.2021.106461" TargetMode="External" /><Relationship Type="http://schemas.openxmlformats.org/officeDocument/2006/relationships/hyperlink" Id="rId109" Target="https://doi.org/10.1016/j.ijcard.2012.03.119" TargetMode="External" /><Relationship Type="http://schemas.openxmlformats.org/officeDocument/2006/relationships/hyperlink" Id="rId81" Target="https://doi.org/10.1037/0033-2909.114.3.494" TargetMode="External" /><Relationship Type="http://schemas.openxmlformats.org/officeDocument/2006/relationships/hyperlink" Id="rId115" Target="https://doi.org/10.1037/0033-2909.86.2.420" TargetMode="External" /><Relationship Type="http://schemas.openxmlformats.org/officeDocument/2006/relationships/hyperlink" Id="rId93" Target="https://doi.org/10.1038/s41591-020-1034-x" TargetMode="External" /><Relationship Type="http://schemas.openxmlformats.org/officeDocument/2006/relationships/hyperlink" Id="rId121" Target="https://doi.org/10.1038/s41591-022-01772-9" TargetMode="External" /><Relationship Type="http://schemas.openxmlformats.org/officeDocument/2006/relationships/hyperlink" Id="rId75" Target="https://doi.org/10.1038/s41746-020-0226-6" TargetMode="External" /><Relationship Type="http://schemas.openxmlformats.org/officeDocument/2006/relationships/hyperlink" Id="rId117" Target="https://doi.org/10.1056/NEJMc2029240" TargetMode="External" /><Relationship Type="http://schemas.openxmlformats.org/officeDocument/2006/relationships/hyperlink" Id="rId123" Target="https://doi.org/10.1056/NEJMms2004740" TargetMode="External" /><Relationship Type="http://schemas.openxmlformats.org/officeDocument/2006/relationships/hyperlink" Id="rId107" Target="https://doi.org/10.1080/01621459.1994.10476818" TargetMode="External" /><Relationship Type="http://schemas.openxmlformats.org/officeDocument/2006/relationships/hyperlink" Id="rId73" Target="https://doi.org/10.1088/0967-3334/28/3/R01" TargetMode="External" /><Relationship Type="http://schemas.openxmlformats.org/officeDocument/2006/relationships/hyperlink" Id="rId119" Target="https://doi.org/10.1088/0967-3334/32/3/008" TargetMode="External" /><Relationship Type="http://schemas.openxmlformats.org/officeDocument/2006/relationships/hyperlink" Id="rId83" Target="https://doi.org/10.1088/0967-3334/33/9/1419" TargetMode="External" /><Relationship Type="http://schemas.openxmlformats.org/officeDocument/2006/relationships/hyperlink" Id="rId95" Target="https://doi.org/10.1093/oxfordjournals.eurheartj.a014868" TargetMode="External" /><Relationship Type="http://schemas.openxmlformats.org/officeDocument/2006/relationships/hyperlink" Id="rId103" Target="https://doi.org/10.1109/JBHI.2014.2338351" TargetMode="External" /><Relationship Type="http://schemas.openxmlformats.org/officeDocument/2006/relationships/hyperlink" Id="rId101" Target="https://doi.org/10.1126/science.aax2342" TargetMode="External" /><Relationship Type="http://schemas.openxmlformats.org/officeDocument/2006/relationships/hyperlink" Id="rId86" Target="https://doi.org/10.1136/bmj-2023-078378" TargetMode="External" /><Relationship Type="http://schemas.openxmlformats.org/officeDocument/2006/relationships/hyperlink" Id="rId79" Target="https://doi.org/10.1136/bmj.h5527" TargetMode="External" /><Relationship Type="http://schemas.openxmlformats.org/officeDocument/2006/relationships/hyperlink" Id="rId111" Target="https://doi.org/10.1145/3242969.3242985" TargetMode="External" /><Relationship Type="http://schemas.openxmlformats.org/officeDocument/2006/relationships/hyperlink" Id="rId125" Target="https://doi.org/10.2307/3001968" TargetMode="External" /><Relationship Type="http://schemas.openxmlformats.org/officeDocument/2006/relationships/hyperlink" Id="rId89" Target="https://doi.org/10.3390/bioengineering3040021" TargetMode="External" /><Relationship Type="http://schemas.openxmlformats.org/officeDocument/2006/relationships/hyperlink" Id="rId113" Target="https://doi.org/10.3390/jpm7020003" TargetMode="External" /><Relationship Type="http://schemas.openxmlformats.org/officeDocument/2006/relationships/hyperlink" Id="rId105" Target="https://doi.org/10.3390/s19143079" TargetMode="External" /><Relationship Type="http://schemas.openxmlformats.org/officeDocument/2006/relationships/hyperlink" Id="rId97"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16/B978-0-12-823374-0.00015-3" TargetMode="External" /><Relationship Type="http://schemas.openxmlformats.org/officeDocument/2006/relationships/hyperlink" Id="rId77" Target="https://doi.org/10.1016/S0140-6736(86)90837-8" TargetMode="External" /><Relationship Type="http://schemas.openxmlformats.org/officeDocument/2006/relationships/hyperlink" Id="rId91" Target="https://doi.org/10.1016/j.cmpb.2021.106461" TargetMode="External" /><Relationship Type="http://schemas.openxmlformats.org/officeDocument/2006/relationships/hyperlink" Id="rId109" Target="https://doi.org/10.1016/j.ijcard.2012.03.119" TargetMode="External" /><Relationship Type="http://schemas.openxmlformats.org/officeDocument/2006/relationships/hyperlink" Id="rId81" Target="https://doi.org/10.1037/0033-2909.114.3.494" TargetMode="External" /><Relationship Type="http://schemas.openxmlformats.org/officeDocument/2006/relationships/hyperlink" Id="rId115" Target="https://doi.org/10.1037/0033-2909.86.2.420" TargetMode="External" /><Relationship Type="http://schemas.openxmlformats.org/officeDocument/2006/relationships/hyperlink" Id="rId93" Target="https://doi.org/10.1038/s41591-020-1034-x" TargetMode="External" /><Relationship Type="http://schemas.openxmlformats.org/officeDocument/2006/relationships/hyperlink" Id="rId121" Target="https://doi.org/10.1038/s41591-022-01772-9" TargetMode="External" /><Relationship Type="http://schemas.openxmlformats.org/officeDocument/2006/relationships/hyperlink" Id="rId75" Target="https://doi.org/10.1038/s41746-020-0226-6" TargetMode="External" /><Relationship Type="http://schemas.openxmlformats.org/officeDocument/2006/relationships/hyperlink" Id="rId117" Target="https://doi.org/10.1056/NEJMc2029240" TargetMode="External" /><Relationship Type="http://schemas.openxmlformats.org/officeDocument/2006/relationships/hyperlink" Id="rId123" Target="https://doi.org/10.1056/NEJMms2004740" TargetMode="External" /><Relationship Type="http://schemas.openxmlformats.org/officeDocument/2006/relationships/hyperlink" Id="rId107" Target="https://doi.org/10.1080/01621459.1994.10476818" TargetMode="External" /><Relationship Type="http://schemas.openxmlformats.org/officeDocument/2006/relationships/hyperlink" Id="rId73" Target="https://doi.org/10.1088/0967-3334/28/3/R01" TargetMode="External" /><Relationship Type="http://schemas.openxmlformats.org/officeDocument/2006/relationships/hyperlink" Id="rId119" Target="https://doi.org/10.1088/0967-3334/32/3/008" TargetMode="External" /><Relationship Type="http://schemas.openxmlformats.org/officeDocument/2006/relationships/hyperlink" Id="rId83" Target="https://doi.org/10.1088/0967-3334/33/9/1419" TargetMode="External" /><Relationship Type="http://schemas.openxmlformats.org/officeDocument/2006/relationships/hyperlink" Id="rId95" Target="https://doi.org/10.1093/oxfordjournals.eurheartj.a014868" TargetMode="External" /><Relationship Type="http://schemas.openxmlformats.org/officeDocument/2006/relationships/hyperlink" Id="rId103" Target="https://doi.org/10.1109/JBHI.2014.2338351" TargetMode="External" /><Relationship Type="http://schemas.openxmlformats.org/officeDocument/2006/relationships/hyperlink" Id="rId101" Target="https://doi.org/10.1126/science.aax2342" TargetMode="External" /><Relationship Type="http://schemas.openxmlformats.org/officeDocument/2006/relationships/hyperlink" Id="rId86" Target="https://doi.org/10.1136/bmj-2023-078378" TargetMode="External" /><Relationship Type="http://schemas.openxmlformats.org/officeDocument/2006/relationships/hyperlink" Id="rId79" Target="https://doi.org/10.1136/bmj.h5527" TargetMode="External" /><Relationship Type="http://schemas.openxmlformats.org/officeDocument/2006/relationships/hyperlink" Id="rId111" Target="https://doi.org/10.1145/3242969.3242985" TargetMode="External" /><Relationship Type="http://schemas.openxmlformats.org/officeDocument/2006/relationships/hyperlink" Id="rId125" Target="https://doi.org/10.2307/3001968" TargetMode="External" /><Relationship Type="http://schemas.openxmlformats.org/officeDocument/2006/relationships/hyperlink" Id="rId89" Target="https://doi.org/10.3390/bioengineering3040021" TargetMode="External" /><Relationship Type="http://schemas.openxmlformats.org/officeDocument/2006/relationships/hyperlink" Id="rId113" Target="https://doi.org/10.3390/jpm7020003" TargetMode="External" /><Relationship Type="http://schemas.openxmlformats.org/officeDocument/2006/relationships/hyperlink" Id="rId105" Target="https://doi.org/10.3390/s19143079" TargetMode="External" /><Relationship Type="http://schemas.openxmlformats.org/officeDocument/2006/relationships/hyperlink" Id="rId97"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2026-05-31T03:13:27Z</dcterms:created>
  <dcterms:modified xsi:type="dcterms:W3CDTF">2026-05-31T03:13:27Z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