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33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ICC(2,1)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hrv_rmssd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+0.006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+0.023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-0.003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+0.002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Regime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default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-20.36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+9.34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+7.40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+1.07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-0.60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4403ed5302f8aa5ac53e47b39aacf71d2583666"/>
    <w:p>
      <w:pPr>
        <w:pStyle w:val="Heading2"/>
      </w:pPr>
      <w:r>
        <w:t xml:space="preserve">S4. Per-subject effect sizes -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128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234 / 137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230 / 126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31ea05ff7c2176dab696ba8e37a23f6e9bf749d"/>
    <w:p>
      <w:pPr>
        <w:pStyle w:val="Heading2"/>
      </w:pPr>
      <w:r>
        <w:t xml:space="preserve">S5. Per-subject effect sizes -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ECG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29f0a47f112df3f78b6d7c52960b87d47892d67"/>
    <w:p>
      <w:pPr>
        <w:pStyle w:val="Heading2"/>
      </w:pPr>
      <w:r>
        <w:t xml:space="preserve">S6. Learned trust-score weights -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bookmarkEnd w:id="15"/>
    <w:bookmarkStart w:id="19" w:name="X862d6072542f48d698c2bf79db7c83b6aa8b908"/>
    <w:p>
      <w:pPr>
        <w:pStyle w:val="Heading2"/>
      </w:pPr>
      <w:r>
        <w:t xml:space="preserve">S7 Threshold sensitivity for the in-house SQI baseline</w:t>
      </w:r>
    </w:p>
    <w:p>
      <w:pPr>
        <w:pStyle w:val="FirstParagraph"/>
      </w:pPr>
      <w:r>
        <w:t xml:space="preserve">The 44.6% / 43.1% headline metric (in-house pass AND all three published methods fail) is numerically dominated by the published-only consensus rejection rate, which is independent of any choice of in-house threshold. Varying the in-house threshold from 0.50 to 0.95 spans the full range of permissive thresholds plausibly used by wearable-PPG pipelines that retain most windows. The published-method internal disagreement (median pairwise Cohen’s κ) is unaffected by any in-house decision and is shown in the rightmost column as a constant within each dataset.</w:t>
      </w:r>
    </w:p>
    <w:p>
      <w:pPr>
        <w:pStyle w:val="TableCaption"/>
      </w:pPr>
      <w:r>
        <w:t xml:space="preserve">Table S5. Threshold-sensitivity analysis for the in-house SQI baseline on WESAD and PPG-DaLiA. The full sensitivity output is at results/real_data/threshold_sensitivity.csv.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. Threshold-sensitivity analysis for the in-house SQI baseline on WESAD and PPG-DaLiA. The full sensitivity output is at results/real_data/threshold_sensitivity.cs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Dataset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Threshold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rate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AND all 3 pub fail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Pub-only consensus rejection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Median pairwise published κ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99.636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44.480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97.130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99.904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43.070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42.846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97.178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41.664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</w:tbl>
    <w:p>
      <w:pPr>
        <w:pStyle w:val="CaptionedFigure"/>
      </w:pPr>
      <w:r>
        <w:drawing>
          <wp:inline>
            <wp:extent cx="5334000" cy="2658904"/>
            <wp:effectExtent b="0" l="0" r="0" t="0"/>
            <wp:docPr descr="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" title="" id="17" name="Picture"/>
            <a:graphic>
              <a:graphicData uri="http://schemas.openxmlformats.org/drawingml/2006/picture">
                <pic:pic>
                  <pic:nvPicPr>
                    <pic:cNvPr descr="paper/figures/figS2_threshold_sensitivit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</w:t>
      </w:r>
    </w:p>
    <w:bookmarkEnd w:id="19"/>
    <w:bookmarkStart w:id="23" w:name="s8.-loso-subject-level-recalibration"/>
    <w:p>
      <w:pPr>
        <w:pStyle w:val="Heading2"/>
      </w:pPr>
      <w:r>
        <w:t xml:space="preserve">S8. LOSO subject-level recalibration</w:t>
      </w:r>
    </w:p>
    <w:p>
      <w:pPr>
        <w:pStyle w:val="FirstParagraph"/>
      </w:pPr>
      <w:r>
        <w:t xml:space="preserve">To test whether the negative recalibration result in main-text Section 3.3 is robust to the train/test split strategy, we re-ran the threshold search as leave-one-subject-out cross-validation across all 15 WESAD subjects. For each held-out subject, the threshold was selected on the other 14 subjects to maximize Cohen’s kappa versus the Orphanidou pass/fail label, then evaluated on the held-out subject. Mean held-out kappa across the 15 folds is -0.063 (median 0.000, range -0.321 to +0.002).</w:t>
      </w:r>
    </w:p>
    <w:p>
      <w:pPr>
        <w:pStyle w:val="BodyText"/>
      </w:pPr>
      <w:r>
        <w:t xml:space="preserve">For 10 of 15 subjects the train search settles on threshold 0.85, under which the in-house SQI still passes 100% of the held-out subject’s windows; held-out kappa is therefore degenerate at zero (Cohen’s kappa is forced to zero when one of the two raters has constant output). For the remaining 5 subjects the train search lands on stricter thresholds (0.98 to 0.99) that produce non-trivial in-house pass/fail variation on the held-out subject; on these 5 subjects 4 show strongly negative held-out kappa (S10: -0.321, S13: -0.214, S16: -0.250, S9: -0.163) and S17 is at +0.0017, essentially zero.</w:t>
      </w:r>
    </w:p>
    <w:p>
      <w:pPr>
        <w:pStyle w:val="BodyText"/>
      </w:pPr>
      <w:r>
        <w:t xml:space="preserve">The LOSO recalibration therefore confirms and sharpens the negative result reported in Section 3.3 (random window-split gives Δkappa approximately zero): when the in-house SQI is forced to make discriminating decisions, it does not recover agreement with the Orphanidou baseline. Full per-subject output:</w:t>
      </w:r>
      <w:r>
        <w:t xml:space="preserve"> </w:t>
      </w:r>
      <w:r>
        <w:rPr>
          <w:rStyle w:val="VerbatimChar"/>
        </w:rPr>
        <w:t xml:space="preserve">results/real_data/loso_recalibration.csv</w:t>
      </w:r>
      <w:r>
        <w:t xml:space="preserve">.</w:t>
      </w:r>
    </w:p>
    <w:p>
      <w:pPr>
        <w:pStyle w:val="CaptionedFigure"/>
      </w:pPr>
      <w:r>
        <w:drawing>
          <wp:inline>
            <wp:extent cx="5334000" cy="2734361"/>
            <wp:effectExtent b="0" l="0" r="0" t="0"/>
            <wp:docPr descr="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" title="" id="21" name="Picture"/>
            <a:graphic>
              <a:graphicData uri="http://schemas.openxmlformats.org/drawingml/2006/picture">
                <pic:pic>
                  <pic:nvPicPr>
                    <pic:cNvPr descr="paper/figures/figS3_loso_reca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</w:t>
      </w:r>
    </w:p>
    <w:bookmarkEnd w:id="23"/>
    <w:bookmarkStart w:id="32" w:name="X85a902ec8e3f7eb9ff8083c7a077c6555cf8b03"/>
    <w:p>
      <w:pPr>
        <w:pStyle w:val="Heading2"/>
      </w:pPr>
      <w:r>
        <w:t xml:space="preserve">S9. Consensus rejection: alternative view of the headline finding</w:t>
      </w:r>
    </w:p>
    <w:p>
      <w:pPr>
        <w:pStyle w:val="FirstParagraph"/>
      </w:pPr>
      <w:r>
        <w:t xml:space="preserve">The main-text Figure 1 (conceptual Venn) shows the cross-method signal-quality disagreement on WESAD and PPG-DaLiA as overlapping disks of acceptance with a dark region for consensus rejection. Supplementary Figure S4 provides a complementary stacked-bar view of the same finding on WESAD: of 6,585 5-second windows, the in-house pipeline accepts every one (100.0%), but applying the three independently developed published methods simultaneously rejects 2,936 (44.6%) of the same windows. The two visualizations summarize the same numbers from different angles; we include both because reviewers and readers may find one or the other more communicative.</w:t>
      </w:r>
    </w:p>
    <w:p>
      <w:pPr>
        <w:pStyle w:val="CaptionedFigure"/>
      </w:pPr>
      <w:r>
        <w:drawing>
          <wp:inline>
            <wp:extent cx="5334000" cy="2309090"/>
            <wp:effectExtent b="0" l="0" r="0" t="0"/>
            <wp:docPr descr="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" title="" id="25" name="Picture"/>
            <a:graphic>
              <a:graphicData uri="http://schemas.openxmlformats.org/drawingml/2006/picture">
                <pic:pic>
                  <pic:nvPicPr>
                    <pic:cNvPr descr="paper/figures/fig4_rejection_casca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</w:t>
      </w:r>
    </w:p>
    <w:bookmarkStart w:id="31" w:name="refs"/>
    <w:bookmarkStart w:id="28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27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28"/>
    <w:bookmarkStart w:id="30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9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30"/>
    <w:bookmarkEnd w:id="31"/>
    <w:bookmarkEnd w:id="32"/>
    <w:bookmarkEnd w:id="3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2026-05-31T03:06:19Z</dcterms:created>
  <dcterms:modified xsi:type="dcterms:W3CDTF">2026-05-31T03:06:19Z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/Users/ceyhun/Downloads/biomedical-signal-forensics-lab-2/paper/paper.bib</vt:lpwstr>
  </property>
</Properties>
</file>