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2"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Start w:id="21"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1"/>
    <w:bookmarkEnd w:id="22"/>
    <w:bookmarkStart w:id="31"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3"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3"/>
    <w:bookmarkStart w:id="24"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4"/>
    <w:bookmarkStart w:id="25"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5"/>
    <w:bookmarkStart w:id="26"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9 of 15 subjects the train search settles on threshold 0.85, under which the in-house SQI still passes 100% of the held-out subject’s windows and held-out κ is degenerate at 0. For the remaining 6 subjects the train search lands on stricter thresholds (0.98 to 0.99) that produce non-trivial in-house pass/fail variation; on those held-out subjects κ is uniformly non-positive (range -0.321 to +0.002), meaning that when the in-house SQI is forced to make discriminating decisions it anti-correlates with the Orphanidou baseline rather than agreeing with it.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w:t>
      </w:r>
    </w:p>
    <w:bookmarkEnd w:id="26"/>
    <w:bookmarkStart w:id="27"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7"/>
    <w:bookmarkStart w:id="28"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8"/>
    <w:bookmarkStart w:id="29"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9"/>
    <w:bookmarkStart w:id="30"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0"/>
    <w:bookmarkEnd w:id="31"/>
    <w:bookmarkStart w:id="39" w:name="Xf8d28994ab18c569b43451e1d59264a3df91dd7"/>
    <w:p>
      <w:pPr>
        <w:pStyle w:val="Heading2"/>
      </w:pPr>
      <w:r>
        <w:t xml:space="preserve">4. Methodological validation on synthetic data</w:t>
      </w:r>
    </w:p>
    <w:bookmarkStart w:id="3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2"/>
    <w:bookmarkStart w:id="3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3"/>
    <w:bookmarkStart w:id="3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4"/>
    <w:bookmarkStart w:id="3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5"/>
    <w:bookmarkStart w:id="3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6"/>
    <w:bookmarkStart w:id="3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7"/>
    <w:bookmarkStart w:id="38"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8"/>
    <w:bookmarkEnd w:id="39"/>
    <w:bookmarkStart w:id="43" w:name="discussion"/>
    <w:p>
      <w:pPr>
        <w:pStyle w:val="Heading2"/>
      </w:pPr>
      <w:r>
        <w:t xml:space="preserve">5. Discussion</w:t>
      </w:r>
    </w:p>
    <w:bookmarkStart w:id="4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0"/>
    <w:bookmarkStart w:id="41"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1"/>
    <w:bookmarkStart w:id="4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42"/>
    <w:bookmarkEnd w:id="43"/>
    <w:bookmarkStart w:id="4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4"/>
    <w:bookmarkStart w:id="45"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45"/>
    <w:bookmarkStart w:id="4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6"/>
    <w:bookmarkStart w:id="47" w:name="funding"/>
    <w:p>
      <w:pPr>
        <w:pStyle w:val="Heading2"/>
      </w:pPr>
      <w:r>
        <w:t xml:space="preserve">Funding</w:t>
      </w:r>
    </w:p>
    <w:p>
      <w:pPr>
        <w:pStyle w:val="FirstParagraph"/>
      </w:pPr>
      <w:r>
        <w:t xml:space="preserve">No external funding supported this work.</w:t>
      </w:r>
    </w:p>
    <w:bookmarkEnd w:id="47"/>
    <w:bookmarkStart w:id="48"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0"/>
    <w:bookmarkStart w:id="102"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01" w:name="refs"/>
    <w:bookmarkStart w:id="52"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1">
        <w:r>
          <w:rPr>
            <w:rStyle w:val="Hyperlink"/>
          </w:rPr>
          <w:t xml:space="preserve">https://doi.org/10.1088/0967-3334/28/3/R01</w:t>
        </w:r>
      </w:hyperlink>
      <w:r>
        <w:t xml:space="preserve">.</w:t>
      </w:r>
    </w:p>
    <w:bookmarkEnd w:id="52"/>
    <w:bookmarkStart w:id="54"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3">
        <w:r>
          <w:rPr>
            <w:rStyle w:val="Hyperlink"/>
          </w:rPr>
          <w:t xml:space="preserve">https://doi.org/10.1038/s41746-020-0226-6</w:t>
        </w:r>
      </w:hyperlink>
      <w:r>
        <w:t xml:space="preserve">.</w:t>
      </w:r>
    </w:p>
    <w:bookmarkEnd w:id="54"/>
    <w:bookmarkStart w:id="56"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5">
        <w:r>
          <w:rPr>
            <w:rStyle w:val="Hyperlink"/>
          </w:rPr>
          <w:t xml:space="preserve">https://doi.org/10.1016/S0140-6736(86)90837-8</w:t>
        </w:r>
      </w:hyperlink>
      <w:r>
        <w:t xml:space="preserve">.</w:t>
      </w:r>
    </w:p>
    <w:bookmarkEnd w:id="56"/>
    <w:bookmarkStart w:id="58"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7">
        <w:r>
          <w:rPr>
            <w:rStyle w:val="Hyperlink"/>
          </w:rPr>
          <w:t xml:space="preserve">https://doi.org/10.1136/bmj.h5527</w:t>
        </w:r>
      </w:hyperlink>
      <w:r>
        <w:t xml:space="preserve">.</w:t>
      </w:r>
    </w:p>
    <w:bookmarkEnd w:id="58"/>
    <w:bookmarkStart w:id="60"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9">
        <w:r>
          <w:rPr>
            <w:rStyle w:val="Hyperlink"/>
          </w:rPr>
          <w:t xml:space="preserve">https://doi.org/10.1037/0033-2909.114.3.494</w:t>
        </w:r>
      </w:hyperlink>
      <w:r>
        <w:t xml:space="preserve">.</w:t>
      </w:r>
    </w:p>
    <w:bookmarkEnd w:id="60"/>
    <w:bookmarkStart w:id="62"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1">
        <w:r>
          <w:rPr>
            <w:rStyle w:val="Hyperlink"/>
          </w:rPr>
          <w:t xml:space="preserve">https://doi.org/10.1088/0967-3334/33/9/1419</w:t>
        </w:r>
      </w:hyperlink>
      <w:r>
        <w:t xml:space="preserve">.</w:t>
      </w:r>
    </w:p>
    <w:bookmarkEnd w:id="62"/>
    <w:bookmarkStart w:id="63"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3"/>
    <w:bookmarkStart w:id="65"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4">
        <w:r>
          <w:rPr>
            <w:rStyle w:val="Hyperlink"/>
          </w:rPr>
          <w:t xml:space="preserve">https://doi.org/10.1136/bmj-2023-078378</w:t>
        </w:r>
      </w:hyperlink>
      <w:r>
        <w:t xml:space="preserve">.</w:t>
      </w:r>
    </w:p>
    <w:bookmarkEnd w:id="65"/>
    <w:bookmarkStart w:id="66"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6"/>
    <w:bookmarkStart w:id="68"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7">
        <w:r>
          <w:rPr>
            <w:rStyle w:val="Hyperlink"/>
          </w:rPr>
          <w:t xml:space="preserve">https://doi.org/10.3390/bioengineering3040021</w:t>
        </w:r>
      </w:hyperlink>
      <w:r>
        <w:t xml:space="preserve">.</w:t>
      </w:r>
    </w:p>
    <w:bookmarkEnd w:id="68"/>
    <w:bookmarkStart w:id="70"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9">
        <w:r>
          <w:rPr>
            <w:rStyle w:val="Hyperlink"/>
          </w:rPr>
          <w:t xml:space="preserve">https://doi.org/10.1016/j.cmpb.2021.106461</w:t>
        </w:r>
      </w:hyperlink>
      <w:r>
        <w:t xml:space="preserve">.</w:t>
      </w:r>
    </w:p>
    <w:bookmarkEnd w:id="70"/>
    <w:bookmarkStart w:id="72"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1">
        <w:r>
          <w:rPr>
            <w:rStyle w:val="Hyperlink"/>
          </w:rPr>
          <w:t xml:space="preserve">https://doi.org/10.1038/s41591-020-1034-x</w:t>
        </w:r>
      </w:hyperlink>
      <w:r>
        <w:t xml:space="preserve">.</w:t>
      </w:r>
    </w:p>
    <w:bookmarkEnd w:id="72"/>
    <w:bookmarkStart w:id="74"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3">
        <w:r>
          <w:rPr>
            <w:rStyle w:val="Hyperlink"/>
          </w:rPr>
          <w:t xml:space="preserve">https://doi.org/10.1093/oxfordjournals.eurheartj.a014868</w:t>
        </w:r>
      </w:hyperlink>
      <w:r>
        <w:t xml:space="preserve">.</w:t>
      </w:r>
    </w:p>
    <w:bookmarkEnd w:id="74"/>
    <w:bookmarkStart w:id="76"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5">
        <w:r>
          <w:rPr>
            <w:rStyle w:val="Hyperlink"/>
          </w:rPr>
          <w:t xml:space="preserve">https://doi.org/10.1016/B978-0-12-823374-0.00015-3</w:t>
        </w:r>
      </w:hyperlink>
      <w:r>
        <w:t xml:space="preserve">.</w:t>
      </w:r>
    </w:p>
    <w:bookmarkEnd w:id="76"/>
    <w:bookmarkStart w:id="78"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7">
        <w:r>
          <w:rPr>
            <w:rStyle w:val="Hyperlink"/>
          </w:rPr>
          <w:t xml:space="preserve">https://doi.org/10.3389/fpsyt.2022.1003133</w:t>
        </w:r>
      </w:hyperlink>
      <w:r>
        <w:t xml:space="preserve">.</w:t>
      </w:r>
    </w:p>
    <w:bookmarkEnd w:id="78"/>
    <w:bookmarkStart w:id="80"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9">
        <w:r>
          <w:rPr>
            <w:rStyle w:val="Hyperlink"/>
          </w:rPr>
          <w:t xml:space="preserve">https://doi.org/10.1109/JBHI.2014.2338351</w:t>
        </w:r>
      </w:hyperlink>
      <w:r>
        <w:t xml:space="preserve">.</w:t>
      </w:r>
    </w:p>
    <w:bookmarkEnd w:id="80"/>
    <w:bookmarkStart w:id="82"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1">
        <w:r>
          <w:rPr>
            <w:rStyle w:val="Hyperlink"/>
          </w:rPr>
          <w:t xml:space="preserve">https://doi.org/10.1159/000516860</w:t>
        </w:r>
      </w:hyperlink>
      <w:r>
        <w:t xml:space="preserve">.</w:t>
      </w:r>
    </w:p>
    <w:bookmarkEnd w:id="82"/>
    <w:bookmarkStart w:id="84"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3">
        <w:r>
          <w:rPr>
            <w:rStyle w:val="Hyperlink"/>
          </w:rPr>
          <w:t xml:space="preserve">https://doi.org/10.3390/s19143079</w:t>
        </w:r>
      </w:hyperlink>
      <w:r>
        <w:t xml:space="preserve">.</w:t>
      </w:r>
    </w:p>
    <w:bookmarkEnd w:id="84"/>
    <w:bookmarkStart w:id="86"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5">
        <w:r>
          <w:rPr>
            <w:rStyle w:val="Hyperlink"/>
          </w:rPr>
          <w:t xml:space="preserve">https://doi.org/10.1080/01621459.1994.10476818</w:t>
        </w:r>
      </w:hyperlink>
      <w:r>
        <w:t xml:space="preserve">.</w:t>
      </w:r>
    </w:p>
    <w:bookmarkEnd w:id="86"/>
    <w:bookmarkStart w:id="88"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7">
        <w:r>
          <w:rPr>
            <w:rStyle w:val="Hyperlink"/>
          </w:rPr>
          <w:t xml:space="preserve">https://doi.org/10.1016/j.ijcard.2012.03.119</w:t>
        </w:r>
      </w:hyperlink>
      <w:r>
        <w:t xml:space="preserve">.</w:t>
      </w:r>
    </w:p>
    <w:bookmarkEnd w:id="88"/>
    <w:bookmarkStart w:id="90"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9">
        <w:r>
          <w:rPr>
            <w:rStyle w:val="Hyperlink"/>
          </w:rPr>
          <w:t xml:space="preserve">https://doi.org/10.1145/3242969.3242985</w:t>
        </w:r>
      </w:hyperlink>
      <w:r>
        <w:t xml:space="preserve">.</w:t>
      </w:r>
    </w:p>
    <w:bookmarkEnd w:id="90"/>
    <w:bookmarkStart w:id="92"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1">
        <w:r>
          <w:rPr>
            <w:rStyle w:val="Hyperlink"/>
          </w:rPr>
          <w:t xml:space="preserve">https://doi.org/10.3390/jpm7020003</w:t>
        </w:r>
      </w:hyperlink>
      <w:r>
        <w:t xml:space="preserve">.</w:t>
      </w:r>
    </w:p>
    <w:bookmarkEnd w:id="92"/>
    <w:bookmarkStart w:id="94"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3">
        <w:r>
          <w:rPr>
            <w:rStyle w:val="Hyperlink"/>
          </w:rPr>
          <w:t xml:space="preserve">https://doi.org/10.1037/0033-2909.86.2.420</w:t>
        </w:r>
      </w:hyperlink>
      <w:r>
        <w:t xml:space="preserve">.</w:t>
      </w:r>
    </w:p>
    <w:bookmarkEnd w:id="94"/>
    <w:bookmarkStart w:id="96"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5">
        <w:r>
          <w:rPr>
            <w:rStyle w:val="Hyperlink"/>
          </w:rPr>
          <w:t xml:space="preserve">https://doi.org/10.1088/0967-3334/32/3/008</w:t>
        </w:r>
      </w:hyperlink>
      <w:r>
        <w:t xml:space="preserve">.</w:t>
      </w:r>
    </w:p>
    <w:bookmarkEnd w:id="96"/>
    <w:bookmarkStart w:id="98"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7">
        <w:r>
          <w:rPr>
            <w:rStyle w:val="Hyperlink"/>
          </w:rPr>
          <w:t xml:space="preserve">https://doi.org/10.1038/s41591-022-01772-9</w:t>
        </w:r>
      </w:hyperlink>
      <w:r>
        <w:t xml:space="preserve">.</w:t>
      </w:r>
    </w:p>
    <w:bookmarkEnd w:id="98"/>
    <w:bookmarkStart w:id="100"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9">
        <w:r>
          <w:rPr>
            <w:rStyle w:val="Hyperlink"/>
          </w:rPr>
          <w:t xml:space="preserve">https://doi.org/10.2307/3001968</w:t>
        </w:r>
      </w:hyperlink>
      <w:r>
        <w:t xml:space="preserve">.</w:t>
      </w:r>
    </w:p>
    <w:bookmarkEnd w:id="100"/>
    <w:bookmarkEnd w:id="101"/>
    <w:bookmarkEnd w:id="102"/>
    <w:bookmarkEnd w:id="10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2026-05-25T00:25:12Z</dcterms:created>
  <dcterms:modified xsi:type="dcterms:W3CDTF">2026-05-25T00:25:12Z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