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21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ICC(2,1)</w:t>
            </w:r>
          </w:p>
        </w:tc>
        <w:tc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/>
          <w:p>
            <w:pPr>
              <w:pStyle w:val="Compact"/>
            </w:pPr>
            <w:r>
              <w:t xml:space="preserve">+0.869</w:t>
            </w:r>
          </w:p>
        </w:tc>
        <w:tc>
          <w:tcPr/>
          <w:p>
            <w:pPr>
              <w:pStyle w:val="Compact"/>
            </w:pPr>
            <w:r>
              <w:t xml:space="preserve">+0.977</w:t>
            </w:r>
          </w:p>
        </w:tc>
        <w:tc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hrv_rmssd</w:t>
            </w:r>
          </w:p>
        </w:tc>
        <w:tc>
          <w:tcPr/>
          <w:p>
            <w:pPr>
              <w:pStyle w:val="Compact"/>
            </w:pPr>
            <w:r>
              <w:t xml:space="preserve">+0.779</w:t>
            </w:r>
          </w:p>
        </w:tc>
        <w:tc>
          <w:tcPr/>
          <w:p>
            <w:pPr>
              <w:pStyle w:val="Compact"/>
            </w:pPr>
            <w:r>
              <w:t xml:space="preserve">+0.954</w:t>
            </w:r>
          </w:p>
        </w:tc>
        <w:tc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+0.023</w:t>
            </w:r>
          </w:p>
        </w:tc>
        <w:tc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+0.002</w:t>
            </w:r>
          </w:p>
        </w:tc>
        <w:tc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-7.54</w:t>
            </w:r>
          </w:p>
        </w:tc>
        <w:tc>
          <w:tcPr/>
          <w:p>
            <w:pPr>
              <w:pStyle w:val="Compact"/>
            </w:pPr>
            <w:r>
              <w:t xml:space="preserve">+3.20</w:t>
            </w:r>
          </w:p>
        </w:tc>
        <w:tc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/>
          <w:p>
            <w:pPr>
              <w:pStyle w:val="Compact"/>
            </w:pPr>
            <w:r>
              <w:t xml:space="preserve">-0.190</w:t>
            </w:r>
          </w:p>
        </w:tc>
        <w:tc>
          <w:tcPr/>
          <w:p>
            <w:pPr>
              <w:pStyle w:val="Compact"/>
            </w:pPr>
            <w:r>
              <w:t xml:space="preserve">-20.36</w:t>
            </w:r>
          </w:p>
        </w:tc>
        <w:tc>
          <w:tcPr/>
          <w:p>
            <w:pPr>
              <w:pStyle w:val="Compact"/>
            </w:pPr>
            <w:r>
              <w:t xml:space="preserve">+3.20</w:t>
            </w:r>
          </w:p>
        </w:tc>
        <w:tc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+9.34</w:t>
            </w:r>
          </w:p>
        </w:tc>
        <w:tc>
          <w:tcPr/>
          <w:p>
            <w:pPr>
              <w:pStyle w:val="Compact"/>
            </w:pPr>
            <w:r>
              <w:t xml:space="preserve">+3.20</w:t>
            </w:r>
          </w:p>
        </w:tc>
        <w:tc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-7.54</w:t>
            </w:r>
          </w:p>
        </w:tc>
        <w:tc>
          <w:tcPr/>
          <w:p>
            <w:pPr>
              <w:pStyle w:val="Compact"/>
            </w:pPr>
            <w:r>
              <w:t xml:space="preserve">+7.40</w:t>
            </w:r>
          </w:p>
        </w:tc>
        <w:tc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/>
          <w:p>
            <w:pPr>
              <w:pStyle w:val="Compact"/>
            </w:pPr>
            <w:r>
              <w:t xml:space="preserve">+0.007</w:t>
            </w:r>
          </w:p>
        </w:tc>
        <w:tc>
          <w:tcPr/>
          <w:p>
            <w:pPr>
              <w:pStyle w:val="Compact"/>
            </w:pPr>
            <w:r>
              <w:t xml:space="preserve">+1.07</w:t>
            </w:r>
          </w:p>
        </w:tc>
        <w:tc>
          <w:tcPr/>
          <w:p>
            <w:pPr>
              <w:pStyle w:val="Compact"/>
            </w:pPr>
            <w:r>
              <w:t xml:space="preserve">-0.60</w:t>
            </w:r>
          </w:p>
        </w:tc>
        <w:tc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0b656fa67bfd4f29de9bde36f537b5100d28123"/>
    <w:p>
      <w:pPr>
        <w:pStyle w:val="Heading2"/>
      </w:pPr>
      <w:r>
        <w:t xml:space="preserve">S4. Per-subject effect sizes —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n_a / n_b</w:t>
            </w:r>
          </w:p>
        </w:tc>
        <w:tc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144</w:t>
            </w:r>
          </w:p>
        </w:tc>
        <w:tc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/>
          <w:p>
            <w:pPr>
              <w:pStyle w:val="Compact"/>
            </w:pPr>
            <w:r>
              <w:t xml:space="preserve">+1.16</w:t>
            </w:r>
          </w:p>
        </w:tc>
        <w:tc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239 / 128</w:t>
            </w:r>
          </w:p>
        </w:tc>
        <w:tc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/>
          <w:p>
            <w:pPr>
              <w:pStyle w:val="Compact"/>
            </w:pPr>
            <w:r>
              <w:t xml:space="preserve">+1.37</w:t>
            </w:r>
          </w:p>
        </w:tc>
        <w:tc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134</w:t>
            </w:r>
          </w:p>
        </w:tc>
        <w:tc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134</w:t>
            </w:r>
          </w:p>
        </w:tc>
        <w:tc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/>
          <w:p>
            <w:pPr>
              <w:pStyle w:val="Compact"/>
            </w:pPr>
            <w:r>
              <w:t xml:space="preserve">+1.41</w:t>
            </w:r>
          </w:p>
        </w:tc>
        <w:tc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135</w:t>
            </w:r>
          </w:p>
        </w:tc>
        <w:tc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/>
          <w:p>
            <w:pPr>
              <w:pStyle w:val="Compact"/>
            </w:pPr>
            <w:r>
              <w:t xml:space="preserve">+0.98</w:t>
            </w:r>
          </w:p>
        </w:tc>
        <w:tc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234 / 137</w:t>
            </w:r>
          </w:p>
        </w:tc>
        <w:tc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230 / 126</w:t>
            </w:r>
          </w:p>
        </w:tc>
        <w:tc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/>
          <w:p>
            <w:pPr>
              <w:pStyle w:val="Compact"/>
            </w:pPr>
            <w:r>
              <w:t xml:space="preserve">+0.90</w:t>
            </w:r>
          </w:p>
        </w:tc>
        <w:tc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81d79503a7cd54d777e0c1a77268294ecb67848"/>
    <w:p>
      <w:pPr>
        <w:pStyle w:val="Heading2"/>
      </w:pPr>
      <w:r>
        <w:t xml:space="preserve">S5. Per-subject effect sizes —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n_a / n_b</w:t>
            </w:r>
          </w:p>
        </w:tc>
        <w:tc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74</w:t>
            </w:r>
          </w:p>
        </w:tc>
        <w:tc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/>
          <w:p>
            <w:pPr>
              <w:pStyle w:val="Compact"/>
            </w:pPr>
            <w:r>
              <w:t xml:space="preserve">+1.89</w:t>
            </w:r>
          </w:p>
        </w:tc>
        <w:tc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ECG SQI</w:t>
            </w:r>
          </w:p>
        </w:tc>
        <w:tc>
          <w:tcPr/>
          <w:p>
            <w:pPr>
              <w:pStyle w:val="Compact"/>
            </w:pPr>
            <w:r>
              <w:t xml:space="preserve">235 / 73</w:t>
            </w:r>
          </w:p>
        </w:tc>
        <w:tc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/>
          <w:p>
            <w:pPr>
              <w:pStyle w:val="Compact"/>
            </w:pPr>
            <w:r>
              <w:t xml:space="preserve">+1.59</w:t>
            </w:r>
          </w:p>
        </w:tc>
        <w:tc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72</w:t>
            </w:r>
          </w:p>
        </w:tc>
        <w:tc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/>
          <w:p>
            <w:pPr>
              <w:pStyle w:val="Compact"/>
            </w:pPr>
            <w:r>
              <w:t xml:space="preserve">+1.37</w:t>
            </w:r>
          </w:p>
        </w:tc>
        <w:tc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73</w:t>
            </w:r>
          </w:p>
        </w:tc>
        <w:tc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/>
          <w:p>
            <w:pPr>
              <w:pStyle w:val="Compact"/>
            </w:pPr>
            <w:r>
              <w:t xml:space="preserve">+1.55</w:t>
            </w:r>
          </w:p>
        </w:tc>
        <w:tc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239 / 74</w:t>
            </w:r>
          </w:p>
        </w:tc>
        <w:tc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/>
          <w:p>
            <w:pPr>
              <w:pStyle w:val="Compact"/>
            </w:pPr>
            <w:r>
              <w:t xml:space="preserve">+0.97</w:t>
            </w:r>
          </w:p>
        </w:tc>
        <w:tc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73</w:t>
            </w:r>
          </w:p>
        </w:tc>
        <w:tc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/>
          <w:p>
            <w:pPr>
              <w:pStyle w:val="Compact"/>
            </w:pPr>
            <w:r>
              <w:t xml:space="preserve">+0.97</w:t>
            </w:r>
          </w:p>
        </w:tc>
        <w:tc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07f0dfa1c5b124f5423e6c142609b1b866a74a1"/>
    <w:p>
      <w:pPr>
        <w:pStyle w:val="Heading2"/>
      </w:pPr>
      <w:r>
        <w:t xml:space="preserve">S6. Learned trust-score weights —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6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15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16"/>
    <w:bookmarkStart w:id="18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7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8"/>
    <w:bookmarkEnd w:id="19"/>
    <w:bookmarkEnd w:id="20"/>
    <w:bookmarkEnd w:id="21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doi.org/10.1037/0033-2909.114.3.494" TargetMode="External" /><Relationship Type="http://schemas.openxmlformats.org/officeDocument/2006/relationships/hyperlink" Id="rId17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doi.org/10.1037/0033-2909.114.3.494" TargetMode="External" /><Relationship Type="http://schemas.openxmlformats.org/officeDocument/2006/relationships/hyperlink" Id="rId17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2026-05-24T11:36:39Z</dcterms:created>
  <dcterms:modified xsi:type="dcterms:W3CDTF">2026-05-24T11:36:39Z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paper/paper.bib</vt:lpwstr>
  </property>
</Properties>
</file>