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49.png" ContentType="image/png"/>
  <Override PartName="/word/media/rId58.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consensus-rejection finding; the toolkit is the supporting infrastructure that made the finding reproducible.</w:t>
      </w:r>
    </w:p>
    <w:p>
      <w:pPr>
        <w:pStyle w:val="CaptionedFigure"/>
      </w:pPr>
      <w:r>
        <w:drawing>
          <wp:inline>
            <wp:extent cx="5334000" cy="2459481"/>
            <wp:effectExtent b="0" l="0" r="0" t="0"/>
            <wp:docPr descr="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 title="" id="14" name="Picture"/>
            <a:graphic>
              <a:graphicData uri="http://schemas.openxmlformats.org/drawingml/2006/picture">
                <pic:pic>
                  <pic:nvPicPr>
                    <pic:cNvPr descr="paper/figures/fig1_conceptual.png" id="15" name="Picture"/>
                    <pic:cNvPicPr>
                      <a:picLocks noChangeArrowheads="1" noChangeAspect="1"/>
                    </pic:cNvPicPr>
                  </pic:nvPicPr>
                  <pic:blipFill>
                    <a:blip r:embed="rId13"/>
                    <a:stretch>
                      <a:fillRect/>
                    </a:stretch>
                  </pic:blipFill>
                  <pic:spPr bwMode="auto">
                    <a:xfrm>
                      <a:off x="0" y="0"/>
                      <a:ext cx="5334000" cy="2459481"/>
                    </a:xfrm>
                    <a:prstGeom prst="rect">
                      <a:avLst/>
                    </a:prstGeom>
                    <a:noFill/>
                    <a:ln w="9525">
                      <a:noFill/>
                      <a:headEnd/>
                      <a:tailEnd/>
                    </a:ln>
                  </pic:spPr>
                </pic:pic>
              </a:graphicData>
            </a:graphic>
          </wp:inline>
        </w:drawing>
      </w:r>
    </w:p>
    <w:p>
      <w:pPr>
        <w:pStyle w:val="ImageCaption"/>
      </w:pPr>
      <w:r>
        <w:t xml:space="preserve">Figure 1. Cross-method signal-quality agreement and consensus rejection on wearable photoplethysmography. Each colored disk represents the subset of windows accepted by one published method on each dataset (schematic; not proportional). The region outside all three disks represents the consensus rejection by all three independently developed methods (44.6% on WESAD; 43.1% on PPG-DaLiA). The three methods agree more than chance on pass/fail once prevalence is accounted for (median Gwet’s AC1 = +0.32) and converge on which to reject. Headline numbers in the figure are uncorrected and identical to those in Table 4 (WESAD) and Table 10 (PPG-DaLiA).</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62" w:name="Xf8d28994ab18c569b43451e1d59264a3df91dd7"/>
    <w:p>
      <w:pPr>
        <w:pStyle w:val="Heading2"/>
      </w:pPr>
      <w:r>
        <w:t xml:space="preserve">4. Methodological validation on synthetic data</w:t>
      </w:r>
    </w:p>
    <w:bookmarkStart w:id="5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p>
      <w:pPr>
        <w:pStyle w:val="CaptionedFigure"/>
      </w:pPr>
      <w:r>
        <w:drawing>
          <wp:inline>
            <wp:extent cx="5334000" cy="3977375"/>
            <wp:effectExtent b="0" l="0" r="0" t="0"/>
            <wp:docPr descr="Figure 6. Cohort-level Digital Biomarker Trust Score on the synthetic cohort (n = 300 participants, 60 days each). Mean overall DBTS = 74.11 (moderate category); 31 participants in the high category, 266 moderate, 3 low." title="" id="50" name="Picture"/>
            <a:graphic>
              <a:graphicData uri="http://schemas.openxmlformats.org/drawingml/2006/picture">
                <pic:pic>
                  <pic:nvPicPr>
                    <pic:cNvPr descr="paper/figures/fig2_synthetic_headline.png" id="51" name="Picture"/>
                    <pic:cNvPicPr>
                      <a:picLocks noChangeArrowheads="1" noChangeAspect="1"/>
                    </pic:cNvPicPr>
                  </pic:nvPicPr>
                  <pic:blipFill>
                    <a:blip r:embed="rId49"/>
                    <a:stretch>
                      <a:fillRect/>
                    </a:stretch>
                  </pic:blipFill>
                  <pic:spPr bwMode="auto">
                    <a:xfrm>
                      <a:off x="0" y="0"/>
                      <a:ext cx="5334000" cy="3977375"/>
                    </a:xfrm>
                    <a:prstGeom prst="rect">
                      <a:avLst/>
                    </a:prstGeom>
                    <a:noFill/>
                    <a:ln w="9525">
                      <a:noFill/>
                      <a:headEnd/>
                      <a:tailEnd/>
                    </a:ln>
                  </pic:spPr>
                </pic:pic>
              </a:graphicData>
            </a:graphic>
          </wp:inline>
        </w:drawing>
      </w:r>
    </w:p>
    <w:p>
      <w:pPr>
        <w:pStyle w:val="ImageCaption"/>
      </w:pPr>
      <w:r>
        <w:t xml:space="preserve">Figure 6. Cohort-level Digital Biomarker Trust Score on the synthetic cohort (n = 300 participants, 60 days each). Mean overall DBTS = 74.11 (moderate category); 31 participants in the high category, 266 moderate, 3 low.</w:t>
      </w:r>
    </w:p>
    <w:bookmarkEnd w:id="52"/>
    <w:bookmarkStart w:id="5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r</w:t>
            </w:r>
          </w:p>
        </w:tc>
        <w:tc>
          <w:tcPr>
            <w:tcBorders>
              <w:top w:val="single" w:sz="12" w:space="0" w:color="000000"/>
              <w:left w:val="nil"/>
              <w:bottom w:val="single" w:sz="8" w:space="0" w:color="000000"/>
              <w:right w:val="nil"/>
            </w:tcBorders>
          </w:tcPr>
          <w:tcPr/>
          <w:p>
            <w:pPr>
              <w:pStyle w:val="Compact"/>
            </w:pPr>
            <w:r>
              <w:t xml:space="preserve">95% CI</w:t>
            </w:r>
          </w:p>
        </w:tc>
        <w:tc>
          <w:tcPr>
            <w:tcBorders>
              <w:top w:val="single" w:sz="12" w:space="0" w:color="000000"/>
              <w:left w:val="nil"/>
              <w:bottom w:val="single" w:sz="8" w:space="0" w:color="000000"/>
              <w:right w:val="nil"/>
            </w:tcBorders>
          </w:tcPr>
          <w:tcPr/>
          <w:p>
            <w:pPr>
              <w:pStyle w:val="Compact"/>
            </w:pPr>
            <w:r>
              <w:t xml:space="preserve">n participants</w:t>
            </w:r>
          </w:p>
        </w:tc>
        <w:tc>
          <w:tcPr>
            <w:tcBorders>
              <w:top w:val="single" w:sz="12" w:space="0" w:color="000000"/>
              <w:left w:val="nil"/>
              <w:bottom w:val="single" w:sz="8" w:space="0" w:color="000000"/>
              <w:right w:val="nil"/>
            </w:tcBorders>
          </w:tcPr>
          <w:tcPr/>
          <w:p>
            <w:pPr>
              <w:pStyle w:val="Compact"/>
            </w:pPr>
            <w:r>
              <w:t xml:space="preserve">n pairs</w:t>
            </w:r>
          </w:p>
        </w:tc>
      </w:tr>
      <w:tr>
        <w:tc>
          <w:tcPr>
            <w:tcBorders>
              <w:top w:val="nil"/>
              <w:left w:val="nil"/>
              <w:bottom w:val="nil"/>
              <w:right w:val="nil"/>
            </w:tcBorders>
          </w:tcPr>
          <w:tcPr/>
          <w:p>
            <w:pPr>
              <w:pStyle w:val="Compact"/>
            </w:pPr>
            <w:r>
              <w:t xml:space="preserve">resting_hr</w:t>
            </w:r>
          </w:p>
        </w:tc>
        <w:tc>
          <w:tcPr>
            <w:tcBorders>
              <w:top w:val="nil"/>
              <w:left w:val="nil"/>
              <w:bottom w:val="nil"/>
              <w:right w:val="nil"/>
            </w:tcBorders>
          </w:tcPr>
          <w:tcPr/>
          <w:p>
            <w:pPr>
              <w:pStyle w:val="Compact"/>
            </w:pPr>
            <w:r>
              <w:rPr>
                <w:b/>
                <w:bCs/>
              </w:rPr>
              <w:t xml:space="preserve">+0.977</w:t>
            </w:r>
          </w:p>
        </w:tc>
        <w:tc>
          <w:tcPr>
            <w:tcBorders>
              <w:top w:val="nil"/>
              <w:left w:val="nil"/>
              <w:bottom w:val="nil"/>
              <w:right w:val="nil"/>
            </w:tcBorders>
          </w:tcPr>
          <w:tcPr/>
          <w:p>
            <w:pPr>
              <w:pStyle w:val="Compact"/>
            </w:pPr>
            <w:r>
              <w:t xml:space="preserve">[+0.973, +0.980]</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rPr>
                <w:b/>
                <w:bCs/>
              </w:rPr>
              <w:t xml:space="preserve">+0.954</w:t>
            </w:r>
          </w:p>
        </w:tc>
        <w:tc>
          <w:tcPr>
            <w:tcBorders>
              <w:top w:val="nil"/>
              <w:left w:val="nil"/>
              <w:bottom w:val="nil"/>
              <w:right w:val="nil"/>
            </w:tcBorders>
          </w:tcPr>
          <w:tcPr/>
          <w:p>
            <w:pPr>
              <w:pStyle w:val="Compact"/>
            </w:pPr>
            <w:r>
              <w:t xml:space="preserve">[+0.945, +0.961]</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+0.023</w:t>
            </w:r>
          </w:p>
        </w:tc>
        <w:tc>
          <w:tcPr>
            <w:tcBorders>
              <w:top w:val="nil"/>
              <w:left w:val="nil"/>
              <w:bottom w:val="nil"/>
              <w:right w:val="nil"/>
            </w:tcBorders>
          </w:tcPr>
          <w:tcPr/>
          <w:p>
            <w:pPr>
              <w:pStyle w:val="Compact"/>
            </w:pPr>
            <w:r>
              <w:t xml:space="preserve">[-0.018, +0.062]</w:t>
            </w:r>
          </w:p>
        </w:tc>
        <w:tc>
          <w:tcPr>
            <w:tcBorders>
              <w:top w:val="nil"/>
              <w:left w:val="nil"/>
              <w:bottom w:val="nil"/>
              <w:right w:val="nil"/>
            </w:tcBorders>
          </w:tcPr>
          <w:tcPr/>
          <w:p>
            <w:pPr>
              <w:pStyle w:val="Compact"/>
            </w:pPr>
            <w:r>
              <w:t xml:space="preserve">300</w:t>
            </w:r>
          </w:p>
        </w:tc>
        <w:tc>
          <w:tcPr>
            <w:tcBorders>
              <w:top w:val="nil"/>
              <w:left w:val="nil"/>
              <w:bottom w:val="nil"/>
              <w:right w:val="nil"/>
            </w:tcBorders>
          </w:tcPr>
          <w:tcPr/>
          <w:p>
            <w:pPr>
              <w:pStyle w:val="Compact"/>
            </w:pPr>
            <w:r>
              <w:t xml:space="preserve">2400</w:t>
            </w:r>
          </w:p>
        </w:tc>
      </w:tr>
      <w:tr>
        <w:tc>
          <w:tcPr>
            <w:tcBorders>
              <w:top w:val="nil"/>
              <w:left w:val="nil"/>
              <w:bottom w:val="single" w:sz="12" w:space="0" w:color="000000"/>
              <w:right w:val="nil"/>
            </w:tcBorders>
          </w:tcPr>
          <w:tcPr/>
          <w:p>
            <w:pPr>
              <w:pStyle w:val="Compact"/>
            </w:pPr>
            <w:r>
              <w:t xml:space="preserve">sleep_duration</w:t>
            </w:r>
          </w:p>
        </w:tc>
        <w:tc>
          <w:tcPr>
            <w:tcBorders>
              <w:top w:val="nil"/>
              <w:left w:val="nil"/>
              <w:bottom w:val="single" w:sz="12" w:space="0" w:color="000000"/>
              <w:right w:val="nil"/>
            </w:tcBorders>
          </w:tcPr>
          <w:tcPr/>
          <w:p>
            <w:pPr>
              <w:pStyle w:val="Compact"/>
            </w:pPr>
            <w:r>
              <w:t xml:space="preserve">+0.002</w:t>
            </w:r>
          </w:p>
        </w:tc>
        <w:tc>
          <w:tcPr>
            <w:tcBorders>
              <w:top w:val="nil"/>
              <w:left w:val="nil"/>
              <w:bottom w:val="single" w:sz="12" w:space="0" w:color="000000"/>
              <w:right w:val="nil"/>
            </w:tcBorders>
          </w:tcPr>
          <w:tcPr/>
          <w:p>
            <w:pPr>
              <w:pStyle w:val="Compact"/>
            </w:pPr>
            <w:r>
              <w:t xml:space="preserve">[-0.041, +0.038]</w:t>
            </w:r>
          </w:p>
        </w:tc>
        <w:tc>
          <w:tcPr>
            <w:tcBorders>
              <w:top w:val="nil"/>
              <w:left w:val="nil"/>
              <w:bottom w:val="single" w:sz="12" w:space="0" w:color="000000"/>
              <w:right w:val="nil"/>
            </w:tcBorders>
          </w:tcPr>
          <w:tcPr/>
          <w:p>
            <w:pPr>
              <w:pStyle w:val="Compact"/>
            </w:pPr>
            <w:r>
              <w:t xml:space="preserve">300</w:t>
            </w:r>
          </w:p>
        </w:tc>
        <w:tc>
          <w:tcPr>
            <w:tcBorders>
              <w:top w:val="nil"/>
              <w:left w:val="nil"/>
              <w:bottom w:val="single" w:sz="12" w:space="0" w:color="000000"/>
              <w:right w:val="nil"/>
            </w:tcBorders>
          </w:tcPr>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53"/>
    <w:bookmarkStart w:id="5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54"/>
    <w:bookmarkStart w:id="5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Stratifier</w:t>
            </w:r>
          </w:p>
        </w:tc>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Q1 / lowest</w:t>
            </w:r>
          </w:p>
        </w:tc>
        <w:tc>
          <w:tcPr>
            <w:tcBorders>
              <w:top w:val="single" w:sz="12" w:space="0" w:color="000000"/>
              <w:left w:val="nil"/>
              <w:bottom w:val="single" w:sz="8" w:space="0" w:color="000000"/>
              <w:right w:val="nil"/>
            </w:tcBorders>
          </w:tcPr>
          <w:tcPr/>
          <w:p>
            <w:pPr>
              <w:pStyle w:val="Compact"/>
            </w:pPr>
            <w:r>
              <w:t xml:space="preserve">Q4 / highest</w:t>
            </w:r>
          </w:p>
        </w:tc>
        <w:tc>
          <w:tcPr>
            <w:tcBorders>
              <w:top w:val="single" w:sz="12" w:space="0" w:color="000000"/>
              <w:left w:val="nil"/>
              <w:bottom w:val="single" w:sz="8" w:space="0" w:color="000000"/>
              <w:right w:val="nil"/>
            </w:tcBorders>
          </w:tcPr>
          <w:tcPr/>
          <w:p>
            <w:pPr>
              <w:pStyle w:val="Compact"/>
            </w:pPr>
            <w:r>
              <w:t xml:space="preserve">Gap</w:t>
            </w:r>
          </w:p>
        </w:tc>
      </w:tr>
      <w:tr>
        <w:tc>
          <w:tcPr>
            <w:tcBorders>
              <w:top w:val="nil"/>
              <w:left w:val="nil"/>
              <w:bottom w:val="nil"/>
              <w:right w:val="nil"/>
            </w:tcBorders>
          </w:tcPr>
          <w:tcPr/>
          <w:p>
            <w:pPr>
              <w:pStyle w:val="Compact"/>
            </w:pPr>
            <w:r>
              <w:t xml:space="preserve">device_type</w:t>
            </w:r>
          </w:p>
        </w:tc>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device_A: 67.40</w:t>
            </w:r>
          </w:p>
        </w:tc>
        <w:tc>
          <w:tcPr>
            <w:tcBorders>
              <w:top w:val="nil"/>
              <w:left w:val="nil"/>
              <w:bottom w:val="nil"/>
              <w:right w:val="nil"/>
            </w:tcBorders>
          </w:tcPr>
          <w:tcPr/>
          <w:p>
            <w:pPr>
              <w:pStyle w:val="Compact"/>
            </w:pPr>
            <w:r>
              <w:t xml:space="preserve">device_C: 54.38</w:t>
            </w:r>
          </w:p>
        </w:tc>
        <w:tc>
          <w:tcPr>
            <w:tcBorders>
              <w:top w:val="nil"/>
              <w:left w:val="nil"/>
              <w:bottom w:val="nil"/>
              <w:right w:val="nil"/>
            </w:tcBorders>
          </w:tcPr>
          <w:tcPr/>
          <w:p>
            <w:pPr>
              <w:pStyle w:val="Compact"/>
            </w:pPr>
            <w:r>
              <w:rPr>
                <w:b/>
                <w:bCs/>
              </w:rPr>
              <w:t xml:space="preserve">-13.02</w:t>
            </w:r>
          </w:p>
        </w:tc>
      </w:tr>
      <w:tr>
        <w:tc>
          <w:tcPr>
            <w:tcBorders>
              <w:top w:val="nil"/>
              <w:left w:val="nil"/>
              <w:bottom w:val="single" w:sz="12" w:space="0" w:color="000000"/>
              <w:right w:val="nil"/>
            </w:tcBorders>
          </w:tcPr>
          <w:tcPr/>
          <w:p>
            <w:pPr>
              <w:pStyle w:val="Compact"/>
            </w:pPr>
            <w:r>
              <w:t xml:space="preserve">skin_tone_q</w:t>
            </w:r>
          </w:p>
        </w:tc>
        <w:tc>
          <w:tcPr>
            <w:tcBorders>
              <w:top w:val="nil"/>
              <w:left w:val="nil"/>
              <w:bottom w:val="single" w:sz="12" w:space="0" w:color="000000"/>
              <w:right w:val="nil"/>
            </w:tcBorders>
          </w:tcPr>
          <w:tcPr/>
          <w:p>
            <w:pPr>
              <w:pStyle w:val="Compact"/>
            </w:pPr>
            <w:r>
              <w:t xml:space="preserve">signal_quality_score</w:t>
            </w:r>
          </w:p>
        </w:tc>
        <w:tc>
          <w:tcPr>
            <w:tcBorders>
              <w:top w:val="nil"/>
              <w:left w:val="nil"/>
              <w:bottom w:val="single" w:sz="12" w:space="0" w:color="000000"/>
              <w:right w:val="nil"/>
            </w:tcBorders>
          </w:tcPr>
          <w:tcPr/>
          <w:p>
            <w:pPr>
              <w:pStyle w:val="Compact"/>
            </w:pPr>
            <w:r>
              <w:t xml:space="preserve">Q1 (light): 67.93</w:t>
            </w:r>
          </w:p>
        </w:tc>
        <w:tc>
          <w:tcPr>
            <w:tcBorders>
              <w:top w:val="nil"/>
              <w:left w:val="nil"/>
              <w:bottom w:val="single" w:sz="12" w:space="0" w:color="000000"/>
              <w:right w:val="nil"/>
            </w:tcBorders>
          </w:tcPr>
          <w:tcPr/>
          <w:p>
            <w:pPr>
              <w:pStyle w:val="Compact"/>
            </w:pPr>
            <w:r>
              <w:t xml:space="preserve">Q4 (dark): 58.40</w:t>
            </w:r>
          </w:p>
        </w:tc>
        <w:tc>
          <w:tcPr>
            <w:tcBorders>
              <w:top w:val="nil"/>
              <w:left w:val="nil"/>
              <w:bottom w:val="single" w:sz="12" w:space="0" w:color="000000"/>
              <w:right w:val="nil"/>
            </w:tcBorders>
          </w:tcPr>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55"/>
    <w:bookmarkStart w:id="5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Treatment</w:t>
            </w:r>
          </w:p>
        </w:tc>
        <w:tc>
          <w:tcPr>
            <w:tcBorders>
              <w:top w:val="single" w:sz="12" w:space="0" w:color="000000"/>
              <w:left w:val="nil"/>
              <w:bottom w:val="single" w:sz="8" w:space="0" w:color="000000"/>
              <w:right w:val="nil"/>
            </w:tcBorders>
          </w:tcPr>
          <w:tcPr/>
          <w:p>
            <w:pPr>
              <w:pStyle w:val="Compact"/>
            </w:pPr>
            <w:r>
              <w:t xml:space="preserve">Outcome</w:t>
            </w:r>
          </w:p>
        </w:tc>
        <w:tc>
          <w:tcPr>
            <w:tcBorders>
              <w:top w:val="single" w:sz="12" w:space="0" w:color="000000"/>
              <w:left w:val="nil"/>
              <w:bottom w:val="single" w:sz="8" w:space="0" w:color="000000"/>
              <w:right w:val="nil"/>
            </w:tcBorders>
          </w:tcPr>
          <w:tcPr/>
          <w:p>
            <w:pPr>
              <w:pStyle w:val="Compact"/>
            </w:pPr>
            <w:r>
              <w:t xml:space="preserve">Screening r</w:t>
            </w:r>
          </w:p>
        </w:tc>
        <w:tc>
          <w:tcPr>
            <w:tcBorders>
              <w:top w:val="single" w:sz="12" w:space="0" w:color="000000"/>
              <w:left w:val="nil"/>
              <w:bottom w:val="single" w:sz="8" w:space="0" w:color="000000"/>
              <w:right w:val="nil"/>
            </w:tcBorders>
          </w:tcPr>
          <w:tcPr/>
          <w:p>
            <w:pPr>
              <w:pStyle w:val="Compact"/>
            </w:pPr>
            <w:r>
              <w:t xml:space="preserve">AIPW estimate</w:t>
            </w:r>
          </w:p>
        </w:tc>
        <w:tc>
          <w:tcPr>
            <w:tcBorders>
              <w:top w:val="single" w:sz="12" w:space="0" w:color="000000"/>
              <w:left w:val="nil"/>
              <w:bottom w:val="single" w:sz="8" w:space="0" w:color="000000"/>
              <w:right w:val="nil"/>
            </w:tcBorders>
          </w:tcPr>
          <w:tcPr/>
          <w:p>
            <w:pPr>
              <w:pStyle w:val="Compact"/>
            </w:pPr>
            <w:r>
              <w:t xml:space="preserve">95% CI</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hrv_rmssd</w:t>
            </w:r>
          </w:p>
        </w:tc>
        <w:tc>
          <w:tcPr>
            <w:tcBorders>
              <w:top w:val="nil"/>
              <w:left w:val="nil"/>
              <w:bottom w:val="nil"/>
              <w:right w:val="nil"/>
            </w:tcBorders>
          </w:tcPr>
          <w:tcPr/>
          <w:p>
            <w:pPr>
              <w:pStyle w:val="Compact"/>
            </w:pPr>
            <w:r>
              <w:t xml:space="preserve">-0.054</w:t>
            </w:r>
          </w:p>
        </w:tc>
        <w:tc>
          <w:tcPr>
            <w:tcBorders>
              <w:top w:val="nil"/>
              <w:left w:val="nil"/>
              <w:bottom w:val="nil"/>
              <w:right w:val="nil"/>
            </w:tcBorders>
          </w:tcPr>
          <w:tcPr/>
          <w:p>
            <w:pPr>
              <w:pStyle w:val="Compact"/>
            </w:pPr>
            <w:r>
              <w:t xml:space="preserve">+0.249</w:t>
            </w:r>
          </w:p>
        </w:tc>
        <w:tc>
          <w:tcPr>
            <w:tcBorders>
              <w:top w:val="nil"/>
              <w:left w:val="nil"/>
              <w:bottom w:val="nil"/>
              <w:right w:val="nil"/>
            </w:tcBorders>
          </w:tcPr>
          <w:tcPr/>
          <w:p>
            <w:pPr>
              <w:pStyle w:val="Compact"/>
            </w:pPr>
            <w:r>
              <w:t xml:space="preserve">[-0.604, +1.030]</w:t>
            </w:r>
          </w:p>
        </w:tc>
      </w:tr>
      <w:tr>
        <w:tc>
          <w:tcPr>
            <w:tcBorders>
              <w:top w:val="nil"/>
              <w:left w:val="nil"/>
              <w:bottom w:val="nil"/>
              <w:right w:val="nil"/>
            </w:tcBorders>
          </w:tcPr>
          <w:tcPr/>
          <w:p>
            <w:pPr>
              <w:pStyle w:val="Compact"/>
            </w:pPr>
            <w:r>
              <w:t xml:space="preserve">heat_index</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-0.090</w:t>
            </w:r>
          </w:p>
        </w:tc>
        <w:tc>
          <w:tcPr>
            <w:tcBorders>
              <w:top w:val="nil"/>
              <w:left w:val="nil"/>
              <w:bottom w:val="nil"/>
              <w:right w:val="nil"/>
            </w:tcBorders>
          </w:tcPr>
          <w:tcPr/>
          <w:p>
            <w:pPr>
              <w:pStyle w:val="Compact"/>
            </w:pPr>
            <w:r>
              <w:t xml:space="preserve">+0.005</w:t>
            </w:r>
          </w:p>
        </w:tc>
        <w:tc>
          <w:tcPr>
            <w:tcBorders>
              <w:top w:val="nil"/>
              <w:left w:val="nil"/>
              <w:bottom w:val="nil"/>
              <w:right w:val="nil"/>
            </w:tcBorders>
          </w:tcPr>
          <w:tcPr/>
          <w:p>
            <w:pPr>
              <w:pStyle w:val="Compact"/>
            </w:pPr>
            <w:r>
              <w:t xml:space="preserve">[+0.000, +0.008]</w:t>
            </w:r>
          </w:p>
        </w:tc>
      </w:tr>
      <w:tr>
        <w:tc>
          <w:tcPr>
            <w:tcBorders>
              <w:top w:val="nil"/>
              <w:left w:val="nil"/>
              <w:bottom w:val="nil"/>
              <w:right w:val="nil"/>
            </w:tcBorders>
          </w:tcPr>
          <w:tcPr/>
          <w:p>
            <w:pPr>
              <w:pStyle w:val="Compact"/>
            </w:pPr>
            <w:r>
              <w:t xml:space="preserve">aqi</w:t>
            </w:r>
          </w:p>
        </w:tc>
        <w:tc>
          <w:tcPr>
            <w:tcBorders>
              <w:top w:val="nil"/>
              <w:left w:val="nil"/>
              <w:bottom w:val="nil"/>
              <w:right w:val="nil"/>
            </w:tcBorders>
          </w:tcPr>
          <w:tcPr/>
          <w:p>
            <w:pPr>
              <w:pStyle w:val="Compact"/>
            </w:pPr>
            <w:r>
              <w:t xml:space="preserve">sleep_efficiency</w:t>
            </w:r>
          </w:p>
        </w:tc>
        <w:tc>
          <w:tcPr>
            <w:tcBorders>
              <w:top w:val="nil"/>
              <w:left w:val="nil"/>
              <w:bottom w:val="nil"/>
              <w:right w:val="nil"/>
            </w:tcBorders>
          </w:tcPr>
          <w:tcPr/>
          <w:p>
            <w:pPr>
              <w:pStyle w:val="Compact"/>
            </w:pPr>
            <w:r>
              <w:t xml:space="preserve">-0.020</w:t>
            </w:r>
          </w:p>
        </w:tc>
        <w:tc>
          <w:tcPr>
            <w:tcBorders>
              <w:top w:val="nil"/>
              <w:left w:val="nil"/>
              <w:bottom w:val="nil"/>
              <w:right w:val="nil"/>
            </w:tcBorders>
          </w:tcPr>
          <w:tcPr/>
          <w:p>
            <w:pPr>
              <w:pStyle w:val="Compact"/>
            </w:pPr>
            <w:r>
              <w:t xml:space="preserve">-0.002</w:t>
            </w:r>
          </w:p>
        </w:tc>
        <w:tc>
          <w:tcPr>
            <w:tcBorders>
              <w:top w:val="nil"/>
              <w:left w:val="nil"/>
              <w:bottom w:val="nil"/>
              <w:right w:val="nil"/>
            </w:tcBorders>
          </w:tcPr>
          <w:tcPr/>
          <w:p>
            <w:pPr>
              <w:pStyle w:val="Compact"/>
            </w:pPr>
            <w:r>
              <w:t xml:space="preserve">[-0.003, +0.000]</w:t>
            </w:r>
          </w:p>
        </w:tc>
      </w:tr>
      <w:tr>
        <w:tc>
          <w:tcPr>
            <w:tcBorders>
              <w:top w:val="nil"/>
              <w:left w:val="nil"/>
              <w:bottom w:val="single" w:sz="12" w:space="0" w:color="000000"/>
              <w:right w:val="nil"/>
            </w:tcBorders>
          </w:tcPr>
          <w:tcPr/>
          <w:p>
            <w:pPr>
              <w:pStyle w:val="Compact"/>
            </w:pPr>
            <w:r>
              <w:t xml:space="preserve">active_minutes</w:t>
            </w:r>
          </w:p>
        </w:tc>
        <w:tc>
          <w:tcPr>
            <w:tcBorders>
              <w:top w:val="nil"/>
              <w:left w:val="nil"/>
              <w:bottom w:val="single" w:sz="12" w:space="0" w:color="000000"/>
              <w:right w:val="nil"/>
            </w:tcBorders>
          </w:tcPr>
          <w:tcPr/>
          <w:p>
            <w:pPr>
              <w:pStyle w:val="Compact"/>
            </w:pPr>
            <w:r>
              <w:t xml:space="preserve">hrv_rmssd</w:t>
            </w:r>
          </w:p>
        </w:tc>
        <w:tc>
          <w:tcPr>
            <w:tcBorders>
              <w:top w:val="nil"/>
              <w:left w:val="nil"/>
              <w:bottom w:val="single" w:sz="12" w:space="0" w:color="000000"/>
              <w:right w:val="nil"/>
            </w:tcBorders>
          </w:tcPr>
          <w:tcPr/>
          <w:p>
            <w:pPr>
              <w:pStyle w:val="Compact"/>
            </w:pPr>
            <w:r>
              <w:t xml:space="preserve">-0.019</w:t>
            </w:r>
          </w:p>
        </w:tc>
        <w:tc>
          <w:tcPr>
            <w:tcBorders>
              <w:top w:val="nil"/>
              <w:left w:val="nil"/>
              <w:bottom w:val="single" w:sz="12" w:space="0" w:color="000000"/>
              <w:right w:val="nil"/>
            </w:tcBorders>
          </w:tcPr>
          <w:tcPr/>
          <w:p>
            <w:pPr>
              <w:pStyle w:val="Compact"/>
            </w:pPr>
            <w:r>
              <w:rPr>
                <w:b/>
                <w:bCs/>
              </w:rPr>
              <w:t xml:space="preserve">-0.497</w:t>
            </w:r>
          </w:p>
        </w:tc>
        <w:tc>
          <w:tcPr>
            <w:tcBorders>
              <w:top w:val="nil"/>
              <w:left w:val="nil"/>
              <w:bottom w:val="single" w:sz="12" w:space="0" w:color="000000"/>
              <w:right w:val="nil"/>
            </w:tcBorders>
          </w:tcPr>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56"/>
    <w:bookmarkStart w:id="5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57"/>
    <w:bookmarkStart w:id="61"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p>
      <w:pPr>
        <w:pStyle w:val="CaptionedFigure"/>
      </w:pPr>
      <w:r>
        <w:drawing>
          <wp:inline>
            <wp:extent cx="5334000" cy="1751128"/>
            <wp:effectExtent b="0" l="0" r="0" t="0"/>
            <wp:docPr descr="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 title="" id="59" name="Picture"/>
            <a:graphic>
              <a:graphicData uri="http://schemas.openxmlformats.org/drawingml/2006/picture">
                <pic:pic>
                  <pic:nvPicPr>
                    <pic:cNvPr descr="paper/figures/fig3_cross_cohort.png" id="60" name="Picture"/>
                    <pic:cNvPicPr>
                      <a:picLocks noChangeArrowheads="1" noChangeAspect="1"/>
                    </pic:cNvPicPr>
                  </pic:nvPicPr>
                  <pic:blipFill>
                    <a:blip r:embed="rId58"/>
                    <a:stretch>
                      <a:fillRect/>
                    </a:stretch>
                  </pic:blipFill>
                  <pic:spPr bwMode="auto">
                    <a:xfrm>
                      <a:off x="0" y="0"/>
                      <a:ext cx="5334000" cy="1751128"/>
                    </a:xfrm>
                    <a:prstGeom prst="rect">
                      <a:avLst/>
                    </a:prstGeom>
                    <a:noFill/>
                    <a:ln w="9525">
                      <a:noFill/>
                      <a:headEnd/>
                      <a:tailEnd/>
                    </a:ln>
                  </pic:spPr>
                </pic:pic>
              </a:graphicData>
            </a:graphic>
          </wp:inline>
        </w:drawing>
      </w:r>
    </w:p>
    <w:p>
      <w:pPr>
        <w:pStyle w:val="ImageCaption"/>
      </w:pPr>
      <w:r>
        <w:t xml:space="preserve">Figure 7. Cross-cohort parameter-sweep validation across five synthetic regimes (default, strong environment, inverted skin-tone, severe device bias, clean world). Seven of eight qualitative predictions pass. The sign-flip on the skin-tone gap under the inverted-penalty regime confirms that the audit responds to cohort parameters rather than to fixed generator values.</w:t>
      </w:r>
    </w:p>
    <w:bookmarkEnd w:id="61"/>
    <w:bookmarkEnd w:id="62"/>
    <w:bookmarkStart w:id="66" w:name="discussion"/>
    <w:p>
      <w:pPr>
        <w:pStyle w:val="Heading2"/>
      </w:pPr>
      <w:r>
        <w:t xml:space="preserve">5. Discussion</w:t>
      </w:r>
    </w:p>
    <w:bookmarkStart w:id="63"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63"/>
    <w:bookmarkStart w:id="64" w:name="relation-to-prior-work"/>
    <w:p>
      <w:pPr>
        <w:pStyle w:val="Heading3"/>
      </w:pPr>
      <w:r>
        <w:t xml:space="preserve">5.2 Relation to prior work</w:t>
      </w:r>
    </w:p>
    <w:p>
      <w:pPr>
        <w:pStyle w:val="FirstParagraph"/>
      </w:pPr>
      <w:r>
        <w:t xml:space="preserve">Wearable signal-quality auditing and feature extraction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64"/>
    <w:bookmarkStart w:id="65"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65"/>
    <w:bookmarkEnd w:id="66"/>
    <w:bookmarkStart w:id="67"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67"/>
    <w:bookmarkStart w:id="68"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68"/>
    <w:bookmarkStart w:id="69"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69"/>
    <w:bookmarkStart w:id="70" w:name="funding"/>
    <w:p>
      <w:pPr>
        <w:pStyle w:val="Heading2"/>
      </w:pPr>
      <w:r>
        <w:t xml:space="preserve">Funding</w:t>
      </w:r>
    </w:p>
    <w:p>
      <w:pPr>
        <w:pStyle w:val="FirstParagraph"/>
      </w:pPr>
      <w:r>
        <w:t xml:space="preserve">No external funding supported this work.</w:t>
      </w:r>
    </w:p>
    <w:bookmarkEnd w:id="70"/>
    <w:bookmarkStart w:id="71"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128" w:name="references"/>
    <w:p>
      <w:pPr>
        <w:pStyle w:val="Heading2"/>
      </w:pPr>
      <w:r>
        <w:t xml:space="preserve">References</w:t>
      </w:r>
    </w:p>
    <w:bookmarkStart w:id="127" w:name="refs"/>
    <w:bookmarkStart w:id="74"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73">
        <w:r>
          <w:rPr>
            <w:rStyle w:val="Hyperlink"/>
          </w:rPr>
          <w:t xml:space="preserve">https://doi.org/10.1088/0967-3334/28/3/R01</w:t>
        </w:r>
      </w:hyperlink>
      <w:r>
        <w:t xml:space="preserve">.</w:t>
      </w:r>
    </w:p>
    <w:bookmarkEnd w:id="74"/>
    <w:bookmarkStart w:id="76"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75">
        <w:r>
          <w:rPr>
            <w:rStyle w:val="Hyperlink"/>
          </w:rPr>
          <w:t xml:space="preserve">https://doi.org/10.1038/s41746-020-0226-6</w:t>
        </w:r>
      </w:hyperlink>
      <w:r>
        <w:t xml:space="preserve">.</w:t>
      </w:r>
    </w:p>
    <w:bookmarkEnd w:id="76"/>
    <w:bookmarkStart w:id="78"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77">
        <w:r>
          <w:rPr>
            <w:rStyle w:val="Hyperlink"/>
          </w:rPr>
          <w:t xml:space="preserve">https://doi.org/10.1016/S0140-6736(86)90837-8</w:t>
        </w:r>
      </w:hyperlink>
      <w:r>
        <w:t xml:space="preserve">.</w:t>
      </w:r>
    </w:p>
    <w:bookmarkEnd w:id="78"/>
    <w:bookmarkStart w:id="80"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79">
        <w:r>
          <w:rPr>
            <w:rStyle w:val="Hyperlink"/>
          </w:rPr>
          <w:t xml:space="preserve">https://doi.org/10.1136/bmj.h5527</w:t>
        </w:r>
      </w:hyperlink>
      <w:r>
        <w:t xml:space="preserve">.</w:t>
      </w:r>
    </w:p>
    <w:bookmarkEnd w:id="80"/>
    <w:bookmarkStart w:id="82"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81">
        <w:r>
          <w:rPr>
            <w:rStyle w:val="Hyperlink"/>
          </w:rPr>
          <w:t xml:space="preserve">https://doi.org/10.1037/0033-2909.114.3.494</w:t>
        </w:r>
      </w:hyperlink>
      <w:r>
        <w:t xml:space="preserve">.</w:t>
      </w:r>
    </w:p>
    <w:bookmarkEnd w:id="82"/>
    <w:bookmarkStart w:id="84"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83">
        <w:r>
          <w:rPr>
            <w:rStyle w:val="Hyperlink"/>
          </w:rPr>
          <w:t xml:space="preserve">https://doi.org/10.1088/0967-3334/33/9/1419</w:t>
        </w:r>
      </w:hyperlink>
      <w:r>
        <w:t xml:space="preserve">.</w:t>
      </w:r>
    </w:p>
    <w:bookmarkEnd w:id="84"/>
    <w:bookmarkStart w:id="85"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85"/>
    <w:bookmarkStart w:id="87"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86">
        <w:r>
          <w:rPr>
            <w:rStyle w:val="Hyperlink"/>
          </w:rPr>
          <w:t xml:space="preserve">https://doi.org/10.1136/bmj-2023-078378</w:t>
        </w:r>
      </w:hyperlink>
      <w:r>
        <w:t xml:space="preserve">.</w:t>
      </w:r>
    </w:p>
    <w:bookmarkEnd w:id="87"/>
    <w:bookmarkStart w:id="88"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88"/>
    <w:bookmarkStart w:id="90"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89">
        <w:r>
          <w:rPr>
            <w:rStyle w:val="Hyperlink"/>
          </w:rPr>
          <w:t xml:space="preserve">https://doi.org/10.3390/bioengineering3040021</w:t>
        </w:r>
      </w:hyperlink>
      <w:r>
        <w:t xml:space="preserve">.</w:t>
      </w:r>
    </w:p>
    <w:bookmarkEnd w:id="90"/>
    <w:bookmarkStart w:id="92"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91">
        <w:r>
          <w:rPr>
            <w:rStyle w:val="Hyperlink"/>
          </w:rPr>
          <w:t xml:space="preserve">https://doi.org/10.1016/j.cmpb.2021.106461</w:t>
        </w:r>
      </w:hyperlink>
      <w:r>
        <w:t xml:space="preserve">.</w:t>
      </w:r>
    </w:p>
    <w:bookmarkEnd w:id="92"/>
    <w:bookmarkStart w:id="94"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93">
        <w:r>
          <w:rPr>
            <w:rStyle w:val="Hyperlink"/>
          </w:rPr>
          <w:t xml:space="preserve">https://doi.org/10.1038/s41591-020-1034-x</w:t>
        </w:r>
      </w:hyperlink>
      <w:r>
        <w:t xml:space="preserve">.</w:t>
      </w:r>
    </w:p>
    <w:bookmarkEnd w:id="94"/>
    <w:bookmarkStart w:id="96"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95">
        <w:r>
          <w:rPr>
            <w:rStyle w:val="Hyperlink"/>
          </w:rPr>
          <w:t xml:space="preserve">https://doi.org/10.1093/oxfordjournals.eurheartj.a014868</w:t>
        </w:r>
      </w:hyperlink>
      <w:r>
        <w:t xml:space="preserve">.</w:t>
      </w:r>
    </w:p>
    <w:bookmarkEnd w:id="96"/>
    <w:bookmarkStart w:id="98"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97">
        <w:r>
          <w:rPr>
            <w:rStyle w:val="Hyperlink"/>
          </w:rPr>
          <w:t xml:space="preserve">https://doi.org/10.3390/s23073429</w:t>
        </w:r>
      </w:hyperlink>
      <w:r>
        <w:t xml:space="preserve">.</w:t>
      </w:r>
    </w:p>
    <w:bookmarkEnd w:id="98"/>
    <w:bookmarkStart w:id="100"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99">
        <w:r>
          <w:rPr>
            <w:rStyle w:val="Hyperlink"/>
          </w:rPr>
          <w:t xml:space="preserve">https://doi.org/10.1016/B978-0-12-823374-0.00015-3</w:t>
        </w:r>
      </w:hyperlink>
      <w:r>
        <w:t xml:space="preserve">.</w:t>
      </w:r>
    </w:p>
    <w:bookmarkEnd w:id="100"/>
    <w:bookmarkStart w:id="102"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101">
        <w:r>
          <w:rPr>
            <w:rStyle w:val="Hyperlink"/>
          </w:rPr>
          <w:t xml:space="preserve">https://doi.org/10.1126/science.aax2342</w:t>
        </w:r>
      </w:hyperlink>
      <w:r>
        <w:t xml:space="preserve">.</w:t>
      </w:r>
    </w:p>
    <w:bookmarkEnd w:id="102"/>
    <w:bookmarkStart w:id="104"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103">
        <w:r>
          <w:rPr>
            <w:rStyle w:val="Hyperlink"/>
          </w:rPr>
          <w:t xml:space="preserve">https://doi.org/10.1109/JBHI.2014.2338351</w:t>
        </w:r>
      </w:hyperlink>
      <w:r>
        <w:t xml:space="preserve">.</w:t>
      </w:r>
    </w:p>
    <w:bookmarkEnd w:id="104"/>
    <w:bookmarkStart w:id="106"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105">
        <w:r>
          <w:rPr>
            <w:rStyle w:val="Hyperlink"/>
          </w:rPr>
          <w:t xml:space="preserve">https://doi.org/10.3390/s19143079</w:t>
        </w:r>
      </w:hyperlink>
      <w:r>
        <w:t xml:space="preserve">.</w:t>
      </w:r>
    </w:p>
    <w:bookmarkEnd w:id="106"/>
    <w:bookmarkStart w:id="108"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107">
        <w:r>
          <w:rPr>
            <w:rStyle w:val="Hyperlink"/>
          </w:rPr>
          <w:t xml:space="preserve">https://doi.org/10.1080/01621459.1994.10476818</w:t>
        </w:r>
      </w:hyperlink>
      <w:r>
        <w:t xml:space="preserve">.</w:t>
      </w:r>
    </w:p>
    <w:bookmarkEnd w:id="108"/>
    <w:bookmarkStart w:id="110"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109">
        <w:r>
          <w:rPr>
            <w:rStyle w:val="Hyperlink"/>
          </w:rPr>
          <w:t xml:space="preserve">https://doi.org/10.1016/j.ijcard.2012.03.119</w:t>
        </w:r>
      </w:hyperlink>
      <w:r>
        <w:t xml:space="preserve">.</w:t>
      </w:r>
    </w:p>
    <w:bookmarkEnd w:id="110"/>
    <w:bookmarkStart w:id="112"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111">
        <w:r>
          <w:rPr>
            <w:rStyle w:val="Hyperlink"/>
          </w:rPr>
          <w:t xml:space="preserve">https://doi.org/10.1145/3242969.3242985</w:t>
        </w:r>
      </w:hyperlink>
      <w:r>
        <w:t xml:space="preserve">.</w:t>
      </w:r>
    </w:p>
    <w:bookmarkEnd w:id="112"/>
    <w:bookmarkStart w:id="114"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13">
        <w:r>
          <w:rPr>
            <w:rStyle w:val="Hyperlink"/>
          </w:rPr>
          <w:t xml:space="preserve">https://doi.org/10.3390/jpm7020003</w:t>
        </w:r>
      </w:hyperlink>
      <w:r>
        <w:t xml:space="preserve">.</w:t>
      </w:r>
    </w:p>
    <w:bookmarkEnd w:id="114"/>
    <w:bookmarkStart w:id="116"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15">
        <w:r>
          <w:rPr>
            <w:rStyle w:val="Hyperlink"/>
          </w:rPr>
          <w:t xml:space="preserve">https://doi.org/10.1037/0033-2909.86.2.420</w:t>
        </w:r>
      </w:hyperlink>
      <w:r>
        <w:t xml:space="preserve">.</w:t>
      </w:r>
    </w:p>
    <w:bookmarkEnd w:id="116"/>
    <w:bookmarkStart w:id="118"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17">
        <w:r>
          <w:rPr>
            <w:rStyle w:val="Hyperlink"/>
          </w:rPr>
          <w:t xml:space="preserve">https://doi.org/10.1056/NEJMc2029240</w:t>
        </w:r>
      </w:hyperlink>
      <w:r>
        <w:t xml:space="preserve">.</w:t>
      </w:r>
    </w:p>
    <w:bookmarkEnd w:id="118"/>
    <w:bookmarkStart w:id="120"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19">
        <w:r>
          <w:rPr>
            <w:rStyle w:val="Hyperlink"/>
          </w:rPr>
          <w:t xml:space="preserve">https://doi.org/10.1088/0967-3334/32/3/008</w:t>
        </w:r>
      </w:hyperlink>
      <w:r>
        <w:t xml:space="preserve">.</w:t>
      </w:r>
    </w:p>
    <w:bookmarkEnd w:id="120"/>
    <w:bookmarkStart w:id="122"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21">
        <w:r>
          <w:rPr>
            <w:rStyle w:val="Hyperlink"/>
          </w:rPr>
          <w:t xml:space="preserve">https://doi.org/10.1038/s41591-022-01772-9</w:t>
        </w:r>
      </w:hyperlink>
      <w:r>
        <w:t xml:space="preserve">.</w:t>
      </w:r>
    </w:p>
    <w:bookmarkEnd w:id="122"/>
    <w:bookmarkStart w:id="124"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23">
        <w:r>
          <w:rPr>
            <w:rStyle w:val="Hyperlink"/>
          </w:rPr>
          <w:t xml:space="preserve">https://doi.org/10.1056/NEJMms2004740</w:t>
        </w:r>
      </w:hyperlink>
      <w:r>
        <w:t xml:space="preserve">.</w:t>
      </w:r>
    </w:p>
    <w:bookmarkEnd w:id="124"/>
    <w:bookmarkStart w:id="126"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25">
        <w:r>
          <w:rPr>
            <w:rStyle w:val="Hyperlink"/>
          </w:rPr>
          <w:t xml:space="preserve">https://doi.org/10.2307/3001968</w:t>
        </w:r>
      </w:hyperlink>
      <w:r>
        <w:t xml:space="preserve">.</w:t>
      </w:r>
    </w:p>
    <w:bookmarkEnd w:id="126"/>
    <w:bookmarkEnd w:id="127"/>
    <w:bookmarkEnd w:id="128"/>
    <w:bookmarkStart w:id="129"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29"/>
    <w:bookmarkEnd w:id="130"/>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16/B978-0-12-823374-0.00015-3" TargetMode="External" /><Relationship Type="http://schemas.openxmlformats.org/officeDocument/2006/relationships/hyperlink" Id="rId77" Target="https://doi.org/10.1016/S0140-6736(86)90837-8" TargetMode="External" /><Relationship Type="http://schemas.openxmlformats.org/officeDocument/2006/relationships/hyperlink" Id="rId91" Target="https://doi.org/10.1016/j.cmpb.2021.106461" TargetMode="External" /><Relationship Type="http://schemas.openxmlformats.org/officeDocument/2006/relationships/hyperlink" Id="rId109" Target="https://doi.org/10.1016/j.ijcard.2012.03.119" TargetMode="External" /><Relationship Type="http://schemas.openxmlformats.org/officeDocument/2006/relationships/hyperlink" Id="rId81" Target="https://doi.org/10.1037/0033-2909.114.3.494" TargetMode="External" /><Relationship Type="http://schemas.openxmlformats.org/officeDocument/2006/relationships/hyperlink" Id="rId115" Target="https://doi.org/10.1037/0033-2909.86.2.420" TargetMode="External" /><Relationship Type="http://schemas.openxmlformats.org/officeDocument/2006/relationships/hyperlink" Id="rId93" Target="https://doi.org/10.1038/s41591-020-1034-x" TargetMode="External" /><Relationship Type="http://schemas.openxmlformats.org/officeDocument/2006/relationships/hyperlink" Id="rId121" Target="https://doi.org/10.1038/s41591-022-01772-9" TargetMode="External" /><Relationship Type="http://schemas.openxmlformats.org/officeDocument/2006/relationships/hyperlink" Id="rId75" Target="https://doi.org/10.1038/s41746-020-0226-6" TargetMode="External" /><Relationship Type="http://schemas.openxmlformats.org/officeDocument/2006/relationships/hyperlink" Id="rId117" Target="https://doi.org/10.1056/NEJMc2029240" TargetMode="External" /><Relationship Type="http://schemas.openxmlformats.org/officeDocument/2006/relationships/hyperlink" Id="rId123" Target="https://doi.org/10.1056/NEJMms2004740" TargetMode="External" /><Relationship Type="http://schemas.openxmlformats.org/officeDocument/2006/relationships/hyperlink" Id="rId107" Target="https://doi.org/10.1080/01621459.1994.10476818" TargetMode="External" /><Relationship Type="http://schemas.openxmlformats.org/officeDocument/2006/relationships/hyperlink" Id="rId73" Target="https://doi.org/10.1088/0967-3334/28/3/R01" TargetMode="External" /><Relationship Type="http://schemas.openxmlformats.org/officeDocument/2006/relationships/hyperlink" Id="rId119" Target="https://doi.org/10.1088/0967-3334/32/3/008" TargetMode="External" /><Relationship Type="http://schemas.openxmlformats.org/officeDocument/2006/relationships/hyperlink" Id="rId83" Target="https://doi.org/10.1088/0967-3334/33/9/1419" TargetMode="External" /><Relationship Type="http://schemas.openxmlformats.org/officeDocument/2006/relationships/hyperlink" Id="rId95" Target="https://doi.org/10.1093/oxfordjournals.eurheartj.a014868" TargetMode="External" /><Relationship Type="http://schemas.openxmlformats.org/officeDocument/2006/relationships/hyperlink" Id="rId103" Target="https://doi.org/10.1109/JBHI.2014.2338351" TargetMode="External" /><Relationship Type="http://schemas.openxmlformats.org/officeDocument/2006/relationships/hyperlink" Id="rId101" Target="https://doi.org/10.1126/science.aax2342" TargetMode="External" /><Relationship Type="http://schemas.openxmlformats.org/officeDocument/2006/relationships/hyperlink" Id="rId86" Target="https://doi.org/10.1136/bmj-2023-078378" TargetMode="External" /><Relationship Type="http://schemas.openxmlformats.org/officeDocument/2006/relationships/hyperlink" Id="rId79" Target="https://doi.org/10.1136/bmj.h5527" TargetMode="External" /><Relationship Type="http://schemas.openxmlformats.org/officeDocument/2006/relationships/hyperlink" Id="rId111" Target="https://doi.org/10.1145/3242969.3242985" TargetMode="External" /><Relationship Type="http://schemas.openxmlformats.org/officeDocument/2006/relationships/hyperlink" Id="rId125" Target="https://doi.org/10.2307/3001968" TargetMode="External" /><Relationship Type="http://schemas.openxmlformats.org/officeDocument/2006/relationships/hyperlink" Id="rId89" Target="https://doi.org/10.3390/bioengineering3040021" TargetMode="External" /><Relationship Type="http://schemas.openxmlformats.org/officeDocument/2006/relationships/hyperlink" Id="rId113" Target="https://doi.org/10.3390/jpm7020003" TargetMode="External" /><Relationship Type="http://schemas.openxmlformats.org/officeDocument/2006/relationships/hyperlink" Id="rId105" Target="https://doi.org/10.3390/s19143079" TargetMode="External" /><Relationship Type="http://schemas.openxmlformats.org/officeDocument/2006/relationships/hyperlink" Id="rId97"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2026-05-31T03:23:40Z</dcterms:created>
  <dcterms:modified xsi:type="dcterms:W3CDTF">2026-05-31T03:23:40Z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