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X492e6e436080a4bb955983327137bd378b3e7de"/>
    <w:p>
      <w:pPr>
        <w:pStyle w:val="Heading1"/>
      </w:pPr>
      <w:r>
        <w:t xml:space="preserve">Wearable Photoplethysmography Signal-Quality Methods Disagree at Scale: A Multi-Baseline Audit of the WESAD Dataset</w:t>
      </w:r>
    </w:p>
    <w:p>
      <w:pPr>
        <w:pStyle w:val="BlockText"/>
      </w:pPr>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1"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bookmarkEnd w:id="11"/>
    <w:bookmarkStart w:id="22" w:name="methods"/>
    <w:p>
      <w:pPr>
        <w:pStyle w:val="Heading2"/>
      </w:pPr>
      <w:r>
        <w:t xml:space="preserve">2. Methods</w:t>
      </w:r>
    </w:p>
    <w:bookmarkStart w:id="12"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2"/>
    <w:bookmarkStart w:id="13"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3"/>
    <w:bookmarkStart w:id="14"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4"/>
    <w:bookmarkStart w:id="15"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5"/>
    <w:bookmarkStart w:id="16"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Default weight</w:t>
            </w:r>
          </w:p>
        </w:tc>
        <w:tc>
          <w:tcPr/>
          <w:p>
            <w:pPr>
              <w:pStyle w:val="Compact"/>
            </w:pPr>
            <w:r>
              <w:t xml:space="preserve">Source</w:t>
            </w:r>
          </w:p>
        </w:tc>
      </w:tr>
      <w:tr>
        <w:tc>
          <w:tcPr/>
          <w:p>
            <w:pPr>
              <w:pStyle w:val="Compact"/>
            </w:pPr>
            <w:r>
              <w:t xml:space="preserve">signal_quality_score</w:t>
            </w:r>
          </w:p>
        </w:tc>
        <w:tc>
          <w:tcPr/>
          <w:p>
            <w:pPr>
              <w:pStyle w:val="Compact"/>
            </w:pPr>
            <w:r>
              <w:t xml:space="preserve">0.25</w:t>
            </w:r>
          </w:p>
        </w:tc>
        <w:tc>
          <w:tcPr/>
          <w:p>
            <w:pPr>
              <w:pStyle w:val="Compact"/>
            </w:pPr>
            <w:r>
              <w:t xml:space="preserve">aggregated SQI across windows</w:t>
            </w:r>
          </w:p>
        </w:tc>
      </w:tr>
      <w:tr>
        <w:tc>
          <w:tcPr/>
          <w:p>
            <w:pPr>
              <w:pStyle w:val="Compact"/>
            </w:pPr>
            <w:r>
              <w:t xml:space="preserve">artifact_burden_score</w:t>
            </w:r>
          </w:p>
        </w:tc>
        <w:tc>
          <w:tcPr/>
          <w:p>
            <w:pPr>
              <w:pStyle w:val="Compact"/>
            </w:pPr>
            <w:r>
              <w:t xml:space="preserve">0.20</w:t>
            </w:r>
          </w:p>
        </w:tc>
        <w:tc>
          <w:tcPr/>
          <w:p>
            <w:pPr>
              <w:pStyle w:val="Compact"/>
            </w:pPr>
            <w:r>
              <w:t xml:space="preserve">mean window-level burden, inverted</w:t>
            </w:r>
          </w:p>
        </w:tc>
      </w:tr>
      <w:tr>
        <w:tc>
          <w:tcPr/>
          <w:p>
            <w:pPr>
              <w:pStyle w:val="Compact"/>
            </w:pPr>
            <w:r>
              <w:t xml:space="preserve">temporal_stability_score</w:t>
            </w:r>
          </w:p>
        </w:tc>
        <w:tc>
          <w:tcPr/>
          <w:p>
            <w:pPr>
              <w:pStyle w:val="Compact"/>
            </w:pPr>
            <w:r>
              <w:t xml:space="preserve">0.20</w:t>
            </w:r>
          </w:p>
        </w:tc>
        <w:tc>
          <w:tcPr/>
          <w:p>
            <w:pPr>
              <w:pStyle w:val="Compact"/>
            </w:pPr>
            <w:r>
              <w:t xml:space="preserve">inverse rolling coefficient of variation</w:t>
            </w:r>
          </w:p>
        </w:tc>
      </w:tr>
      <w:tr>
        <w:tc>
          <w:tcPr/>
          <w:p>
            <w:pPr>
              <w:pStyle w:val="Compact"/>
            </w:pPr>
            <w:r>
              <w:t xml:space="preserve">missingness_risk_score</w:t>
            </w:r>
          </w:p>
        </w:tc>
        <w:tc>
          <w:tcPr/>
          <w:p>
            <w:pPr>
              <w:pStyle w:val="Compact"/>
            </w:pPr>
            <w:r>
              <w:t xml:space="preserve">0.15</w:t>
            </w:r>
          </w:p>
        </w:tc>
        <w:tc>
          <w:tcPr/>
          <w:p>
            <w:pPr>
              <w:pStyle w:val="Compact"/>
            </w:pPr>
            <w:r>
              <w:t xml:space="preserve">inverse missing fraction with run-length penalty</w:t>
            </w:r>
          </w:p>
        </w:tc>
      </w:tr>
      <w:tr>
        <w:tc>
          <w:tcPr/>
          <w:p>
            <w:pPr>
              <w:pStyle w:val="Compact"/>
            </w:pPr>
            <w:r>
              <w:t xml:space="preserve">device_bias_score</w:t>
            </w:r>
          </w:p>
        </w:tc>
        <w:tc>
          <w:tcPr/>
          <w:p>
            <w:pPr>
              <w:pStyle w:val="Compact"/>
            </w:pPr>
            <w:r>
              <w:t xml:space="preserve">0.10</w:t>
            </w:r>
          </w:p>
        </w:tc>
        <w:tc>
          <w:tcPr/>
          <w:p>
            <w:pPr>
              <w:pStyle w:val="Compact"/>
            </w:pPr>
            <w:r>
              <w:t xml:space="preserve">inverse normalized bias vs reference device</w:t>
            </w:r>
          </w:p>
        </w:tc>
      </w:tr>
      <w:tr>
        <w:tc>
          <w:tcPr/>
          <w:p>
            <w:pPr>
              <w:pStyle w:val="Compact"/>
            </w:pPr>
            <w:r>
              <w:t xml:space="preserve">confounding_risk_score</w:t>
            </w:r>
          </w:p>
        </w:tc>
        <w:tc>
          <w:tcPr/>
          <w:p>
            <w:pPr>
              <w:pStyle w:val="Compact"/>
            </w:pPr>
            <w:r>
              <w:t xml:space="preserve">0.10</w:t>
            </w:r>
          </w:p>
        </w:tc>
        <w:tc>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6"/>
    <w:bookmarkStart w:id="17"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17"/>
    <w:bookmarkStart w:id="18"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18"/>
    <w:bookmarkStart w:id="19"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rPr>
          <w:b/>
          <w:bCs/>
        </w:rPr>
        <w:t xml:space="preserve"> </w:t>
      </w:r>
      <w:r>
        <w:rPr>
          <w:b/>
          <w:bCs/>
        </w:rPr>
        <w:t xml:space="preserve">(Orphanidou et al. 2015)</w:t>
      </w:r>
      <w:r>
        <w:rPr>
          <w:b/>
          <w:bCs/>
        </w:rPr>
        <w:t xml:space="preserve">:</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rPr>
          <w:b/>
          <w:bCs/>
        </w:rPr>
        <w:t xml:space="preserve"> </w:t>
      </w:r>
      <w:r>
        <w:rPr>
          <w:b/>
          <w:bCs/>
        </w:rPr>
        <w:t xml:space="preserve">(Sukor et al. 2011)</w:t>
      </w:r>
      <w:r>
        <w:rPr>
          <w:b/>
          <w:bCs/>
        </w:rPr>
        <w:t xml:space="preserve">:</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rPr>
          <w:b/>
          <w:bCs/>
        </w:rPr>
        <w:t xml:space="preserve"> </w:t>
      </w:r>
      <w:r>
        <w:rPr>
          <w:b/>
          <w:bCs/>
        </w:rPr>
        <w:t xml:space="preserve">(Elgendi 2016)</w:t>
      </w:r>
      <w:r>
        <w:rPr>
          <w:b/>
          <w:bCs/>
        </w:rPr>
        <w:t xml:space="preserve">:</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19"/>
    <w:bookmarkStart w:id="20"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0"/>
    <w:bookmarkStart w:id="21"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1"/>
    <w:bookmarkEnd w:id="22"/>
    <w:bookmarkStart w:id="31"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3"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Sections 4.1-4.3, in which chest ECG serves as the reference standard and wrist PPG-derived measurements serve as the index modality. A per-item compliance summary is in</w:t>
      </w:r>
      <w:r>
        <w:t xml:space="preserve"> </w:t>
      </w:r>
      <w:r>
        <w:rPr>
          <w:rStyle w:val="VerbatimChar"/>
        </w:rPr>
        <w:t xml:space="preserve">paper/checklists/stard_2015_checklist.md</w:t>
      </w:r>
      <w:r>
        <w:t xml:space="preserve">. The flow diagram in Figure 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Figure 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3"/>
    <w:bookmarkStart w:id="24"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p>
            <w:pPr>
              <w:pStyle w:val="Compact"/>
            </w:pPr>
            <w:r>
              <w:t xml:space="preserve">Quantity</w:t>
            </w:r>
          </w:p>
        </w:tc>
        <w:tc>
          <w:tcPr/>
          <w:p>
            <w:pPr>
              <w:pStyle w:val="Compact"/>
            </w:pPr>
            <w:r>
              <w:t xml:space="preserve">Value (n=15)</w:t>
            </w:r>
          </w:p>
        </w:tc>
      </w:tr>
      <w:tr>
        <w:tc>
          <w:tcPr/>
          <w:p>
            <w:pPr>
              <w:pStyle w:val="Compact"/>
            </w:pPr>
            <w:r>
              <w:t xml:space="preserve">n windows</w:t>
            </w:r>
          </w:p>
        </w:tc>
        <w:tc>
          <w:tcPr/>
          <w:p>
            <w:pPr>
              <w:pStyle w:val="Compact"/>
            </w:pPr>
            <w:r>
              <w:t xml:space="preserve">6,569</w:t>
            </w:r>
          </w:p>
        </w:tc>
      </w:tr>
      <w:tr>
        <w:tc>
          <w:tcPr/>
          <w:p>
            <w:pPr>
              <w:pStyle w:val="Compact"/>
            </w:pPr>
            <w:r>
              <w:t xml:space="preserve">Mean absolute error</w:t>
            </w:r>
          </w:p>
        </w:tc>
        <w:tc>
          <w:tcPr/>
          <w:p>
            <w:pPr>
              <w:pStyle w:val="Compact"/>
            </w:pPr>
            <w:r>
              <w:rPr>
                <w:b/>
                <w:bCs/>
              </w:rPr>
              <w:t xml:space="preserve">9.66 bpm</w:t>
            </w:r>
          </w:p>
        </w:tc>
      </w:tr>
      <w:tr>
        <w:tc>
          <w:tcPr/>
          <w:p>
            <w:pPr>
              <w:pStyle w:val="Compact"/>
            </w:pPr>
            <w:r>
              <w:rPr>
                <w:b/>
                <w:bCs/>
              </w:rPr>
              <w:t xml:space="preserve">Bias (PPG - ECG)</w:t>
            </w:r>
            <w:r>
              <w:t xml:space="preserve"> </w:t>
            </w:r>
            <w:r>
              <w:t xml:space="preserve">(Bland and Altman 1986)</w:t>
            </w:r>
          </w:p>
        </w:tc>
        <w:tc>
          <w:tcPr/>
          <w:p>
            <w:pPr>
              <w:pStyle w:val="Compact"/>
            </w:pPr>
            <w:r>
              <w:rPr>
                <w:b/>
                <w:bCs/>
              </w:rPr>
              <w:t xml:space="preserve">+3.57 bpm</w:t>
            </w:r>
          </w:p>
        </w:tc>
      </w:tr>
      <w:tr>
        <w:tc>
          <w:tcPr/>
          <w:p>
            <w:pPr>
              <w:pStyle w:val="Compact"/>
            </w:pPr>
            <w:r>
              <w:rPr>
                <w:b/>
                <w:bCs/>
              </w:rPr>
              <w:t xml:space="preserve">95% Limits of agreement</w:t>
            </w:r>
          </w:p>
        </w:tc>
        <w:tc>
          <w:tcPr/>
          <w:p>
            <w:pPr>
              <w:pStyle w:val="Compact"/>
            </w:pPr>
            <w:r>
              <w:rPr>
                <w:b/>
                <w:bCs/>
              </w:rPr>
              <w:t xml:space="preserve">[-23.14, +30.28] bpm</w:t>
            </w:r>
          </w:p>
        </w:tc>
      </w:tr>
      <w:tr>
        <w:tc>
          <w:tcPr/>
          <w:p>
            <w:pPr>
              <w:pStyle w:val="Compact"/>
            </w:pPr>
            <w:r>
              <w:t xml:space="preserve">Pearson r</w:t>
            </w:r>
          </w:p>
        </w:tc>
        <w:tc>
          <w:tcPr/>
          <w:p>
            <w:pPr>
              <w:pStyle w:val="Compact"/>
            </w:pPr>
            <w:r>
              <w:t xml:space="preserve">+0.697 (p &lt;&lt; 0.001)</w:t>
            </w:r>
          </w:p>
        </w:tc>
      </w:tr>
      <w:tr>
        <w:tc>
          <w:tcPr/>
          <w:p>
            <w:pPr>
              <w:pStyle w:val="Compact"/>
            </w:pPr>
            <w:r>
              <w:t xml:space="preserve">Fraction within 5 bpm</w:t>
            </w:r>
          </w:p>
        </w:tc>
        <w:tc>
          <w:tcPr/>
          <w:p>
            <w:pPr>
              <w:pStyle w:val="Compact"/>
            </w:pPr>
            <w:r>
              <w:t xml:space="preserve">0.458</w:t>
            </w:r>
          </w:p>
        </w:tc>
      </w:tr>
      <w:tr>
        <w:tc>
          <w:tcPr/>
          <w:p>
            <w:pPr>
              <w:pStyle w:val="Compact"/>
            </w:pPr>
            <w:r>
              <w:t xml:space="preserve">Fraction within 10 bpm</w:t>
            </w:r>
          </w:p>
        </w:tc>
        <w:tc>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bookmarkEnd w:id="24"/>
    <w:bookmarkStart w:id="25"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p>
            <w:pPr>
              <w:pStyle w:val="Compact"/>
            </w:pPr>
            <w:r>
              <w:t xml:space="preserve">Method</w:t>
            </w:r>
          </w:p>
        </w:tc>
        <w:tc>
          <w:tcPr/>
          <w:p>
            <w:pPr>
              <w:pStyle w:val="Compact"/>
            </w:pPr>
            <w:r>
              <w:t xml:space="preserve">Pass rate (n=15)</w:t>
            </w:r>
          </w:p>
        </w:tc>
        <w:tc>
          <w:tcPr/>
          <w:p>
            <w:pPr>
              <w:pStyle w:val="Compact"/>
            </w:pPr>
            <w:r>
              <w:t xml:space="preserve">Cohen’s κ vs in-house</w:t>
            </w:r>
          </w:p>
        </w:tc>
      </w:tr>
      <w:tr>
        <w:tc>
          <w:tcPr/>
          <w:p>
            <w:pPr>
              <w:pStyle w:val="Compact"/>
            </w:pPr>
            <w:r>
              <w:t xml:space="preserve">In-house (default threshold 0.7)</w:t>
            </w:r>
          </w:p>
        </w:tc>
        <w:tc>
          <w:tcPr/>
          <w:p>
            <w:pPr>
              <w:pStyle w:val="Compact"/>
            </w:pPr>
            <w:r>
              <w:t xml:space="preserve">1.000</w:t>
            </w:r>
          </w:p>
        </w:tc>
        <w:tc>
          <w:tcPr/>
          <w:p>
            <w:pPr>
              <w:pStyle w:val="Compact"/>
            </w:pPr>
            <w:r>
              <w:t xml:space="preserve">-</w:t>
            </w:r>
          </w:p>
        </w:tc>
      </w:tr>
      <w:tr>
        <w:tc>
          <w:tcPr/>
          <w:p>
            <w:pPr>
              <w:pStyle w:val="Compact"/>
            </w:pPr>
            <w:r>
              <w:t xml:space="preserve">Orphanidou 2015</w:t>
            </w:r>
          </w:p>
        </w:tc>
        <w:tc>
          <w:tcPr/>
          <w:p>
            <w:pPr>
              <w:pStyle w:val="Compact"/>
            </w:pPr>
            <w:r>
              <w:t xml:space="preserve">0.256</w:t>
            </w:r>
          </w:p>
        </w:tc>
        <w:tc>
          <w:tcPr/>
          <w:p>
            <w:pPr>
              <w:pStyle w:val="Compact"/>
            </w:pPr>
            <w:r>
              <w:t xml:space="preserve">0.000</w:t>
            </w:r>
          </w:p>
        </w:tc>
      </w:tr>
      <w:tr>
        <w:tc>
          <w:tcPr/>
          <w:p>
            <w:pPr>
              <w:pStyle w:val="Compact"/>
            </w:pPr>
            <w:r>
              <w:t xml:space="preserve">Sukor 2011</w:t>
            </w:r>
          </w:p>
        </w:tc>
        <w:tc>
          <w:tcPr/>
          <w:p>
            <w:pPr>
              <w:pStyle w:val="Compact"/>
            </w:pPr>
            <w:r>
              <w:t xml:space="preserve">0.255</w:t>
            </w:r>
          </w:p>
        </w:tc>
        <w:tc>
          <w:tcPr/>
          <w:p>
            <w:pPr>
              <w:pStyle w:val="Compact"/>
            </w:pPr>
            <w:r>
              <w:t xml:space="preserve">0.000</w:t>
            </w:r>
          </w:p>
        </w:tc>
      </w:tr>
      <w:tr>
        <w:tc>
          <w:tcPr/>
          <w:p>
            <w:pPr>
              <w:pStyle w:val="Compact"/>
            </w:pPr>
            <w:r>
              <w:rPr>
                <w:b/>
                <w:bCs/>
              </w:rPr>
              <w:t xml:space="preserve">Elgendi 2016 (SSQI/KSQI/ESQI)</w:t>
            </w:r>
          </w:p>
        </w:tc>
        <w:tc>
          <w:tcPr/>
          <w:p>
            <w:pPr>
              <w:pStyle w:val="Compact"/>
            </w:pPr>
            <w:r>
              <w:rPr>
                <w:b/>
                <w:bCs/>
              </w:rPr>
              <w:t xml:space="preserve">0.215</w:t>
            </w:r>
          </w:p>
        </w:tc>
        <w:tc>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p>
            <w:pPr>
              <w:pStyle w:val="Compact"/>
            </w:pPr>
            <w:r>
              <w:t xml:space="preserve">Pairwise Cohen’s κ</w:t>
            </w:r>
          </w:p>
        </w:tc>
        <w:tc>
          <w:tcPr/>
          <w:p>
            <w:pPr>
              <w:pStyle w:val="Compact"/>
            </w:pPr>
            <w:r>
              <w:t xml:space="preserve">published only</w:t>
            </w:r>
          </w:p>
        </w:tc>
      </w:tr>
      <w:tr>
        <w:tc>
          <w:tcPr/>
          <w:p>
            <w:pPr>
              <w:pStyle w:val="Compact"/>
            </w:pPr>
            <w:r>
              <w:t xml:space="preserve">Orphanidou vs Sukor</w:t>
            </w:r>
          </w:p>
        </w:tc>
        <w:tc>
          <w:tcPr/>
          <w:p>
            <w:pPr>
              <w:pStyle w:val="Compact"/>
            </w:pPr>
            <w:r>
              <w:t xml:space="preserve">+0.410</w:t>
            </w:r>
          </w:p>
        </w:tc>
      </w:tr>
      <w:tr>
        <w:tc>
          <w:tcPr/>
          <w:p>
            <w:pPr>
              <w:pStyle w:val="Compact"/>
            </w:pPr>
            <w:r>
              <w:t xml:space="preserve">Orphanidou vs Elgendi</w:t>
            </w:r>
          </w:p>
        </w:tc>
        <w:tc>
          <w:tcPr/>
          <w:p>
            <w:pPr>
              <w:pStyle w:val="Compact"/>
            </w:pPr>
            <w:r>
              <w:t xml:space="preserve">-0.198</w:t>
            </w:r>
          </w:p>
        </w:tc>
      </w:tr>
      <w:tr>
        <w:tc>
          <w:tcPr/>
          <w:p>
            <w:pPr>
              <w:pStyle w:val="Compact"/>
            </w:pPr>
            <w:r>
              <w:t xml:space="preserve">Sukor vs Elgendi</w:t>
            </w:r>
          </w:p>
        </w:tc>
        <w:tc>
          <w:tcPr/>
          <w:p>
            <w:pPr>
              <w:pStyle w:val="Compact"/>
            </w:pPr>
            <w:r>
              <w:t xml:space="preserve">-0.225</w:t>
            </w:r>
          </w:p>
        </w:tc>
      </w:tr>
      <w:tr>
        <w:tc>
          <w:tcPr/>
          <w:p>
            <w:pPr>
              <w:pStyle w:val="Compact"/>
            </w:pPr>
            <w:r>
              <w:rPr>
                <w:b/>
                <w:bCs/>
              </w:rPr>
              <w:t xml:space="preserve">Median across three published pairs</w:t>
            </w:r>
          </w:p>
        </w:tc>
        <w:tc>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p>
            <w:pPr>
              <w:pStyle w:val="Compact"/>
            </w:pPr>
            <w:r>
              <w:t xml:space="preserve">Joint condition (n=6,585)</w:t>
            </w:r>
          </w:p>
        </w:tc>
        <w:tc>
          <w:tcPr/>
          <w:p>
            <w:pPr>
              <w:pStyle w:val="Compact"/>
            </w:pPr>
            <w:r>
              <w:t xml:space="preserve">Fraction</w:t>
            </w:r>
          </w:p>
        </w:tc>
      </w:tr>
      <w:tr>
        <w:tc>
          <w:tcPr/>
          <w:p>
            <w:pPr>
              <w:pStyle w:val="Compact"/>
            </w:pPr>
            <w:r>
              <w:t xml:space="preserve">All three published methods pass</w:t>
            </w:r>
          </w:p>
        </w:tc>
        <w:tc>
          <w:tcPr/>
          <w:p>
            <w:pPr>
              <w:pStyle w:val="Compact"/>
            </w:pPr>
            <w:r>
              <w:t xml:space="preserve">0.005 (0.5%)</w:t>
            </w:r>
          </w:p>
        </w:tc>
      </w:tr>
      <w:tr>
        <w:tc>
          <w:tcPr/>
          <w:p>
            <w:pPr>
              <w:pStyle w:val="Compact"/>
            </w:pPr>
            <w:r>
              <w:rPr>
                <w:b/>
                <w:bCs/>
              </w:rPr>
              <w:t xml:space="preserve">All three published methods fail</w:t>
            </w:r>
          </w:p>
        </w:tc>
        <w:tc>
          <w:tcPr/>
          <w:p>
            <w:pPr>
              <w:pStyle w:val="Compact"/>
            </w:pPr>
            <w:r>
              <w:rPr>
                <w:b/>
                <w:bCs/>
              </w:rPr>
              <w:t xml:space="preserve">0.446 (44.6%)</w:t>
            </w:r>
          </w:p>
        </w:tc>
      </w:tr>
      <w:tr>
        <w:tc>
          <w:tcPr/>
          <w:p>
            <w:pPr>
              <w:pStyle w:val="Compact"/>
            </w:pPr>
            <w:r>
              <w:rPr>
                <w:b/>
                <w:bCs/>
              </w:rPr>
              <w:t xml:space="preserve">In-house passes while ALL three published methods fail</w:t>
            </w:r>
          </w:p>
        </w:tc>
        <w:tc>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 Figure 3 panel A shows the four pass rates side by side; panel B shows the four-way agreement matrix.</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The substantive finding, that three published methods reject the same ~44% of windows in common, is a property of how the published methods behave on real wrist PPG and does not depend on any in-house thresholding choice.</w:t>
      </w:r>
    </w:p>
    <w:bookmarkEnd w:id="25"/>
    <w:bookmarkStart w:id="26"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p>
            <w:pPr>
              <w:pStyle w:val="Compact"/>
            </w:pPr>
            <w:r>
              <w:t xml:space="preserve">Threshold</w:t>
            </w:r>
          </w:p>
        </w:tc>
        <w:tc>
          <w:tcPr/>
          <w:p>
            <w:pPr>
              <w:pStyle w:val="Compact"/>
            </w:pPr>
            <w:r>
              <w:t xml:space="preserve">Holdout raw agreement</w:t>
            </w:r>
          </w:p>
        </w:tc>
        <w:tc>
          <w:tcPr/>
          <w:p>
            <w:pPr>
              <w:pStyle w:val="Compact"/>
            </w:pPr>
            <w:r>
              <w:rPr>
                <w:b/>
                <w:bCs/>
              </w:rPr>
              <w:t xml:space="preserve">Holdout Cohen’s κ</w:t>
            </w:r>
          </w:p>
        </w:tc>
      </w:tr>
      <w:tr>
        <w:tc>
          <w:tcPr/>
          <w:p>
            <w:pPr>
              <w:pStyle w:val="Compact"/>
            </w:pPr>
            <w:r>
              <w:t xml:space="preserve">Original (0.70)</w:t>
            </w:r>
          </w:p>
        </w:tc>
        <w:tc>
          <w:tcPr/>
          <w:p>
            <w:pPr>
              <w:pStyle w:val="Compact"/>
            </w:pPr>
            <w:r>
              <w:t xml:space="preserve">0.258</w:t>
            </w:r>
          </w:p>
        </w:tc>
        <w:tc>
          <w:tcPr/>
          <w:p>
            <w:pPr>
              <w:pStyle w:val="Compact"/>
            </w:pPr>
            <w:r>
              <w:rPr>
                <w:b/>
                <w:bCs/>
              </w:rPr>
              <w:t xml:space="preserve">0.000</w:t>
            </w:r>
          </w:p>
        </w:tc>
      </w:tr>
      <w:tr>
        <w:tc>
          <w:tcPr/>
          <w:p>
            <w:pPr>
              <w:pStyle w:val="Compact"/>
            </w:pPr>
            <w:r>
              <w:t xml:space="preserve">Recalibrated (0.85)</w:t>
            </w:r>
          </w:p>
        </w:tc>
        <w:tc>
          <w:tcPr/>
          <w:p>
            <w:pPr>
              <w:pStyle w:val="Compact"/>
            </w:pPr>
            <w:r>
              <w:t xml:space="preserve">0.258</w:t>
            </w:r>
          </w:p>
        </w:tc>
        <w:tc>
          <w:tcPr/>
          <w:p>
            <w:pPr>
              <w:pStyle w:val="Compact"/>
            </w:pPr>
            <w:r>
              <w:rPr>
                <w:b/>
                <w:bCs/>
              </w:rPr>
              <w:t xml:space="preserve">0.0002</w:t>
            </w:r>
          </w:p>
        </w:tc>
      </w:tr>
      <w:tr>
        <w:tc>
          <w:tcPr/>
          <w:p>
            <w:pPr>
              <w:pStyle w:val="Compact"/>
            </w:pPr>
            <w:r>
              <w:t xml:space="preserve">Δ κ</w:t>
            </w:r>
          </w:p>
        </w:tc>
        <w:tc>
          <w:tcPr/>
          <w:p>
            <w:pPr>
              <w:pStyle w:val="Compact"/>
            </w:pPr>
          </w:p>
        </w:tc>
        <w:tc>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bookmarkEnd w:id="26"/>
    <w:bookmarkStart w:id="27"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p>
            <w:pPr>
              <w:pStyle w:val="Compact"/>
            </w:pPr>
            <w:r>
              <w:t xml:space="preserve">Quantity</w:t>
            </w:r>
          </w:p>
        </w:tc>
        <w:tc>
          <w:tcPr/>
          <w:p>
            <w:pPr>
              <w:pStyle w:val="Compact"/>
            </w:pPr>
            <w:r>
              <w:t xml:space="preserve">Value (n = 15)</w:t>
            </w:r>
          </w:p>
        </w:tc>
      </w:tr>
      <w:tr>
        <w:tc>
          <w:tcPr/>
          <w:p>
            <w:pPr>
              <w:pStyle w:val="Compact"/>
            </w:pPr>
            <w:r>
              <w:t xml:space="preserve">Spearman (motion vs in-house SQI)</w:t>
            </w:r>
          </w:p>
        </w:tc>
        <w:tc>
          <w:tcPr/>
          <w:p>
            <w:pPr>
              <w:pStyle w:val="Compact"/>
            </w:pPr>
            <w:r>
              <w:t xml:space="preserve">-1.000 (deterministic)</w:t>
            </w:r>
          </w:p>
        </w:tc>
      </w:tr>
      <w:tr>
        <w:tc>
          <w:tcPr/>
          <w:p>
            <w:pPr>
              <w:pStyle w:val="Compact"/>
            </w:pPr>
            <w:r>
              <w:t xml:space="preserve">Spearman (motion vs absolute HR difference, PPG vs ECG)</w:t>
            </w:r>
          </w:p>
        </w:tc>
        <w:tc>
          <w:tcPr/>
          <w:p>
            <w:pPr>
              <w:pStyle w:val="Compact"/>
            </w:pPr>
            <w:r>
              <w:t xml:space="preserve">+0.088</w:t>
            </w:r>
          </w:p>
        </w:tc>
      </w:tr>
      <w:tr>
        <w:tc>
          <w:tcPr/>
          <w:p>
            <w:pPr>
              <w:pStyle w:val="Compact"/>
            </w:pPr>
            <w:r>
              <w:t xml:space="preserve">Spearman (motion vs Orphanidou template correlation)</w:t>
            </w:r>
          </w:p>
        </w:tc>
        <w:tc>
          <w:tcPr/>
          <w:p>
            <w:pPr>
              <w:pStyle w:val="Compact"/>
            </w:pPr>
            <w:r>
              <w:t xml:space="preserve">-0.004</w:t>
            </w:r>
          </w:p>
        </w:tc>
      </w:tr>
      <w:tr>
        <w:tc>
          <w:tcPr/>
          <w:p>
            <w:pPr>
              <w:pStyle w:val="Compact"/>
            </w:pPr>
            <w:r>
              <w:t xml:space="preserve">Mean absolute HR difference at low motion (bpm)</w:t>
            </w:r>
          </w:p>
        </w:tc>
        <w:tc>
          <w:tcPr/>
          <w:p>
            <w:pPr>
              <w:pStyle w:val="Compact"/>
            </w:pPr>
            <w:r>
              <w:t xml:space="preserve">9.12</w:t>
            </w:r>
          </w:p>
        </w:tc>
      </w:tr>
      <w:tr>
        <w:tc>
          <w:tcPr/>
          <w:p>
            <w:pPr>
              <w:pStyle w:val="Compact"/>
            </w:pPr>
            <w:r>
              <w:t xml:space="preserve">Mean absolute HR difference at high motion (bpm)</w:t>
            </w:r>
          </w:p>
        </w:tc>
        <w:tc>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27"/>
    <w:bookmarkStart w:id="28"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28"/>
    <w:bookmarkStart w:id="29"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n subjects</w:t>
            </w:r>
          </w:p>
        </w:tc>
        <w:tc>
          <w:tcPr/>
          <w:p>
            <w:pPr>
              <w:pStyle w:val="Compact"/>
            </w:pPr>
            <w:r>
              <w:t xml:space="preserve">Mean AUROC</w:t>
            </w:r>
          </w:p>
        </w:tc>
        <w:tc>
          <w:tcPr/>
          <w:p>
            <w:pPr>
              <w:pStyle w:val="Compact"/>
            </w:pPr>
            <w:r>
              <w:t xml:space="preserve">95% bootstrap CI</w:t>
            </w:r>
          </w:p>
        </w:tc>
        <w:tc>
          <w:tcPr/>
          <w:p>
            <w:pPr>
              <w:pStyle w:val="Compact"/>
            </w:pPr>
            <w:r>
              <w:t xml:space="preserve">Median AUROC</w:t>
            </w:r>
          </w:p>
        </w:tc>
      </w:tr>
      <w:tr>
        <w:tc>
          <w:tcPr/>
          <w:p>
            <w:pPr>
              <w:pStyle w:val="Compact"/>
            </w:pPr>
            <w:r>
              <w:t xml:space="preserve">no audit</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t xml:space="preserve">in-house pass (≥ 0.70)</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rPr>
                <w:b/>
                <w:bCs/>
              </w:rPr>
              <w:t xml:space="preserve">Orphanidou pass</w:t>
            </w:r>
          </w:p>
        </w:tc>
        <w:tc>
          <w:tcPr/>
          <w:p>
            <w:pPr>
              <w:pStyle w:val="Compact"/>
            </w:pPr>
            <w:r>
              <w:rPr>
                <w:b/>
                <w:bCs/>
              </w:rPr>
              <w:t xml:space="preserve">14</w:t>
            </w:r>
          </w:p>
        </w:tc>
        <w:tc>
          <w:tcPr/>
          <w:p>
            <w:pPr>
              <w:pStyle w:val="Compact"/>
            </w:pPr>
            <w:r>
              <w:rPr>
                <w:b/>
                <w:bCs/>
              </w:rPr>
              <w:t xml:space="preserve">0.823</w:t>
            </w:r>
          </w:p>
        </w:tc>
        <w:tc>
          <w:tcPr/>
          <w:p>
            <w:pPr>
              <w:pStyle w:val="Compact"/>
            </w:pPr>
            <w:r>
              <w:rPr>
                <w:b/>
                <w:bCs/>
              </w:rPr>
              <w:t xml:space="preserve">[0.744, 0.906]</w:t>
            </w:r>
          </w:p>
        </w:tc>
        <w:tc>
          <w:tcPr/>
          <w:p>
            <w:pPr>
              <w:pStyle w:val="Compact"/>
            </w:pPr>
            <w:r>
              <w:rPr>
                <w:b/>
                <w:bCs/>
              </w:rPr>
              <w:t xml:space="preserve">0.822</w:t>
            </w:r>
          </w:p>
        </w:tc>
      </w:tr>
      <w:tr>
        <w:tc>
          <w:tcPr/>
          <w:p>
            <w:pPr>
              <w:pStyle w:val="Compact"/>
            </w:pPr>
            <w:r>
              <w:t xml:space="preserve">both</w:t>
            </w:r>
          </w:p>
        </w:tc>
        <w:tc>
          <w:tcPr/>
          <w:p>
            <w:pPr>
              <w:pStyle w:val="Compact"/>
            </w:pPr>
            <w:r>
              <w:t xml:space="preserve">14</w:t>
            </w:r>
          </w:p>
        </w:tc>
        <w:tc>
          <w:tcPr/>
          <w:p>
            <w:pPr>
              <w:pStyle w:val="Compact"/>
            </w:pPr>
            <w:r>
              <w:t xml:space="preserve">0.823</w:t>
            </w:r>
          </w:p>
        </w:tc>
        <w:tc>
          <w:tcPr/>
          <w:p>
            <w:pPr>
              <w:pStyle w:val="Compact"/>
            </w:pPr>
            <w:r>
              <w:t xml:space="preserve">[0.744, 0.906]</w:t>
            </w:r>
          </w:p>
        </w:tc>
        <w:tc>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p>
            <w:pPr>
              <w:pStyle w:val="Compact"/>
            </w:pPr>
            <w:r>
              <w:t xml:space="preserve">Condition vs no-audit</w:t>
            </w:r>
          </w:p>
        </w:tc>
        <w:tc>
          <w:tcPr/>
          <w:p>
            <w:pPr>
              <w:pStyle w:val="Compact"/>
            </w:pPr>
            <w:r>
              <w:t xml:space="preserve">n paired</w:t>
            </w:r>
          </w:p>
        </w:tc>
        <w:tc>
          <w:tcPr/>
          <w:p>
            <w:pPr>
              <w:pStyle w:val="Compact"/>
            </w:pPr>
            <w:r>
              <w:t xml:space="preserve">Mean Δ AUROC</w:t>
            </w:r>
          </w:p>
        </w:tc>
        <w:tc>
          <w:tcPr/>
          <w:p>
            <w:pPr>
              <w:pStyle w:val="Compact"/>
            </w:pPr>
            <w:r>
              <w:t xml:space="preserve">n improved / n worse</w:t>
            </w:r>
          </w:p>
        </w:tc>
        <w:tc>
          <w:tcPr/>
          <w:p>
            <w:pPr>
              <w:pStyle w:val="Compact"/>
            </w:pPr>
            <w:r>
              <w:t xml:space="preserve">Wilcoxon p (one-sided, greater)</w:t>
            </w:r>
          </w:p>
        </w:tc>
      </w:tr>
      <w:tr>
        <w:tc>
          <w:tcPr/>
          <w:p>
            <w:pPr>
              <w:pStyle w:val="Compact"/>
            </w:pPr>
            <w:r>
              <w:t xml:space="preserve">in-house</w:t>
            </w:r>
          </w:p>
        </w:tc>
        <w:tc>
          <w:tcPr/>
          <w:p>
            <w:pPr>
              <w:pStyle w:val="Compact"/>
            </w:pPr>
            <w:r>
              <w:t xml:space="preserve">15</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w:t>
            </w:r>
          </w:p>
        </w:tc>
        <w:tc>
          <w:tcPr/>
          <w:p>
            <w:pPr>
              <w:pStyle w:val="Compact"/>
            </w:pPr>
            <w:r>
              <w:rPr>
                <w:b/>
                <w:bCs/>
              </w:rPr>
              <w:t xml:space="preserve">14</w:t>
            </w:r>
          </w:p>
        </w:tc>
        <w:tc>
          <w:tcPr/>
          <w:p>
            <w:pPr>
              <w:pStyle w:val="Compact"/>
            </w:pPr>
            <w:r>
              <w:rPr>
                <w:b/>
                <w:bCs/>
              </w:rPr>
              <w:t xml:space="preserve">+0.027</w:t>
            </w:r>
          </w:p>
        </w:tc>
        <w:tc>
          <w:tcPr/>
          <w:p>
            <w:pPr>
              <w:pStyle w:val="Compact"/>
            </w:pPr>
            <w:r>
              <w:rPr>
                <w:b/>
                <w:bCs/>
              </w:rPr>
              <w:t xml:space="preserve">10 / 4</w:t>
            </w:r>
          </w:p>
        </w:tc>
        <w:tc>
          <w:tcPr/>
          <w:p>
            <w:pPr>
              <w:pStyle w:val="Compact"/>
            </w:pPr>
            <w:r>
              <w:rPr>
                <w:b/>
                <w:bCs/>
              </w:rPr>
              <w:t xml:space="preserve">0.052</w:t>
            </w:r>
          </w:p>
        </w:tc>
      </w:tr>
      <w:tr>
        <w:tc>
          <w:tcPr/>
          <w:p>
            <w:pPr>
              <w:pStyle w:val="Compact"/>
            </w:pPr>
            <w:r>
              <w:t xml:space="preserve">both</w:t>
            </w:r>
          </w:p>
        </w:tc>
        <w:tc>
          <w:tcPr/>
          <w:p>
            <w:pPr>
              <w:pStyle w:val="Compact"/>
            </w:pPr>
            <w:r>
              <w:t xml:space="preserve">14</w:t>
            </w:r>
          </w:p>
        </w:tc>
        <w:tc>
          <w:tcPr/>
          <w:p>
            <w:pPr>
              <w:pStyle w:val="Compact"/>
            </w:pPr>
            <w:r>
              <w:t xml:space="preserve">+0.027</w:t>
            </w:r>
          </w:p>
        </w:tc>
        <w:tc>
          <w:tcPr/>
          <w:p>
            <w:pPr>
              <w:pStyle w:val="Compact"/>
            </w:pPr>
            <w:r>
              <w:t xml:space="preserve">10 / 4</w:t>
            </w:r>
          </w:p>
        </w:tc>
        <w:tc>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 paired</w:t>
            </w:r>
          </w:p>
        </w:tc>
        <w:tc>
          <w:tcPr/>
          <w:p>
            <w:pPr>
              <w:pStyle w:val="Compact"/>
            </w:pPr>
            <w:r>
              <w:t xml:space="preserve">Mean Δ ρ</w:t>
            </w:r>
          </w:p>
        </w:tc>
        <w:tc>
          <w:tcPr/>
          <w:p>
            <w:pPr>
              <w:pStyle w:val="Compact"/>
            </w:pPr>
            <w:r>
              <w:t xml:space="preserve">Median Δ ρ</w:t>
            </w:r>
          </w:p>
        </w:tc>
        <w:tc>
          <w:tcPr/>
          <w:p>
            <w:pPr>
              <w:pStyle w:val="Compact"/>
            </w:pPr>
            <w:r>
              <w:t xml:space="preserve">n improved / n worse</w:t>
            </w:r>
          </w:p>
        </w:tc>
        <w:tc>
          <w:tcPr/>
          <w:p>
            <w:pPr>
              <w:pStyle w:val="Compact"/>
            </w:pPr>
            <w:r>
              <w:t xml:space="preserve">Wilcoxon p (greater)</w:t>
            </w:r>
          </w:p>
        </w:tc>
      </w:tr>
      <w:tr>
        <w:tc>
          <w:tcPr/>
          <w:p>
            <w:pPr>
              <w:pStyle w:val="Compact"/>
            </w:pPr>
            <w:r>
              <w:t xml:space="preserve">in-house vs all</w:t>
            </w:r>
          </w:p>
        </w:tc>
        <w:tc>
          <w:tcPr/>
          <w:p>
            <w:pPr>
              <w:pStyle w:val="Compact"/>
            </w:pPr>
            <w:r>
              <w:t xml:space="preserve">15</w:t>
            </w:r>
          </w:p>
        </w:tc>
        <w:tc>
          <w:tcPr/>
          <w:p>
            <w:pPr>
              <w:pStyle w:val="Compact"/>
            </w:pPr>
            <w:r>
              <w:t xml:space="preserve">0.000</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 vs all</w:t>
            </w:r>
          </w:p>
        </w:tc>
        <w:tc>
          <w:tcPr/>
          <w:p>
            <w:pPr>
              <w:pStyle w:val="Compact"/>
            </w:pPr>
            <w:r>
              <w:rPr>
                <w:b/>
                <w:bCs/>
              </w:rPr>
              <w:t xml:space="preserve">15</w:t>
            </w:r>
          </w:p>
        </w:tc>
        <w:tc>
          <w:tcPr/>
          <w:p>
            <w:pPr>
              <w:pStyle w:val="Compact"/>
            </w:pPr>
            <w:r>
              <w:rPr>
                <w:b/>
                <w:bCs/>
              </w:rPr>
              <w:t xml:space="preserve">+0.102</w:t>
            </w:r>
          </w:p>
        </w:tc>
        <w:tc>
          <w:tcPr/>
          <w:p>
            <w:pPr>
              <w:pStyle w:val="Compact"/>
            </w:pPr>
            <w:r>
              <w:rPr>
                <w:b/>
                <w:bCs/>
              </w:rPr>
              <w:t xml:space="preserve">+0.110</w:t>
            </w:r>
          </w:p>
        </w:tc>
        <w:tc>
          <w:tcPr/>
          <w:p>
            <w:pPr>
              <w:pStyle w:val="Compact"/>
            </w:pPr>
            <w:r>
              <w:rPr>
                <w:b/>
                <w:bCs/>
              </w:rPr>
              <w:t xml:space="preserve">13 / 2</w:t>
            </w:r>
          </w:p>
        </w:tc>
        <w:tc>
          <w:tcPr/>
          <w:p>
            <w:pPr>
              <w:pStyle w:val="Compact"/>
            </w:pPr>
            <w:r>
              <w:rPr>
                <w:b/>
                <w:bCs/>
              </w:rPr>
              <w:t xml:space="preserve">1.5e-04</w:t>
            </w:r>
          </w:p>
        </w:tc>
      </w:tr>
      <w:tr>
        <w:tc>
          <w:tcPr/>
          <w:p>
            <w:pPr>
              <w:pStyle w:val="Compact"/>
            </w:pPr>
            <w:r>
              <w:t xml:space="preserve">both vs all</w:t>
            </w:r>
          </w:p>
        </w:tc>
        <w:tc>
          <w:tcPr/>
          <w:p>
            <w:pPr>
              <w:pStyle w:val="Compact"/>
            </w:pPr>
            <w:r>
              <w:t xml:space="preserve">15</w:t>
            </w:r>
          </w:p>
        </w:tc>
        <w:tc>
          <w:tcPr/>
          <w:p>
            <w:pPr>
              <w:pStyle w:val="Compact"/>
            </w:pPr>
            <w:r>
              <w:t xml:space="preserve">+0.102</w:t>
            </w:r>
          </w:p>
        </w:tc>
        <w:tc>
          <w:tcPr/>
          <w:p>
            <w:pPr>
              <w:pStyle w:val="Compact"/>
            </w:pPr>
            <w:r>
              <w:t xml:space="preserve">+0.110</w:t>
            </w:r>
          </w:p>
        </w:tc>
        <w:tc>
          <w:tcPr/>
          <w:p>
            <w:pPr>
              <w:pStyle w:val="Compact"/>
            </w:pPr>
            <w:r>
              <w:t xml:space="preserve">13 / 2</w:t>
            </w:r>
          </w:p>
        </w:tc>
        <w:tc>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BodyText"/>
      </w:pPr>
      <w:r>
        <w:t xml:space="preserve">Figure 5 (</w:t>
      </w:r>
      <w:r>
        <w:rPr>
          <w:rStyle w:val="VerbatimChar"/>
        </w:rPr>
        <w:t xml:space="preserve">results/downstream_demo/figure_downstream.png</w:t>
      </w:r>
      <w:r>
        <w:t xml:space="preserve">):</w:t>
      </w:r>
      <w:r>
        <w:t xml:space="preserve"> </w:t>
      </w:r>
      <w:r>
        <w:t xml:space="preserve">- Panel A: LOSO AUROC distributions by audit condition.</w:t>
      </w:r>
      <w:r>
        <w:t xml:space="preserve"> </w:t>
      </w:r>
      <w:r>
        <w:t xml:space="preserve">- Panel B: per-subject paired Δ AUROC vs no-audit, by audit variant.</w:t>
      </w:r>
      <w:r>
        <w:t xml:space="preserve"> </w:t>
      </w:r>
      <w:r>
        <w:t xml:space="preserve">- Panel C: per-subject biomarker ρ under each condition.</w:t>
      </w:r>
      <w:r>
        <w:t xml:space="preserve"> </w:t>
      </w:r>
      <w:r>
        <w:t xml:space="preserve">- Panel D: per-subject retention vs Δρ trade-off (Orphanidou condition).</w:t>
      </w:r>
    </w:p>
    <w:bookmarkEnd w:id="29"/>
    <w:bookmarkStart w:id="30"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p>
            <w:pPr>
              <w:pStyle w:val="Compact"/>
            </w:pPr>
            <w:r>
              <w:t xml:space="preserve">Metric</w:t>
            </w:r>
          </w:p>
        </w:tc>
        <w:tc>
          <w:tcPr/>
          <w:p>
            <w:pPr>
              <w:pStyle w:val="Compact"/>
            </w:pPr>
            <w:r>
              <w:t xml:space="preserve">WESAD (n = 15, 6,585 windows)</w:t>
            </w:r>
          </w:p>
        </w:tc>
        <w:tc>
          <w:tcPr/>
          <w:p>
            <w:pPr>
              <w:pStyle w:val="Compact"/>
            </w:pPr>
            <w:r>
              <w:t xml:space="preserve">PPG-DaLiA (n = 15, 18,781 windows)</w:t>
            </w:r>
          </w:p>
        </w:tc>
      </w:tr>
      <w:tr>
        <w:tc>
          <w:tcPr/>
          <w:p>
            <w:pPr>
              <w:pStyle w:val="Compact"/>
            </w:pPr>
            <w:r>
              <w:t xml:space="preserve">In-house pass rate</w:t>
            </w:r>
          </w:p>
        </w:tc>
        <w:tc>
          <w:tcPr/>
          <w:p>
            <w:pPr>
              <w:pStyle w:val="Compact"/>
            </w:pPr>
            <w:r>
              <w:t xml:space="preserve">1.000</w:t>
            </w:r>
          </w:p>
        </w:tc>
        <w:tc>
          <w:tcPr/>
          <w:p>
            <w:pPr>
              <w:pStyle w:val="Compact"/>
            </w:pPr>
            <w:r>
              <w:t xml:space="preserve">1.000</w:t>
            </w:r>
          </w:p>
        </w:tc>
      </w:tr>
      <w:tr>
        <w:tc>
          <w:tcPr/>
          <w:p>
            <w:pPr>
              <w:pStyle w:val="Compact"/>
            </w:pPr>
            <w:r>
              <w:t xml:space="preserve">Orphanidou pass rate</w:t>
            </w:r>
          </w:p>
        </w:tc>
        <w:tc>
          <w:tcPr/>
          <w:p>
            <w:pPr>
              <w:pStyle w:val="Compact"/>
            </w:pPr>
            <w:r>
              <w:t xml:space="preserve">0.256</w:t>
            </w:r>
          </w:p>
        </w:tc>
        <w:tc>
          <w:tcPr/>
          <w:p>
            <w:pPr>
              <w:pStyle w:val="Compact"/>
            </w:pPr>
            <w:r>
              <w:t xml:space="preserve">0.282</w:t>
            </w:r>
          </w:p>
        </w:tc>
      </w:tr>
      <w:tr>
        <w:tc>
          <w:tcPr/>
          <w:p>
            <w:pPr>
              <w:pStyle w:val="Compact"/>
            </w:pPr>
            <w:r>
              <w:t xml:space="preserve">Sukor pass rate</w:t>
            </w:r>
          </w:p>
        </w:tc>
        <w:tc>
          <w:tcPr/>
          <w:p>
            <w:pPr>
              <w:pStyle w:val="Compact"/>
            </w:pPr>
            <w:r>
              <w:t xml:space="preserve">0.255</w:t>
            </w:r>
          </w:p>
        </w:tc>
        <w:tc>
          <w:tcPr/>
          <w:p>
            <w:pPr>
              <w:pStyle w:val="Compact"/>
            </w:pPr>
            <w:r>
              <w:t xml:space="preserve">0.271</w:t>
            </w:r>
          </w:p>
        </w:tc>
      </w:tr>
      <w:tr>
        <w:tc>
          <w:tcPr/>
          <w:p>
            <w:pPr>
              <w:pStyle w:val="Compact"/>
            </w:pPr>
            <w:r>
              <w:t xml:space="preserve">Elgendi pass rate</w:t>
            </w:r>
          </w:p>
        </w:tc>
        <w:tc>
          <w:tcPr/>
          <w:p>
            <w:pPr>
              <w:pStyle w:val="Compact"/>
            </w:pPr>
            <w:r>
              <w:t xml:space="preserve">0.215</w:t>
            </w:r>
          </w:p>
        </w:tc>
        <w:tc>
          <w:tcPr/>
          <w:p>
            <w:pPr>
              <w:pStyle w:val="Compact"/>
            </w:pPr>
            <w:r>
              <w:t xml:space="preserve">0.220</w:t>
            </w:r>
          </w:p>
        </w:tc>
      </w:tr>
      <w:tr>
        <w:tc>
          <w:tcPr/>
          <w:p>
            <w:pPr>
              <w:pStyle w:val="Compact"/>
            </w:pPr>
            <w:r>
              <w:t xml:space="preserve">In-house pass AND all 3 published fail</w:t>
            </w:r>
          </w:p>
        </w:tc>
        <w:tc>
          <w:tcPr/>
          <w:p>
            <w:pPr>
              <w:pStyle w:val="Compact"/>
            </w:pPr>
            <w:r>
              <w:t xml:space="preserve">0.446</w:t>
            </w:r>
          </w:p>
        </w:tc>
        <w:tc>
          <w:tcPr/>
          <w:p>
            <w:pPr>
              <w:pStyle w:val="Compact"/>
            </w:pPr>
            <w:r>
              <w:t xml:space="preserve">0.431</w:t>
            </w:r>
          </w:p>
        </w:tc>
      </w:tr>
      <w:tr>
        <w:tc>
          <w:tcPr/>
          <w:p>
            <w:pPr>
              <w:pStyle w:val="Compact"/>
            </w:pPr>
            <w:r>
              <w:t xml:space="preserve">Median pairwise κ (published methods)</w:t>
            </w:r>
          </w:p>
        </w:tc>
        <w:tc>
          <w:tcPr/>
          <w:p>
            <w:pPr>
              <w:pStyle w:val="Compact"/>
            </w:pPr>
            <w:r>
              <w:t xml:space="preserve">-0.198</w:t>
            </w:r>
          </w:p>
        </w:tc>
        <w:tc>
          <w:tcPr/>
          <w:p>
            <w:pPr>
              <w:pStyle w:val="Compact"/>
            </w:pPr>
            <w:r>
              <w:t xml:space="preserve">-0.204</w:t>
            </w:r>
          </w:p>
        </w:tc>
      </w:tr>
      <w:tr>
        <w:tc>
          <w:tcPr/>
          <w:p>
            <w:pPr>
              <w:pStyle w:val="Compact"/>
            </w:pPr>
            <w:r>
              <w:t xml:space="preserve">κ vs in-house (all three published)</w:t>
            </w:r>
          </w:p>
        </w:tc>
        <w:tc>
          <w:tcPr/>
          <w:p>
            <w:pPr>
              <w:pStyle w:val="Compact"/>
            </w:pPr>
            <w:r>
              <w:t xml:space="preserve">0.000</w:t>
            </w:r>
          </w:p>
        </w:tc>
        <w:tc>
          <w:tcPr/>
          <w:p>
            <w:pPr>
              <w:pStyle w:val="Compact"/>
            </w:pPr>
            <w:r>
              <w:t xml:space="preserve">0.000</w:t>
            </w:r>
          </w:p>
        </w:tc>
      </w:tr>
      <w:tr>
        <w:tc>
          <w:tcPr/>
          <w:p>
            <w:pPr>
              <w:pStyle w:val="Compact"/>
            </w:pPr>
            <w:r>
              <w:t xml:space="preserve">Per-subject absolute HR-difference range (bpm)</w:t>
            </w:r>
          </w:p>
        </w:tc>
        <w:tc>
          <w:tcPr/>
          <w:p>
            <w:pPr>
              <w:pStyle w:val="Compact"/>
            </w:pPr>
            <w:r>
              <w:t xml:space="preserve">6.75-26.02</w:t>
            </w:r>
          </w:p>
        </w:tc>
        <w:tc>
          <w:tcPr/>
          <w:p>
            <w:pPr>
              <w:pStyle w:val="Compact"/>
            </w:pPr>
            <w:r>
              <w:t xml:space="preserve">6.66-16.27</w:t>
            </w:r>
          </w:p>
        </w:tc>
      </w:tr>
      <w:tr>
        <w:tc>
          <w:tcPr/>
          <w:p>
            <w:pPr>
              <w:pStyle w:val="Compact"/>
            </w:pPr>
            <w:r>
              <w:t xml:space="preserve">Per-subject fold range</w:t>
            </w:r>
          </w:p>
        </w:tc>
        <w:tc>
          <w:tcPr/>
          <w:p>
            <w:pPr>
              <w:pStyle w:val="Compact"/>
            </w:pPr>
            <w:r>
              <w:t xml:space="preserve">4.0x</w:t>
            </w:r>
          </w:p>
        </w:tc>
        <w:tc>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30"/>
    <w:bookmarkEnd w:id="31"/>
    <w:bookmarkStart w:id="39" w:name="Xf8d28994ab18c569b43451e1d59264a3df91dd7"/>
    <w:p>
      <w:pPr>
        <w:pStyle w:val="Heading2"/>
      </w:pPr>
      <w:r>
        <w:t xml:space="preserve">4. Methodological validation on synthetic data</w:t>
      </w:r>
    </w:p>
    <w:bookmarkStart w:id="32"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bookmarkEnd w:id="32"/>
    <w:bookmarkStart w:id="33"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r</w:t>
            </w:r>
          </w:p>
        </w:tc>
        <w:tc>
          <w:tcPr/>
          <w:p>
            <w:pPr>
              <w:pStyle w:val="Compact"/>
            </w:pPr>
            <w:r>
              <w:t xml:space="preserve">95% CI</w:t>
            </w:r>
          </w:p>
        </w:tc>
        <w:tc>
          <w:tcPr/>
          <w:p>
            <w:pPr>
              <w:pStyle w:val="Compact"/>
            </w:pPr>
            <w:r>
              <w:t xml:space="preserve">n participants</w:t>
            </w:r>
          </w:p>
        </w:tc>
        <w:tc>
          <w:tcPr/>
          <w:p>
            <w:pPr>
              <w:pStyle w:val="Compact"/>
            </w:pPr>
            <w:r>
              <w:t xml:space="preserve">n pairs</w:t>
            </w:r>
          </w:p>
        </w:tc>
      </w:tr>
      <w:tr>
        <w:tc>
          <w:tcPr/>
          <w:p>
            <w:pPr>
              <w:pStyle w:val="Compact"/>
            </w:pPr>
            <w:r>
              <w:t xml:space="preserve">resting_hr</w:t>
            </w:r>
          </w:p>
        </w:tc>
        <w:tc>
          <w:tcPr/>
          <w:p>
            <w:pPr>
              <w:pStyle w:val="Compact"/>
            </w:pPr>
            <w:r>
              <w:rPr>
                <w:b/>
                <w:bCs/>
              </w:rPr>
              <w:t xml:space="preserve">+0.977</w:t>
            </w:r>
          </w:p>
        </w:tc>
        <w:tc>
          <w:tcPr/>
          <w:p>
            <w:pPr>
              <w:pStyle w:val="Compact"/>
            </w:pPr>
            <w:r>
              <w:t xml:space="preserve">[+0.973, +0.980]</w:t>
            </w:r>
          </w:p>
        </w:tc>
        <w:tc>
          <w:tcPr/>
          <w:p>
            <w:pPr>
              <w:pStyle w:val="Compact"/>
            </w:pPr>
            <w:r>
              <w:t xml:space="preserve">300</w:t>
            </w:r>
          </w:p>
        </w:tc>
        <w:tc>
          <w:tcPr/>
          <w:p>
            <w:pPr>
              <w:pStyle w:val="Compact"/>
            </w:pPr>
            <w:r>
              <w:t xml:space="preserve">2400</w:t>
            </w:r>
          </w:p>
        </w:tc>
      </w:tr>
      <w:tr>
        <w:tc>
          <w:tcPr/>
          <w:p>
            <w:pPr>
              <w:pStyle w:val="Compact"/>
            </w:pPr>
            <w:r>
              <w:t xml:space="preserve">hrv_rmssd</w:t>
            </w:r>
          </w:p>
        </w:tc>
        <w:tc>
          <w:tcPr/>
          <w:p>
            <w:pPr>
              <w:pStyle w:val="Compact"/>
            </w:pPr>
            <w:r>
              <w:rPr>
                <w:b/>
                <w:bCs/>
              </w:rPr>
              <w:t xml:space="preserve">+0.954</w:t>
            </w:r>
          </w:p>
        </w:tc>
        <w:tc>
          <w:tcPr/>
          <w:p>
            <w:pPr>
              <w:pStyle w:val="Compact"/>
            </w:pPr>
            <w:r>
              <w:t xml:space="preserve">[+0.945, +0.961]</w:t>
            </w:r>
          </w:p>
        </w:tc>
        <w:tc>
          <w:tcPr/>
          <w:p>
            <w:pPr>
              <w:pStyle w:val="Compact"/>
            </w:pPr>
            <w:r>
              <w:t xml:space="preserve">300</w:t>
            </w:r>
          </w:p>
        </w:tc>
        <w:tc>
          <w:tcPr/>
          <w:p>
            <w:pPr>
              <w:pStyle w:val="Compact"/>
            </w:pPr>
            <w:r>
              <w:t xml:space="preserve">2400</w:t>
            </w:r>
          </w:p>
        </w:tc>
      </w:tr>
      <w:tr>
        <w:tc>
          <w:tcPr/>
          <w:p>
            <w:pPr>
              <w:pStyle w:val="Compact"/>
            </w:pPr>
            <w:r>
              <w:t xml:space="preserve">sleep_efficiency</w:t>
            </w:r>
          </w:p>
        </w:tc>
        <w:tc>
          <w:tcPr/>
          <w:p>
            <w:pPr>
              <w:pStyle w:val="Compact"/>
            </w:pPr>
            <w:r>
              <w:t xml:space="preserve">+0.023</w:t>
            </w:r>
          </w:p>
        </w:tc>
        <w:tc>
          <w:tcPr/>
          <w:p>
            <w:pPr>
              <w:pStyle w:val="Compact"/>
            </w:pPr>
            <w:r>
              <w:t xml:space="preserve">[-0.018, +0.062]</w:t>
            </w:r>
          </w:p>
        </w:tc>
        <w:tc>
          <w:tcPr/>
          <w:p>
            <w:pPr>
              <w:pStyle w:val="Compact"/>
            </w:pPr>
            <w:r>
              <w:t xml:space="preserve">300</w:t>
            </w:r>
          </w:p>
        </w:tc>
        <w:tc>
          <w:tcPr/>
          <w:p>
            <w:pPr>
              <w:pStyle w:val="Compact"/>
            </w:pPr>
            <w:r>
              <w:t xml:space="preserve">2400</w:t>
            </w:r>
          </w:p>
        </w:tc>
      </w:tr>
      <w:tr>
        <w:tc>
          <w:tcPr/>
          <w:p>
            <w:pPr>
              <w:pStyle w:val="Compact"/>
            </w:pPr>
            <w:r>
              <w:t xml:space="preserve">sleep_duration</w:t>
            </w:r>
          </w:p>
        </w:tc>
        <w:tc>
          <w:tcPr/>
          <w:p>
            <w:pPr>
              <w:pStyle w:val="Compact"/>
            </w:pPr>
            <w:r>
              <w:t xml:space="preserve">+0.002</w:t>
            </w:r>
          </w:p>
        </w:tc>
        <w:tc>
          <w:tcPr/>
          <w:p>
            <w:pPr>
              <w:pStyle w:val="Compact"/>
            </w:pPr>
            <w:r>
              <w:t xml:space="preserve">[-0.041, +0.038]</w:t>
            </w:r>
          </w:p>
        </w:tc>
        <w:tc>
          <w:tcPr/>
          <w:p>
            <w:pPr>
              <w:pStyle w:val="Compact"/>
            </w:pPr>
            <w:r>
              <w:t xml:space="preserve">300</w:t>
            </w:r>
          </w:p>
        </w:tc>
        <w:tc>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3"/>
    <w:bookmarkStart w:id="34"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4"/>
    <w:bookmarkStart w:id="35"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p>
            <w:pPr>
              <w:pStyle w:val="Compact"/>
            </w:pPr>
            <w:r>
              <w:t xml:space="preserve">Stratifier</w:t>
            </w:r>
          </w:p>
        </w:tc>
        <w:tc>
          <w:tcPr/>
          <w:p>
            <w:pPr>
              <w:pStyle w:val="Compact"/>
            </w:pPr>
            <w:r>
              <w:t xml:space="preserve">Component</w:t>
            </w:r>
          </w:p>
        </w:tc>
        <w:tc>
          <w:tcPr/>
          <w:p>
            <w:pPr>
              <w:pStyle w:val="Compact"/>
            </w:pPr>
            <w:r>
              <w:t xml:space="preserve">Q1 / lowest</w:t>
            </w:r>
          </w:p>
        </w:tc>
        <w:tc>
          <w:tcPr/>
          <w:p>
            <w:pPr>
              <w:pStyle w:val="Compact"/>
            </w:pPr>
            <w:r>
              <w:t xml:space="preserve">Q4 / highest</w:t>
            </w:r>
          </w:p>
        </w:tc>
        <w:tc>
          <w:tcPr/>
          <w:p>
            <w:pPr>
              <w:pStyle w:val="Compact"/>
            </w:pPr>
            <w:r>
              <w:t xml:space="preserve">Gap</w:t>
            </w:r>
          </w:p>
        </w:tc>
      </w:tr>
      <w:tr>
        <w:tc>
          <w:tcPr/>
          <w:p>
            <w:pPr>
              <w:pStyle w:val="Compact"/>
            </w:pPr>
            <w:r>
              <w:t xml:space="preserve">device_type</w:t>
            </w:r>
          </w:p>
        </w:tc>
        <w:tc>
          <w:tcPr/>
          <w:p>
            <w:pPr>
              <w:pStyle w:val="Compact"/>
            </w:pPr>
            <w:r>
              <w:t xml:space="preserve">signal_quality_score</w:t>
            </w:r>
          </w:p>
        </w:tc>
        <w:tc>
          <w:tcPr/>
          <w:p>
            <w:pPr>
              <w:pStyle w:val="Compact"/>
            </w:pPr>
            <w:r>
              <w:t xml:space="preserve">device_A: 67.40</w:t>
            </w:r>
          </w:p>
        </w:tc>
        <w:tc>
          <w:tcPr/>
          <w:p>
            <w:pPr>
              <w:pStyle w:val="Compact"/>
            </w:pPr>
            <w:r>
              <w:t xml:space="preserve">device_C: 54.38</w:t>
            </w:r>
          </w:p>
        </w:tc>
        <w:tc>
          <w:tcPr/>
          <w:p>
            <w:pPr>
              <w:pStyle w:val="Compact"/>
            </w:pPr>
            <w:r>
              <w:rPr>
                <w:b/>
                <w:bCs/>
              </w:rPr>
              <w:t xml:space="preserve">-13.02</w:t>
            </w:r>
          </w:p>
        </w:tc>
      </w:tr>
      <w:tr>
        <w:tc>
          <w:tcPr/>
          <w:p>
            <w:pPr>
              <w:pStyle w:val="Compact"/>
            </w:pPr>
            <w:r>
              <w:t xml:space="preserve">skin_tone_q</w:t>
            </w:r>
          </w:p>
        </w:tc>
        <w:tc>
          <w:tcPr/>
          <w:p>
            <w:pPr>
              <w:pStyle w:val="Compact"/>
            </w:pPr>
            <w:r>
              <w:t xml:space="preserve">signal_quality_score</w:t>
            </w:r>
          </w:p>
        </w:tc>
        <w:tc>
          <w:tcPr/>
          <w:p>
            <w:pPr>
              <w:pStyle w:val="Compact"/>
            </w:pPr>
            <w:r>
              <w:t xml:space="preserve">Q1 (light): 67.93</w:t>
            </w:r>
          </w:p>
        </w:tc>
        <w:tc>
          <w:tcPr/>
          <w:p>
            <w:pPr>
              <w:pStyle w:val="Compact"/>
            </w:pPr>
            <w:r>
              <w:t xml:space="preserve">Q4 (dark): 58.40</w:t>
            </w:r>
          </w:p>
        </w:tc>
        <w:tc>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5"/>
    <w:bookmarkStart w:id="36"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p>
            <w:pPr>
              <w:pStyle w:val="Compact"/>
            </w:pPr>
            <w:r>
              <w:t xml:space="preserve">Treatment</w:t>
            </w:r>
          </w:p>
        </w:tc>
        <w:tc>
          <w:tcPr/>
          <w:p>
            <w:pPr>
              <w:pStyle w:val="Compact"/>
            </w:pPr>
            <w:r>
              <w:t xml:space="preserve">Outcome</w:t>
            </w:r>
          </w:p>
        </w:tc>
        <w:tc>
          <w:tcPr/>
          <w:p>
            <w:pPr>
              <w:pStyle w:val="Compact"/>
            </w:pPr>
            <w:r>
              <w:t xml:space="preserve">Screening r</w:t>
            </w:r>
          </w:p>
        </w:tc>
        <w:tc>
          <w:tcPr/>
          <w:p>
            <w:pPr>
              <w:pStyle w:val="Compact"/>
            </w:pPr>
            <w:r>
              <w:t xml:space="preserve">AIPW estimate</w:t>
            </w:r>
          </w:p>
        </w:tc>
        <w:tc>
          <w:tcPr/>
          <w:p>
            <w:pPr>
              <w:pStyle w:val="Compact"/>
            </w:pPr>
            <w:r>
              <w:t xml:space="preserve">95% CI</w:t>
            </w:r>
          </w:p>
        </w:tc>
      </w:tr>
      <w:tr>
        <w:tc>
          <w:tcPr/>
          <w:p>
            <w:pPr>
              <w:pStyle w:val="Compact"/>
            </w:pPr>
            <w:r>
              <w:t xml:space="preserve">heat_index</w:t>
            </w:r>
          </w:p>
        </w:tc>
        <w:tc>
          <w:tcPr/>
          <w:p>
            <w:pPr>
              <w:pStyle w:val="Compact"/>
            </w:pPr>
            <w:r>
              <w:t xml:space="preserve">hrv_rmssd</w:t>
            </w:r>
          </w:p>
        </w:tc>
        <w:tc>
          <w:tcPr/>
          <w:p>
            <w:pPr>
              <w:pStyle w:val="Compact"/>
            </w:pPr>
            <w:r>
              <w:t xml:space="preserve">-0.054</w:t>
            </w:r>
          </w:p>
        </w:tc>
        <w:tc>
          <w:tcPr/>
          <w:p>
            <w:pPr>
              <w:pStyle w:val="Compact"/>
            </w:pPr>
            <w:r>
              <w:t xml:space="preserve">+0.249</w:t>
            </w:r>
          </w:p>
        </w:tc>
        <w:tc>
          <w:tcPr/>
          <w:p>
            <w:pPr>
              <w:pStyle w:val="Compact"/>
            </w:pPr>
            <w:r>
              <w:t xml:space="preserve">[-0.604, +1.030]</w:t>
            </w:r>
          </w:p>
        </w:tc>
      </w:tr>
      <w:tr>
        <w:tc>
          <w:tcPr/>
          <w:p>
            <w:pPr>
              <w:pStyle w:val="Compact"/>
            </w:pPr>
            <w:r>
              <w:t xml:space="preserve">heat_index</w:t>
            </w:r>
          </w:p>
        </w:tc>
        <w:tc>
          <w:tcPr/>
          <w:p>
            <w:pPr>
              <w:pStyle w:val="Compact"/>
            </w:pPr>
            <w:r>
              <w:t xml:space="preserve">sleep_efficiency</w:t>
            </w:r>
          </w:p>
        </w:tc>
        <w:tc>
          <w:tcPr/>
          <w:p>
            <w:pPr>
              <w:pStyle w:val="Compact"/>
            </w:pPr>
            <w:r>
              <w:t xml:space="preserve">-0.090</w:t>
            </w:r>
          </w:p>
        </w:tc>
        <w:tc>
          <w:tcPr/>
          <w:p>
            <w:pPr>
              <w:pStyle w:val="Compact"/>
            </w:pPr>
            <w:r>
              <w:t xml:space="preserve">+0.005</w:t>
            </w:r>
          </w:p>
        </w:tc>
        <w:tc>
          <w:tcPr/>
          <w:p>
            <w:pPr>
              <w:pStyle w:val="Compact"/>
            </w:pPr>
            <w:r>
              <w:t xml:space="preserve">[+0.000, +0.008]</w:t>
            </w:r>
          </w:p>
        </w:tc>
      </w:tr>
      <w:tr>
        <w:tc>
          <w:tcPr/>
          <w:p>
            <w:pPr>
              <w:pStyle w:val="Compact"/>
            </w:pPr>
            <w:r>
              <w:t xml:space="preserve">aqi</w:t>
            </w:r>
          </w:p>
        </w:tc>
        <w:tc>
          <w:tcPr/>
          <w:p>
            <w:pPr>
              <w:pStyle w:val="Compact"/>
            </w:pPr>
            <w:r>
              <w:t xml:space="preserve">sleep_efficiency</w:t>
            </w:r>
          </w:p>
        </w:tc>
        <w:tc>
          <w:tcPr/>
          <w:p>
            <w:pPr>
              <w:pStyle w:val="Compact"/>
            </w:pPr>
            <w:r>
              <w:t xml:space="preserve">-0.020</w:t>
            </w:r>
          </w:p>
        </w:tc>
        <w:tc>
          <w:tcPr/>
          <w:p>
            <w:pPr>
              <w:pStyle w:val="Compact"/>
            </w:pPr>
            <w:r>
              <w:t xml:space="preserve">-0.002</w:t>
            </w:r>
          </w:p>
        </w:tc>
        <w:tc>
          <w:tcPr/>
          <w:p>
            <w:pPr>
              <w:pStyle w:val="Compact"/>
            </w:pPr>
            <w:r>
              <w:t xml:space="preserve">[-0.003, +0.000]</w:t>
            </w:r>
          </w:p>
        </w:tc>
      </w:tr>
      <w:tr>
        <w:tc>
          <w:tcPr/>
          <w:p>
            <w:pPr>
              <w:pStyle w:val="Compact"/>
            </w:pPr>
            <w:r>
              <w:t xml:space="preserve">active_minutes</w:t>
            </w:r>
          </w:p>
        </w:tc>
        <w:tc>
          <w:tcPr/>
          <w:p>
            <w:pPr>
              <w:pStyle w:val="Compact"/>
            </w:pPr>
            <w:r>
              <w:t xml:space="preserve">hrv_rmssd</w:t>
            </w:r>
          </w:p>
        </w:tc>
        <w:tc>
          <w:tcPr/>
          <w:p>
            <w:pPr>
              <w:pStyle w:val="Compact"/>
            </w:pPr>
            <w:r>
              <w:t xml:space="preserve">-0.019</w:t>
            </w:r>
          </w:p>
        </w:tc>
        <w:tc>
          <w:tcPr/>
          <w:p>
            <w:pPr>
              <w:pStyle w:val="Compact"/>
            </w:pPr>
            <w:r>
              <w:rPr>
                <w:b/>
                <w:bCs/>
              </w:rPr>
              <w:t xml:space="preserve">-0.497</w:t>
            </w:r>
          </w:p>
        </w:tc>
        <w:tc>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36"/>
    <w:bookmarkStart w:id="37"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37"/>
    <w:bookmarkStart w:id="38"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bookmarkEnd w:id="38"/>
    <w:bookmarkEnd w:id="39"/>
    <w:bookmarkStart w:id="43" w:name="discussion"/>
    <w:p>
      <w:pPr>
        <w:pStyle w:val="Heading2"/>
      </w:pPr>
      <w:r>
        <w:t xml:space="preserve">5. Discussion</w:t>
      </w:r>
    </w:p>
    <w:bookmarkStart w:id="40"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40"/>
    <w:bookmarkStart w:id="41"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41"/>
    <w:bookmarkStart w:id="42"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longitudinal-wearable corpus such as AppleWatch-MIMIC</w:t>
      </w:r>
      <w:r>
        <w:t xml:space="preserve"> </w:t>
      </w:r>
      <w:r>
        <w:t xml:space="preserve">(Mertes et al. 2022)</w:t>
      </w:r>
      <w:r>
        <w:t xml:space="preserve"> </w:t>
      </w:r>
      <w:r>
        <w:t xml:space="preserve">would provide the natural next test.</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2.9)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2.9).</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bookmarkEnd w:id="42"/>
    <w:bookmarkEnd w:id="43"/>
    <w:bookmarkStart w:id="44"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44"/>
    <w:bookmarkStart w:id="45" w:name="code-and-data-availability"/>
    <w:p>
      <w:pPr>
        <w:pStyle w:val="Heading2"/>
      </w:pPr>
      <w:r>
        <w:t xml:space="preserve">Code and data availability</w:t>
      </w:r>
    </w:p>
    <w:p>
      <w:pPr>
        <w:pStyle w:val="FirstParagraph"/>
      </w:pPr>
      <w:r>
        <w:t xml:space="preserve">Code: https://github.com/ceyhunolcan/biomedical-signal-forensics-lab, released under the MIT license. All synthetic data is generated by code from a fixed seed; no data is distributed separately. The WESAD dataset is publicly available from the UCI Machine Learning Repository</w:t>
      </w:r>
      <w:r>
        <w:t xml:space="preserve"> </w:t>
      </w:r>
      <w:r>
        <w:t xml:space="preserve">(Schmidt et al. 2018)</w:t>
      </w:r>
      <w:r>
        <w:t xml:space="preserve"> </w:t>
      </w:r>
      <w:r>
        <w:t xml:space="preserve">without restrictions.</w:t>
      </w:r>
    </w:p>
    <w:bookmarkEnd w:id="45"/>
    <w:bookmarkStart w:id="46"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46"/>
    <w:bookmarkStart w:id="47" w:name="funding"/>
    <w:p>
      <w:pPr>
        <w:pStyle w:val="Heading2"/>
      </w:pPr>
      <w:r>
        <w:t xml:space="preserve">Funding</w:t>
      </w:r>
    </w:p>
    <w:p>
      <w:pPr>
        <w:pStyle w:val="FirstParagraph"/>
      </w:pPr>
      <w:r>
        <w:t xml:space="preserve">No external funding supported this work.</w:t>
      </w:r>
    </w:p>
    <w:bookmarkEnd w:id="47"/>
    <w:bookmarkStart w:id="48"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48"/>
    <w:bookmarkStart w:id="49" w:name="competing-interests"/>
    <w:p>
      <w:pPr>
        <w:pStyle w:val="Heading2"/>
      </w:pPr>
      <w:r>
        <w:t xml:space="preserve">Competing interests</w:t>
      </w:r>
    </w:p>
    <w:p>
      <w:pPr>
        <w:pStyle w:val="FirstParagraph"/>
      </w:pPr>
      <w:r>
        <w:t xml:space="preserve">The author declares no competing interests.</w:t>
      </w:r>
    </w:p>
    <w:bookmarkEnd w:id="49"/>
    <w:bookmarkStart w:id="50"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50"/>
    <w:bookmarkStart w:id="102" w:name="supplementary-materials"/>
    <w:p>
      <w:pPr>
        <w:pStyle w:val="Heading2"/>
      </w:pPr>
      <w:r>
        <w:t xml:space="preserve">Supplementary materials</w:t>
      </w:r>
    </w:p>
    <w:p>
      <w:pPr>
        <w:pStyle w:val="Compact"/>
        <w:numPr>
          <w:ilvl w:val="0"/>
          <w:numId w:val="1006"/>
        </w:numPr>
      </w:pPr>
      <w:r>
        <w:rPr>
          <w:rStyle w:val="VerbatimChar"/>
        </w:rPr>
        <w:t xml:space="preserve">paper/methods.md</w:t>
      </w:r>
      <w:r>
        <w:t xml:space="preserve">: extended methods.</w:t>
      </w:r>
    </w:p>
    <w:p>
      <w:pPr>
        <w:pStyle w:val="Compact"/>
        <w:numPr>
          <w:ilvl w:val="0"/>
          <w:numId w:val="1006"/>
        </w:numPr>
      </w:pPr>
      <w:r>
        <w:rPr>
          <w:rStyle w:val="VerbatimChar"/>
        </w:rPr>
        <w:t xml:space="preserve">paper/data_card.md</w:t>
      </w:r>
      <w:r>
        <w:t xml:space="preserve">: synthetic cohort data card.</w:t>
      </w:r>
    </w:p>
    <w:p>
      <w:pPr>
        <w:pStyle w:val="Compact"/>
        <w:numPr>
          <w:ilvl w:val="0"/>
          <w:numId w:val="1006"/>
        </w:numPr>
      </w:pPr>
      <w:r>
        <w:rPr>
          <w:rStyle w:val="VerbatimChar"/>
        </w:rPr>
        <w:t xml:space="preserve">paper/model_card.md</w:t>
      </w:r>
      <w:r>
        <w:t xml:space="preserve">: model card for the bundled baselines and extension-point models.</w:t>
      </w:r>
    </w:p>
    <w:p>
      <w:pPr>
        <w:pStyle w:val="Compact"/>
        <w:numPr>
          <w:ilvl w:val="0"/>
          <w:numId w:val="1006"/>
        </w:numPr>
      </w:pPr>
      <w:r>
        <w:rPr>
          <w:rStyle w:val="VerbatimChar"/>
        </w:rPr>
        <w:t xml:space="preserve">paper/ethics.md</w:t>
      </w:r>
      <w:r>
        <w:t xml:space="preserve">: ethics and downstream-user recommendations.</w:t>
      </w:r>
    </w:p>
    <w:p>
      <w:pPr>
        <w:pStyle w:val="Compact"/>
        <w:numPr>
          <w:ilvl w:val="0"/>
          <w:numId w:val="1006"/>
        </w:numPr>
      </w:pPr>
      <w:r>
        <w:rPr>
          <w:rStyle w:val="VerbatimChar"/>
        </w:rPr>
        <w:t xml:space="preserve">paper/limitations.md</w:t>
      </w:r>
      <w:r>
        <w:t xml:space="preserve">: extended limitations.</w:t>
      </w:r>
    </w:p>
    <w:p>
      <w:pPr>
        <w:pStyle w:val="Compact"/>
        <w:numPr>
          <w:ilvl w:val="0"/>
          <w:numId w:val="1006"/>
        </w:numPr>
      </w:pPr>
      <w:r>
        <w:rPr>
          <w:rStyle w:val="VerbatimChar"/>
        </w:rPr>
        <w:t xml:space="preserve">paper/real_data_pilot.md</w:t>
      </w:r>
      <w:r>
        <w:t xml:space="preserve">: extended WESAD pilot writeup with per-subject breakdowns.</w:t>
      </w:r>
    </w:p>
    <w:p>
      <w:pPr>
        <w:pStyle w:val="Compact"/>
        <w:numPr>
          <w:ilvl w:val="0"/>
          <w:numId w:val="1006"/>
        </w:numPr>
      </w:pPr>
      <w:r>
        <w:rPr>
          <w:rStyle w:val="VerbatimChar"/>
        </w:rPr>
        <w:t xml:space="preserve">paper/results.md</w:t>
      </w:r>
      <w:r>
        <w:t xml:space="preserve">: consolidated synthetic-cohort results with every CSV reference.</w:t>
      </w:r>
    </w:p>
    <w:p>
      <w:pPr>
        <w:pStyle w:val="Compact"/>
        <w:numPr>
          <w:ilvl w:val="0"/>
          <w:numId w:val="1006"/>
        </w:numPr>
      </w:pPr>
      <w:r>
        <w:rPr>
          <w:rStyle w:val="VerbatimChar"/>
        </w:rPr>
        <w:t xml:space="preserve">paper/reviewer_response_simulation.md</w:t>
      </w:r>
      <w:r>
        <w:t xml:space="preserve">: anticipated reviewer questions and responses.</w:t>
      </w:r>
    </w:p>
    <w:p>
      <w:pPr>
        <w:pStyle w:val="Compact"/>
        <w:numPr>
          <w:ilvl w:val="0"/>
          <w:numId w:val="1006"/>
        </w:numPr>
      </w:pPr>
      <w:r>
        <w:rPr>
          <w:rStyle w:val="VerbatimChar"/>
        </w:rPr>
        <w:t xml:space="preserve">paper/figures_and_tables.md</w:t>
      </w:r>
      <w:r>
        <w:t xml:space="preserve">: canonical index of every figure and table with ready-to-use captions.</w:t>
      </w:r>
    </w:p>
    <w:p>
      <w:pPr>
        <w:pStyle w:val="Compact"/>
        <w:numPr>
          <w:ilvl w:val="0"/>
          <w:numId w:val="1006"/>
        </w:numPr>
      </w:pPr>
      <w:r>
        <w:rPr>
          <w:rStyle w:val="VerbatimChar"/>
          <w:b/>
          <w:bCs/>
        </w:rPr>
        <w:t xml:space="preserve">paper/supplement_extended_analyses.md</w:t>
      </w:r>
      <w:r>
        <w:rPr>
          <w:b/>
          <w:bCs/>
        </w:rPr>
        <w:t xml:space="preserve">: reviewer-grade extended analyses (positivity check, E-values, multi-threshold recalibration, RR-cleaning robustness, per-subject real-data reliability, Cohen’s d alongside Cliff’s δ).</w:t>
      </w:r>
    </w:p>
    <w:p>
      <w:pPr>
        <w:pStyle w:val="Compact"/>
        <w:numPr>
          <w:ilvl w:val="0"/>
          <w:numId w:val="1006"/>
        </w:numPr>
      </w:pPr>
      <w:r>
        <w:rPr>
          <w:rStyle w:val="VerbatimChar"/>
        </w:rPr>
        <w:t xml:space="preserve">docs/signal_quality_taxonomy.md</w:t>
      </w:r>
      <w:r>
        <w:t xml:space="preserve">: artifact-finding taxonomy and severity conventions.</w:t>
      </w:r>
    </w:p>
    <w:p>
      <w:pPr>
        <w:pStyle w:val="Compact"/>
        <w:numPr>
          <w:ilvl w:val="0"/>
          <w:numId w:val="1006"/>
        </w:numPr>
      </w:pPr>
      <w:r>
        <w:rPr>
          <w:rStyle w:val="VerbatimChar"/>
        </w:rPr>
        <w:t xml:space="preserve">docs/bug_audit_round{1..5}.md</w:t>
      </w:r>
      <w:r>
        <w:t xml:space="preserve">: development-time bug audit logs.</w:t>
      </w:r>
    </w:p>
    <w:p>
      <w:pPr>
        <w:pStyle w:val="Compact"/>
        <w:numPr>
          <w:ilvl w:val="0"/>
          <w:numId w:val="1006"/>
        </w:numPr>
      </w:pPr>
      <w:r>
        <w:rPr>
          <w:rStyle w:val="VerbatimChar"/>
        </w:rPr>
        <w:t xml:space="preserve">CHANGELOG.md</w:t>
      </w:r>
      <w:r>
        <w:t xml:space="preserve">: full release history.</w:t>
      </w:r>
    </w:p>
    <w:bookmarkStart w:id="101" w:name="refs"/>
    <w:bookmarkStart w:id="52"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51">
        <w:r>
          <w:rPr>
            <w:rStyle w:val="Hyperlink"/>
          </w:rPr>
          <w:t xml:space="preserve">https://doi.org/10.1088/0967-3334/28/3/R01</w:t>
        </w:r>
      </w:hyperlink>
      <w:r>
        <w:t xml:space="preserve">.</w:t>
      </w:r>
    </w:p>
    <w:bookmarkEnd w:id="52"/>
    <w:bookmarkStart w:id="54"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53">
        <w:r>
          <w:rPr>
            <w:rStyle w:val="Hyperlink"/>
          </w:rPr>
          <w:t xml:space="preserve">https://doi.org/10.1038/s41746-020-0226-6</w:t>
        </w:r>
      </w:hyperlink>
      <w:r>
        <w:t xml:space="preserve">.</w:t>
      </w:r>
    </w:p>
    <w:bookmarkEnd w:id="54"/>
    <w:bookmarkStart w:id="56"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55">
        <w:r>
          <w:rPr>
            <w:rStyle w:val="Hyperlink"/>
          </w:rPr>
          <w:t xml:space="preserve">https://doi.org/10.1016/S0140-6736(86)90837-8</w:t>
        </w:r>
      </w:hyperlink>
      <w:r>
        <w:t xml:space="preserve">.</w:t>
      </w:r>
    </w:p>
    <w:bookmarkEnd w:id="56"/>
    <w:bookmarkStart w:id="58"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57">
        <w:r>
          <w:rPr>
            <w:rStyle w:val="Hyperlink"/>
          </w:rPr>
          <w:t xml:space="preserve">https://doi.org/10.1136/bmj.h5527</w:t>
        </w:r>
      </w:hyperlink>
      <w:r>
        <w:t xml:space="preserve">.</w:t>
      </w:r>
    </w:p>
    <w:bookmarkEnd w:id="58"/>
    <w:bookmarkStart w:id="60"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59">
        <w:r>
          <w:rPr>
            <w:rStyle w:val="Hyperlink"/>
          </w:rPr>
          <w:t xml:space="preserve">https://doi.org/10.1037/0033-2909.114.3.494</w:t>
        </w:r>
      </w:hyperlink>
      <w:r>
        <w:t xml:space="preserve">.</w:t>
      </w:r>
    </w:p>
    <w:bookmarkEnd w:id="60"/>
    <w:bookmarkStart w:id="62"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61">
        <w:r>
          <w:rPr>
            <w:rStyle w:val="Hyperlink"/>
          </w:rPr>
          <w:t xml:space="preserve">https://doi.org/10.1088/0967-3334/33/9/1419</w:t>
        </w:r>
      </w:hyperlink>
      <w:r>
        <w:t xml:space="preserve">.</w:t>
      </w:r>
    </w:p>
    <w:bookmarkEnd w:id="62"/>
    <w:bookmarkStart w:id="63"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63"/>
    <w:bookmarkStart w:id="65"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64">
        <w:r>
          <w:rPr>
            <w:rStyle w:val="Hyperlink"/>
          </w:rPr>
          <w:t xml:space="preserve">https://doi.org/10.1136/bmj-2023-078378</w:t>
        </w:r>
      </w:hyperlink>
      <w:r>
        <w:t xml:space="preserve">.</w:t>
      </w:r>
    </w:p>
    <w:bookmarkEnd w:id="65"/>
    <w:bookmarkStart w:id="66"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66"/>
    <w:bookmarkStart w:id="68"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67">
        <w:r>
          <w:rPr>
            <w:rStyle w:val="Hyperlink"/>
          </w:rPr>
          <w:t xml:space="preserve">https://doi.org/10.3390/bioengineering3040021</w:t>
        </w:r>
      </w:hyperlink>
      <w:r>
        <w:t xml:space="preserve">.</w:t>
      </w:r>
    </w:p>
    <w:bookmarkEnd w:id="68"/>
    <w:bookmarkStart w:id="70"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69">
        <w:r>
          <w:rPr>
            <w:rStyle w:val="Hyperlink"/>
          </w:rPr>
          <w:t xml:space="preserve">https://doi.org/10.1016/j.cmpb.2021.106461</w:t>
        </w:r>
      </w:hyperlink>
      <w:r>
        <w:t xml:space="preserve">.</w:t>
      </w:r>
    </w:p>
    <w:bookmarkEnd w:id="70"/>
    <w:bookmarkStart w:id="72"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71">
        <w:r>
          <w:rPr>
            <w:rStyle w:val="Hyperlink"/>
          </w:rPr>
          <w:t xml:space="preserve">https://doi.org/10.1038/s41591-020-1034-x</w:t>
        </w:r>
      </w:hyperlink>
      <w:r>
        <w:t xml:space="preserve">.</w:t>
      </w:r>
    </w:p>
    <w:bookmarkEnd w:id="72"/>
    <w:bookmarkStart w:id="74"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73">
        <w:r>
          <w:rPr>
            <w:rStyle w:val="Hyperlink"/>
          </w:rPr>
          <w:t xml:space="preserve">https://doi.org/10.1093/oxfordjournals.eurheartj.a014868</w:t>
        </w:r>
      </w:hyperlink>
      <w:r>
        <w:t xml:space="preserve">.</w:t>
      </w:r>
    </w:p>
    <w:bookmarkEnd w:id="74"/>
    <w:bookmarkStart w:id="76"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75">
        <w:r>
          <w:rPr>
            <w:rStyle w:val="Hyperlink"/>
          </w:rPr>
          <w:t xml:space="preserve">https://doi.org/10.1016/B978-0-12-823374-0.00015-3</w:t>
        </w:r>
      </w:hyperlink>
      <w:r>
        <w:t xml:space="preserve">.</w:t>
      </w:r>
    </w:p>
    <w:bookmarkEnd w:id="76"/>
    <w:bookmarkStart w:id="78"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77">
        <w:r>
          <w:rPr>
            <w:rStyle w:val="Hyperlink"/>
          </w:rPr>
          <w:t xml:space="preserve">https://doi.org/10.3389/fpsyt.2022.1003133</w:t>
        </w:r>
      </w:hyperlink>
      <w:r>
        <w:t xml:space="preserve">.</w:t>
      </w:r>
    </w:p>
    <w:bookmarkEnd w:id="78"/>
    <w:bookmarkStart w:id="80"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79">
        <w:r>
          <w:rPr>
            <w:rStyle w:val="Hyperlink"/>
          </w:rPr>
          <w:t xml:space="preserve">https://doi.org/10.1109/JBHI.2014.2338351</w:t>
        </w:r>
      </w:hyperlink>
      <w:r>
        <w:t xml:space="preserve">.</w:t>
      </w:r>
    </w:p>
    <w:bookmarkEnd w:id="80"/>
    <w:bookmarkStart w:id="82"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81">
        <w:r>
          <w:rPr>
            <w:rStyle w:val="Hyperlink"/>
          </w:rPr>
          <w:t xml:space="preserve">https://doi.org/10.1159/000516860</w:t>
        </w:r>
      </w:hyperlink>
      <w:r>
        <w:t xml:space="preserve">.</w:t>
      </w:r>
    </w:p>
    <w:bookmarkEnd w:id="82"/>
    <w:bookmarkStart w:id="84"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83">
        <w:r>
          <w:rPr>
            <w:rStyle w:val="Hyperlink"/>
          </w:rPr>
          <w:t xml:space="preserve">https://doi.org/10.3390/s19143079</w:t>
        </w:r>
      </w:hyperlink>
      <w:r>
        <w:t xml:space="preserve">.</w:t>
      </w:r>
    </w:p>
    <w:bookmarkEnd w:id="84"/>
    <w:bookmarkStart w:id="86"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85">
        <w:r>
          <w:rPr>
            <w:rStyle w:val="Hyperlink"/>
          </w:rPr>
          <w:t xml:space="preserve">https://doi.org/10.1080/01621459.1994.10476818</w:t>
        </w:r>
      </w:hyperlink>
      <w:r>
        <w:t xml:space="preserve">.</w:t>
      </w:r>
    </w:p>
    <w:bookmarkEnd w:id="86"/>
    <w:bookmarkStart w:id="88"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87">
        <w:r>
          <w:rPr>
            <w:rStyle w:val="Hyperlink"/>
          </w:rPr>
          <w:t xml:space="preserve">https://doi.org/10.1016/j.ijcard.2012.03.119</w:t>
        </w:r>
      </w:hyperlink>
      <w:r>
        <w:t xml:space="preserve">.</w:t>
      </w:r>
    </w:p>
    <w:bookmarkEnd w:id="88"/>
    <w:bookmarkStart w:id="90"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89">
        <w:r>
          <w:rPr>
            <w:rStyle w:val="Hyperlink"/>
          </w:rPr>
          <w:t xml:space="preserve">https://doi.org/10.1145/3242969.3242985</w:t>
        </w:r>
      </w:hyperlink>
      <w:r>
        <w:t xml:space="preserve">.</w:t>
      </w:r>
    </w:p>
    <w:bookmarkEnd w:id="90"/>
    <w:bookmarkStart w:id="92"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91">
        <w:r>
          <w:rPr>
            <w:rStyle w:val="Hyperlink"/>
          </w:rPr>
          <w:t xml:space="preserve">https://doi.org/10.3390/jpm7020003</w:t>
        </w:r>
      </w:hyperlink>
      <w:r>
        <w:t xml:space="preserve">.</w:t>
      </w:r>
    </w:p>
    <w:bookmarkEnd w:id="92"/>
    <w:bookmarkStart w:id="94"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93">
        <w:r>
          <w:rPr>
            <w:rStyle w:val="Hyperlink"/>
          </w:rPr>
          <w:t xml:space="preserve">https://doi.org/10.1037/0033-2909.86.2.420</w:t>
        </w:r>
      </w:hyperlink>
      <w:r>
        <w:t xml:space="preserve">.</w:t>
      </w:r>
    </w:p>
    <w:bookmarkEnd w:id="94"/>
    <w:bookmarkStart w:id="96"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95">
        <w:r>
          <w:rPr>
            <w:rStyle w:val="Hyperlink"/>
          </w:rPr>
          <w:t xml:space="preserve">https://doi.org/10.1088/0967-3334/32/3/008</w:t>
        </w:r>
      </w:hyperlink>
      <w:r>
        <w:t xml:space="preserve">.</w:t>
      </w:r>
    </w:p>
    <w:bookmarkEnd w:id="96"/>
    <w:bookmarkStart w:id="98"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97">
        <w:r>
          <w:rPr>
            <w:rStyle w:val="Hyperlink"/>
          </w:rPr>
          <w:t xml:space="preserve">https://doi.org/10.1038/s41591-022-01772-9</w:t>
        </w:r>
      </w:hyperlink>
      <w:r>
        <w:t xml:space="preserve">.</w:t>
      </w:r>
    </w:p>
    <w:bookmarkEnd w:id="98"/>
    <w:bookmarkStart w:id="100"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99">
        <w:r>
          <w:rPr>
            <w:rStyle w:val="Hyperlink"/>
          </w:rPr>
          <w:t xml:space="preserve">https://doi.org/10.2307/3001968</w:t>
        </w:r>
      </w:hyperlink>
      <w:r>
        <w:t xml:space="preserve">.</w:t>
      </w:r>
    </w:p>
    <w:bookmarkEnd w:id="100"/>
    <w:bookmarkEnd w:id="101"/>
    <w:bookmarkEnd w:id="102"/>
    <w:bookmarkEnd w:id="103"/>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doi.org/10.1016/B978-0-12-823374-0.00015-3" TargetMode="External" /><Relationship Type="http://schemas.openxmlformats.org/officeDocument/2006/relationships/hyperlink" Id="rId55" Target="https://doi.org/10.1016/S0140-6736(86)90837-8" TargetMode="External" /><Relationship Type="http://schemas.openxmlformats.org/officeDocument/2006/relationships/hyperlink" Id="rId69" Target="https://doi.org/10.1016/j.cmpb.2021.106461" TargetMode="External" /><Relationship Type="http://schemas.openxmlformats.org/officeDocument/2006/relationships/hyperlink" Id="rId87" Target="https://doi.org/10.1016/j.ijcard.2012.03.119" TargetMode="External" /><Relationship Type="http://schemas.openxmlformats.org/officeDocument/2006/relationships/hyperlink" Id="rId59" Target="https://doi.org/10.1037/0033-2909.114.3.494" TargetMode="External" /><Relationship Type="http://schemas.openxmlformats.org/officeDocument/2006/relationships/hyperlink" Id="rId93" Target="https://doi.org/10.1037/0033-2909.86.2.420" TargetMode="External" /><Relationship Type="http://schemas.openxmlformats.org/officeDocument/2006/relationships/hyperlink" Id="rId71" Target="https://doi.org/10.1038/s41591-020-1034-x" TargetMode="External" /><Relationship Type="http://schemas.openxmlformats.org/officeDocument/2006/relationships/hyperlink" Id="rId97" Target="https://doi.org/10.1038/s41591-022-01772-9" TargetMode="External" /><Relationship Type="http://schemas.openxmlformats.org/officeDocument/2006/relationships/hyperlink" Id="rId53" Target="https://doi.org/10.1038/s41746-020-0226-6" TargetMode="External" /><Relationship Type="http://schemas.openxmlformats.org/officeDocument/2006/relationships/hyperlink" Id="rId85" Target="https://doi.org/10.1080/01621459.1994.10476818" TargetMode="External" /><Relationship Type="http://schemas.openxmlformats.org/officeDocument/2006/relationships/hyperlink" Id="rId51" Target="https://doi.org/10.1088/0967-3334/28/3/R01" TargetMode="External" /><Relationship Type="http://schemas.openxmlformats.org/officeDocument/2006/relationships/hyperlink" Id="rId95" Target="https://doi.org/10.1088/0967-3334/32/3/008" TargetMode="External" /><Relationship Type="http://schemas.openxmlformats.org/officeDocument/2006/relationships/hyperlink" Id="rId61" Target="https://doi.org/10.1088/0967-3334/33/9/1419" TargetMode="External" /><Relationship Type="http://schemas.openxmlformats.org/officeDocument/2006/relationships/hyperlink" Id="rId73" Target="https://doi.org/10.1093/oxfordjournals.eurheartj.a014868" TargetMode="External" /><Relationship Type="http://schemas.openxmlformats.org/officeDocument/2006/relationships/hyperlink" Id="rId79" Target="https://doi.org/10.1109/JBHI.2014.2338351" TargetMode="External" /><Relationship Type="http://schemas.openxmlformats.org/officeDocument/2006/relationships/hyperlink" Id="rId64" Target="https://doi.org/10.1136/bmj-2023-078378" TargetMode="External" /><Relationship Type="http://schemas.openxmlformats.org/officeDocument/2006/relationships/hyperlink" Id="rId57" Target="https://doi.org/10.1136/bmj.h5527" TargetMode="External" /><Relationship Type="http://schemas.openxmlformats.org/officeDocument/2006/relationships/hyperlink" Id="rId89" Target="https://doi.org/10.1145/3242969.3242985" TargetMode="External" /><Relationship Type="http://schemas.openxmlformats.org/officeDocument/2006/relationships/hyperlink" Id="rId81" Target="https://doi.org/10.1159/000516860" TargetMode="External" /><Relationship Type="http://schemas.openxmlformats.org/officeDocument/2006/relationships/hyperlink" Id="rId99" Target="https://doi.org/10.2307/3001968" TargetMode="External" /><Relationship Type="http://schemas.openxmlformats.org/officeDocument/2006/relationships/hyperlink" Id="rId77" Target="https://doi.org/10.3389/fpsyt.2022.1003133" TargetMode="External" /><Relationship Type="http://schemas.openxmlformats.org/officeDocument/2006/relationships/hyperlink" Id="rId67" Target="https://doi.org/10.3390/bioengineering3040021" TargetMode="External" /><Relationship Type="http://schemas.openxmlformats.org/officeDocument/2006/relationships/hyperlink" Id="rId91" Target="https://doi.org/10.3390/jpm7020003" TargetMode="External" /><Relationship Type="http://schemas.openxmlformats.org/officeDocument/2006/relationships/hyperlink" Id="rId83"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16/B978-0-12-823374-0.00015-3" TargetMode="External" /><Relationship Type="http://schemas.openxmlformats.org/officeDocument/2006/relationships/hyperlink" Id="rId55" Target="https://doi.org/10.1016/S0140-6736(86)90837-8" TargetMode="External" /><Relationship Type="http://schemas.openxmlformats.org/officeDocument/2006/relationships/hyperlink" Id="rId69" Target="https://doi.org/10.1016/j.cmpb.2021.106461" TargetMode="External" /><Relationship Type="http://schemas.openxmlformats.org/officeDocument/2006/relationships/hyperlink" Id="rId87" Target="https://doi.org/10.1016/j.ijcard.2012.03.119" TargetMode="External" /><Relationship Type="http://schemas.openxmlformats.org/officeDocument/2006/relationships/hyperlink" Id="rId59" Target="https://doi.org/10.1037/0033-2909.114.3.494" TargetMode="External" /><Relationship Type="http://schemas.openxmlformats.org/officeDocument/2006/relationships/hyperlink" Id="rId93" Target="https://doi.org/10.1037/0033-2909.86.2.420" TargetMode="External" /><Relationship Type="http://schemas.openxmlformats.org/officeDocument/2006/relationships/hyperlink" Id="rId71" Target="https://doi.org/10.1038/s41591-020-1034-x" TargetMode="External" /><Relationship Type="http://schemas.openxmlformats.org/officeDocument/2006/relationships/hyperlink" Id="rId97" Target="https://doi.org/10.1038/s41591-022-01772-9" TargetMode="External" /><Relationship Type="http://schemas.openxmlformats.org/officeDocument/2006/relationships/hyperlink" Id="rId53" Target="https://doi.org/10.1038/s41746-020-0226-6" TargetMode="External" /><Relationship Type="http://schemas.openxmlformats.org/officeDocument/2006/relationships/hyperlink" Id="rId85" Target="https://doi.org/10.1080/01621459.1994.10476818" TargetMode="External" /><Relationship Type="http://schemas.openxmlformats.org/officeDocument/2006/relationships/hyperlink" Id="rId51" Target="https://doi.org/10.1088/0967-3334/28/3/R01" TargetMode="External" /><Relationship Type="http://schemas.openxmlformats.org/officeDocument/2006/relationships/hyperlink" Id="rId95" Target="https://doi.org/10.1088/0967-3334/32/3/008" TargetMode="External" /><Relationship Type="http://schemas.openxmlformats.org/officeDocument/2006/relationships/hyperlink" Id="rId61" Target="https://doi.org/10.1088/0967-3334/33/9/1419" TargetMode="External" /><Relationship Type="http://schemas.openxmlformats.org/officeDocument/2006/relationships/hyperlink" Id="rId73" Target="https://doi.org/10.1093/oxfordjournals.eurheartj.a014868" TargetMode="External" /><Relationship Type="http://schemas.openxmlformats.org/officeDocument/2006/relationships/hyperlink" Id="rId79" Target="https://doi.org/10.1109/JBHI.2014.2338351" TargetMode="External" /><Relationship Type="http://schemas.openxmlformats.org/officeDocument/2006/relationships/hyperlink" Id="rId64" Target="https://doi.org/10.1136/bmj-2023-078378" TargetMode="External" /><Relationship Type="http://schemas.openxmlformats.org/officeDocument/2006/relationships/hyperlink" Id="rId57" Target="https://doi.org/10.1136/bmj.h5527" TargetMode="External" /><Relationship Type="http://schemas.openxmlformats.org/officeDocument/2006/relationships/hyperlink" Id="rId89" Target="https://doi.org/10.1145/3242969.3242985" TargetMode="External" /><Relationship Type="http://schemas.openxmlformats.org/officeDocument/2006/relationships/hyperlink" Id="rId81" Target="https://doi.org/10.1159/000516860" TargetMode="External" /><Relationship Type="http://schemas.openxmlformats.org/officeDocument/2006/relationships/hyperlink" Id="rId99" Target="https://doi.org/10.2307/3001968" TargetMode="External" /><Relationship Type="http://schemas.openxmlformats.org/officeDocument/2006/relationships/hyperlink" Id="rId77" Target="https://doi.org/10.3389/fpsyt.2022.1003133" TargetMode="External" /><Relationship Type="http://schemas.openxmlformats.org/officeDocument/2006/relationships/hyperlink" Id="rId67" Target="https://doi.org/10.3390/bioengineering3040021" TargetMode="External" /><Relationship Type="http://schemas.openxmlformats.org/officeDocument/2006/relationships/hyperlink" Id="rId91" Target="https://doi.org/10.3390/jpm7020003" TargetMode="External" /><Relationship Type="http://schemas.openxmlformats.org/officeDocument/2006/relationships/hyperlink" Id="rId83"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2026-05-25T00:01:07Z</dcterms:created>
  <dcterms:modified xsi:type="dcterms:W3CDTF">2026-05-25T00:01:07Z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paper/paper.bib</vt:lpwstr>
  </property>
</Properties>
</file>