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reject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p>
      <w:pPr>
        <w:pStyle w:val="BodyText"/>
      </w:pPr>
      <w:r>
        <w:rPr>
          <w:b/>
          <w:bCs/>
        </w:rPr>
        <w:t xml:space="preserve">Single-author methodology study.</w:t>
      </w:r>
      <w:r>
        <w:t xml:space="preserve"> </w:t>
      </w:r>
      <w:r>
        <w:t xml:space="preserve">This is a single-author methodology paper with no clinical or biomedical-engineering co-authors. The recommendations in Section 6 are aimed at the wearable-AI research community (multi-baseline SQI auditing as standard supplementary material in wearable-AI publications) and do not constitute clinical guidance. Translation of any cross-method-audit recommendation into patient-facing clinical practice should include co-authorship by clinical specialists with relevant device experience; the synthetic-cohort validation in Section 4 and the WESAD/PPG-DaLiA empirical study in Section 3 are methodological contributions rather than clinical findings.</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2026-05-25T00:10:30Z</dcterms:created>
  <dcterms:modified xsi:type="dcterms:W3CDTF">2026-05-25T00:10:30Z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