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Materials: Biomedical Signal Forensics for Wearable-Derived Digital Biomarkers</w:t>
      </w:r>
    </w:p>
    <w:p>
      <w:pPr>
        <w:pStyle w:val="Author"/>
      </w:pPr>
      <w:r>
        <w:t xml:space="preserve">Ceyhun Olcan</w:t>
      </w:r>
    </w:p>
    <w:bookmarkStart w:id="33" w:name="supplementary-materials"/>
    <w:p>
      <w:pPr>
        <w:pStyle w:val="Heading1"/>
      </w:pPr>
      <w:r>
        <w:t xml:space="preserve">Supplementary Materials</w:t>
      </w:r>
    </w:p>
    <w:p>
      <w:pPr>
        <w:pStyle w:val="FirstParagraph"/>
      </w:pPr>
      <w:r>
        <w:t xml:space="preserve">This supplement contains extended methodological details, sensitivity analyses, and per-subject result tables referenced in the main manuscript.</w:t>
      </w:r>
    </w:p>
    <w:bookmarkStart w:id="9" w:name="Xb1c8b006c59b640270d2781a2ce6edf40af4ad0"/>
    <w:p>
      <w:pPr>
        <w:pStyle w:val="Heading2"/>
      </w:pPr>
      <w:r>
        <w:t xml:space="preserve">S1. ICC(2,1) days-as-raters vs bootstrap week-pair Pearson r</w:t>
      </w:r>
    </w:p>
    <w:p>
      <w:pPr>
        <w:pStyle w:val="FirstParagraph"/>
      </w:pPr>
      <w:r>
        <w:t xml:space="preserve">Comparison of ICC and bootstrap week-pair r on the synthetic cohort:</w:t>
      </w:r>
    </w:p>
    <w:p>
      <w:pPr>
        <w:pStyle w:val="TableCaption"/>
      </w:pPr>
      <w:r>
        <w:t xml:space="preserve">Table S1. ICC(2,1) days-as-raters vs bootstrap week-pair Pearson r on the synthetic cohort.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S1. ICC(2,1) days-as-raters vs bootstrap week-pair Pearson r on the synthetic cohor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Metric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ICC(2,1)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Week-pair r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95% CI (r)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resting_hr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+0.869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+0.977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[+0.973, +0.980]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hrv_rmssd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+0.779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+0.954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[+0.945, +0.961]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sleep_efficiency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+0.006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+0.023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[-0.018, +0.062]</w:t>
            </w:r>
          </w:p>
        </w:tc>
      </w:tr>
      <w:tr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sleep_duration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-0.003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+0.002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[-0.041, +0.038]</w:t>
            </w:r>
          </w:p>
        </w:tc>
      </w:tr>
    </w:tbl>
    <w:p>
      <w:pPr>
        <w:pStyle w:val="BodyText"/>
      </w:pPr>
      <w:r>
        <w:t xml:space="preserve">The two methods agree on metric ranking. The ICC is uniformly more conservative because it treats within-week noise as rater disagreement. Both methods correctly identify sleep efficiency and duration as essentially unreliable.</w:t>
      </w:r>
    </w:p>
    <w:bookmarkEnd w:id="9"/>
    <w:bookmarkStart w:id="10" w:name="X4d58aca59d16f60f127a8f56f73d74a87cfe2e3"/>
    <w:p>
      <w:pPr>
        <w:pStyle w:val="Heading2"/>
      </w:pPr>
      <w:r>
        <w:t xml:space="preserve">S2. Positivity and E-value sensitivity for AIPW estimates</w:t>
      </w:r>
    </w:p>
    <w:p>
      <w:pPr>
        <w:pStyle w:val="FirstParagraph"/>
      </w:pPr>
      <w:r>
        <w:t xml:space="preserve">The heat_index treatments have a positivity violation on the synthetic cohort: estimated propensity scores span 10⁻²⁴ to 1.0, with 93% of observations outside the conventional [0.05, 0.95] clip, and Kish’s effective sample size drops to 63% of nominal. The heat_index AIPW point estimates are therefore positivity-limited and should be treated as illustrative of</w:t>
      </w:r>
      <w:r>
        <w:t xml:space="preserve"> </w:t>
      </w:r>
      <w:r>
        <w:t xml:space="preserve">“screening can invert under adjustment”</w:t>
      </w:r>
      <w:r>
        <w:t xml:space="preserve"> </w:t>
      </w:r>
      <w:r>
        <w:t xml:space="preserve">rather than as quantitative causal claims.</w:t>
      </w:r>
    </w:p>
    <w:p>
      <w:pPr>
        <w:pStyle w:val="BodyText"/>
      </w:pPr>
      <w:r>
        <w:t xml:space="preserve">The active_minutes treatment has clean positivity (Kish ESS 98.5%) and is the quantitatively defensible AIPW result. The E-value</w:t>
      </w:r>
      <w:r>
        <w:t xml:space="preserve"> </w:t>
      </w:r>
      <w:r>
        <w:t xml:space="preserve">(VanderWeele and Ding 2017)</w:t>
      </w:r>
      <w:r>
        <w:t xml:space="preserve"> </w:t>
      </w:r>
      <w:r>
        <w:t xml:space="preserve">for the active_minutes finding is 2.52 (point) and 1.52 (CI bound), meaning an unmeasured confounder would need a risk-ratio strength of at least 1.52 with both treatment and outcome (after measured-covariate adjustment) to shift the CI lower bound to the null. The E-value indicates modest robustness.</w:t>
      </w:r>
    </w:p>
    <w:bookmarkEnd w:id="10"/>
    <w:bookmarkStart w:id="11" w:name="s3.-cross-cohort-parameter-sweep-details"/>
    <w:p>
      <w:pPr>
        <w:pStyle w:val="Heading2"/>
      </w:pPr>
      <w:r>
        <w:t xml:space="preserve">S3. Cross-cohort parameter-sweep details</w:t>
      </w:r>
    </w:p>
    <w:p>
      <w:pPr>
        <w:pStyle w:val="FirstParagraph"/>
      </w:pPr>
      <w:r>
        <w:t xml:space="preserve">Five synthetic regimes, eight qualitative predictions:</w:t>
      </w:r>
    </w:p>
    <w:p>
      <w:pPr>
        <w:pStyle w:val="TableCaption"/>
      </w:pPr>
      <w:r>
        <w:t xml:space="preserve">Table S2. Five-regime cross-cohort parameter-sweep 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2. Five-regime cross-cohort parameter-sweep result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Regime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heat→HRV r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Q4-Q1 SQI gap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device-B empirical (bpm)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HRV test-retest r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default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-0.075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-7.54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+3.20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+0.955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strong_environment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-0.190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-20.36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+3.20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+0.921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inverted_skin_tone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-0.075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+9.34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+3.20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+0.955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severe_device_bias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-0.075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-7.54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+7.40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+0.955</w:t>
            </w:r>
          </w:p>
        </w:tc>
      </w:tr>
      <w:tr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clean_world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+0.007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+1.07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-0.60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+0.959</w:t>
            </w:r>
          </w:p>
        </w:tc>
      </w:tr>
    </w:tbl>
    <w:p>
      <w:pPr>
        <w:pStyle w:val="BodyText"/>
      </w:pPr>
      <w:r>
        <w:t xml:space="preserve">CSVs:</w:t>
      </w:r>
      <w:r>
        <w:t xml:space="preserve"> </w:t>
      </w:r>
      <w:r>
        <w:rPr>
          <w:rStyle w:val="VerbatimChar"/>
        </w:rPr>
        <w:t xml:space="preserve">results/tables/cross_cohort_regimes.csv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results/tables/cross_cohort_predictions.csv</w:t>
      </w:r>
      <w:r>
        <w:t xml:space="preserve">.</w:t>
      </w:r>
    </w:p>
    <w:bookmarkEnd w:id="11"/>
    <w:bookmarkStart w:id="12" w:name="X0b656fa67bfd4f29de9bde36f537b5100d28123"/>
    <w:p>
      <w:pPr>
        <w:pStyle w:val="Heading2"/>
      </w:pPr>
      <w:r>
        <w:t xml:space="preserve">S4. Per-subject effect sizes — stress vs baseline</w:t>
      </w:r>
    </w:p>
    <w:p>
      <w:pPr>
        <w:pStyle w:val="FirstParagraph"/>
      </w:pPr>
      <w:r>
        <w:t xml:space="preserve">Largest stress-vs-baseline effects (PPG SQI drop or motion rise), sorted by Cliff’s δ</w:t>
      </w:r>
      <w:r>
        <w:t xml:space="preserve"> </w:t>
      </w:r>
      <w:r>
        <w:t xml:space="preserve">(Cliff 1993)</w:t>
      </w:r>
      <w:r>
        <w:t xml:space="preserve">:</w:t>
      </w:r>
    </w:p>
    <w:p>
      <w:pPr>
        <w:pStyle w:val="TableCaption"/>
      </w:pPr>
      <w:r>
        <w:t xml:space="preserve">Table S3. Largest stress-vs-baseline effect sizes per subject on WESAD.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S3. Largest stress-vs-baseline effect sizes per subject on WESAD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Subject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Metric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n_a / n_b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Cliff’s δ [95% CI]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S17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235 / 144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+0.75 [+0.68, +0.82]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+1.16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1.0e-34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239 / 128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+0.73 [+0.65, +0.79]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+1.37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2.0e-30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S14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235 / 134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+0.70 [+0.62, +0.78]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+1.30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2.7e-29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235 / 134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+0.59 [+0.46, +0.71]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+1.41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4.6e-21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235 / 135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+0.50 [+0.39, +0.61]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+0.98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8.8e-16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S15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234 / 137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-0.49 [-0.58, -0.39]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-0.79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4.0e-15</w:t>
            </w:r>
          </w:p>
        </w:tc>
      </w:tr>
      <w:tr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S4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230 / 126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+0.44 [+0.32, +0.55]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+0.90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9.7e-12</w:t>
            </w:r>
          </w:p>
        </w:tc>
      </w:tr>
    </w:tbl>
    <w:p>
      <w:pPr>
        <w:pStyle w:val="BodyText"/>
      </w:pPr>
      <w:r>
        <w:t xml:space="preserve">Most subjects show a PPG SQI drop during stress, but S15 shows the opposite (δ = -0.49): their PPG SQI rises during stress. This is consistent with state-dependent posture: if a subject moves less during the stressor than during baseline, their PPG quality can improve.</w:t>
      </w:r>
    </w:p>
    <w:bookmarkEnd w:id="12"/>
    <w:bookmarkStart w:id="13" w:name="X81d79503a7cd54d777e0c1a77268294ecb67848"/>
    <w:p>
      <w:pPr>
        <w:pStyle w:val="Heading2"/>
      </w:pPr>
      <w:r>
        <w:t xml:space="preserve">S5. Per-subject effect sizes — amusement vs baseline</w:t>
      </w:r>
    </w:p>
    <w:p>
      <w:pPr>
        <w:pStyle w:val="FirstParagraph"/>
      </w:pPr>
      <w:r>
        <w:t xml:space="preserve">Largest baseline-vs-amusement effects, sorted by Cliff’s δ:</w:t>
      </w:r>
    </w:p>
    <w:p>
      <w:pPr>
        <w:pStyle w:val="TableCaption"/>
      </w:pPr>
      <w:r>
        <w:t xml:space="preserve">Table S4. Largest baseline-vs-amusement effect sizes per subject on WESAD.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S4. Largest baseline-vs-amusement effect sizes per subject on WESAD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Subject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Metric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n_a / n_b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Cliff’s δ [95% CI]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235 / 74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+0.80 [+0.71, +0.88]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+1.89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3.7e-25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S14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ECG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235 / 73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+0.70 [+0.57, +0.84]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+1.59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8.5e-20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235 / 72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+0.70 [+0.58, +0.80]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+1.37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4.1e-19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S14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235 / 73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+0.61 [+0.48, +0.74]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+1.55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3.7e-15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S5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239 / 74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+0.61 [+0.51, +0.71]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+0.97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1.6e-15</w:t>
            </w:r>
          </w:p>
        </w:tc>
      </w:tr>
      <w:tr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S17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PPG SQI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235 / 73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+0.59 [+0.48, +0.68]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+0.97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4.4e-14</w:t>
            </w:r>
          </w:p>
        </w:tc>
      </w:tr>
    </w:tbl>
    <w:p>
      <w:pPr>
        <w:pStyle w:val="BodyText"/>
      </w:pPr>
      <w:r>
        <w:t xml:space="preserve">The funny-video amusement paradigm produces upper-body laughter motion that degrades wrist PPG in most subjects.</w:t>
      </w:r>
    </w:p>
    <w:bookmarkEnd w:id="13"/>
    <w:bookmarkStart w:id="14" w:name="X07f0dfa1c5b124f5423e6c142609b1b866a74a1"/>
    <w:p>
      <w:pPr>
        <w:pStyle w:val="Heading2"/>
      </w:pPr>
      <w:r>
        <w:t xml:space="preserve">S6. Learned trust-score weights — training and holdout</w:t>
      </w:r>
    </w:p>
    <w:p>
      <w:pPr>
        <w:pStyle w:val="FirstParagraph"/>
      </w:pPr>
      <w:r>
        <w:t xml:space="preserve">Search over the 6-component weight simplex:</w:t>
      </w:r>
    </w:p>
    <w:p>
      <w:pPr>
        <w:pStyle w:val="Compact"/>
        <w:numPr>
          <w:ilvl w:val="0"/>
          <w:numId w:val="1001"/>
        </w:numPr>
      </w:pPr>
      <w:r>
        <w:t xml:space="preserve">Sampling: 360 Dirichlet draws plus local grid refinement near the best candidate.</w:t>
      </w:r>
    </w:p>
    <w:p>
      <w:pPr>
        <w:pStyle w:val="Compact"/>
        <w:numPr>
          <w:ilvl w:val="0"/>
          <w:numId w:val="1001"/>
        </w:numPr>
      </w:pPr>
      <w:r>
        <w:t xml:space="preserve">Training Spearman ρ between overall trust score and week-over-week HRV RMSSD reproducibility: +0.592 (n_train = 210).</w:t>
      </w:r>
    </w:p>
    <w:p>
      <w:pPr>
        <w:pStyle w:val="Compact"/>
        <w:numPr>
          <w:ilvl w:val="0"/>
          <w:numId w:val="1001"/>
        </w:numPr>
      </w:pPr>
      <w:r>
        <w:t xml:space="preserve">Holdout Spearman ρ: +0.668 (n_holdout = 90).</w:t>
      </w:r>
    </w:p>
    <w:p>
      <w:pPr>
        <w:pStyle w:val="FirstParagraph"/>
      </w:pPr>
      <w:r>
        <w:t xml:space="preserve">The learned weights emphasize signal_quality and reduce emphasis on confounding_risk but remain within the convex hull of plausible weightings. The default weights produce Spearman within 0.08 of the optimum on this cohort.</w:t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bookmarkEnd w:id="15"/>
    <w:bookmarkStart w:id="19" w:name="X862d6072542f48d698c2bf79db7c83b6aa8b908"/>
    <w:p>
      <w:pPr>
        <w:pStyle w:val="Heading2"/>
      </w:pPr>
      <w:r>
        <w:t xml:space="preserve">S7 Threshold sensitivity for the in-house SQI baseline</w:t>
      </w:r>
    </w:p>
    <w:p>
      <w:pPr>
        <w:pStyle w:val="FirstParagraph"/>
      </w:pPr>
      <w:r>
        <w:t xml:space="preserve">The 44.6% / 43.1% headline metric (in-house pass AND all three published methods fail) is numerically dominated by the published-only consensus rejection rate, which is independent of any choice of in-house threshold. Varying the in-house threshold from 0.50 to 0.95 spans the full range of permissive thresholds plausibly used by wearable-PPG pipelines that retain most windows. The published-method internal disagreement (median pairwise Cohen’s κ) is unaffected by any in-house decision and is shown in the rightmost column as a constant within each dataset.</w:t>
      </w:r>
    </w:p>
    <w:p>
      <w:pPr>
        <w:pStyle w:val="TableCaption"/>
      </w:pPr>
      <w:r>
        <w:t xml:space="preserve">Table S5. Threshold-sensitivity analysis for the in-house SQI baseline on WESAD and PPG-DaLiA. The full sensitivity output is at results/real_data/threshold_sensitivity.csv.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5. Threshold-sensitivity analysis for the in-house SQI baseline on WESAD and PPG-DaLiA. The full sensitivity output is at results/real_data/threshold_sensitivity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Dataset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Threshold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In-house pass rate (%)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In-house pass AND all 3 pub fail (%)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Pub-only consensus rejection (%)</w:t>
            </w:r>
          </w:p>
        </w:tc>
        <w:tc>
          <w:tcPr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Median pairwise published κ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WESAD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0.50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100.000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-0.198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WESAD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0.60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100.000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-0.198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WESAD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0.70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100.000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-0.198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WESAD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0.80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100.000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-0.198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WESAD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0.85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99.970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44.541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-0.198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WESAD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0.90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99.636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44.480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-0.198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WESAD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0.95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97.130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43.569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44.571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-0.198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PPG-DaLiA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0.50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100.000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-0.204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PPG-DaLiA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0.60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100.000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-0.204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PPG-DaLiA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0.70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100.000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-0.204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PPG-DaLiA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0.80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99.995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-0.204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PPG-DaLiA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0.85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99.904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43.070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-0.204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PPG-DaLiA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0.90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99.569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42.846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tcPr/>
          <w:p>
            <w:pPr>
              <w:pStyle w:val="Compact"/>
            </w:pPr>
            <w:r>
              <w:t xml:space="preserve">-0.204</w:t>
            </w:r>
          </w:p>
        </w:tc>
      </w:tr>
      <w:tr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PPG-DaLiA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0.95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97.178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41.664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43.129</w:t>
            </w:r>
          </w:p>
        </w:tc>
        <w:tc>
          <w:tcPr>
            <w:tcBorders>
              <w:top w:val="nil"/>
              <w:left w:val="nil"/>
              <w:bottom w:val="single" w:sz="12" w:space="0" w:color="000000"/>
              <w:right w:val="nil"/>
            </w:tcBorders>
          </w:tcPr>
          <w:tcPr/>
          <w:p>
            <w:pPr>
              <w:pStyle w:val="Compact"/>
            </w:pPr>
            <w:r>
              <w:t xml:space="preserve">-0.204</w:t>
            </w:r>
          </w:p>
        </w:tc>
      </w:tr>
    </w:tbl>
    <w:p>
      <w:pPr>
        <w:pStyle w:val="CaptionedFigure"/>
      </w:pPr>
      <w:r>
        <w:drawing>
          <wp:inline>
            <wp:extent cx="5334000" cy="2658904"/>
            <wp:effectExtent b="0" l="0" r="0" t="0"/>
            <wp:docPr descr="Supplementary Figure S2. Threshold-sensitivity analysis for the in-house PPG SQI baseline on WESAD (a) and PPG-DaLiA (b). Solid line: joint condition (in-house passes AND all three published methods fail). Dashed line: published-only consensus rejection (independent of in-house decision). Both lines are nearly flat across the in-house threshold range 0.50 to 0.95 (range across thresholds &lt; 0.05 percentage points on both datasets), confirming the headline disagreement finding is robust to the in-house threshold choice. The default threshold (0.70) is marked." title="" id="17" name="Picture"/>
            <a:graphic>
              <a:graphicData uri="http://schemas.openxmlformats.org/drawingml/2006/picture">
                <pic:pic>
                  <pic:nvPicPr>
                    <pic:cNvPr descr="paper/figures/figS2_threshold_sensitivity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S2. Threshold-sensitivity analysis for the in-house PPG SQI baseline on WESAD (a) and PPG-DaLiA (b). Solid line: joint condition (in-house passes AND all three published methods fail). Dashed line: published-only consensus rejection (independent of in-house decision). Both lines are nearly flat across the in-house threshold range 0.50 to 0.95 (range across thresholds &lt; 0.05 percentage points on both datasets), confirming the headline disagreement finding is robust to the in-house threshold choice. The default threshold (0.70) is marked.</w:t>
      </w:r>
    </w:p>
    <w:bookmarkEnd w:id="19"/>
    <w:bookmarkStart w:id="23" w:name="s8.-loso-subject-level-recalibration"/>
    <w:p>
      <w:pPr>
        <w:pStyle w:val="Heading2"/>
      </w:pPr>
      <w:r>
        <w:t xml:space="preserve">S8. LOSO subject-level recalibration</w:t>
      </w:r>
    </w:p>
    <w:p>
      <w:pPr>
        <w:pStyle w:val="FirstParagraph"/>
      </w:pPr>
      <w:r>
        <w:t xml:space="preserve">To test whether the negative recalibration result in main-text Section 3.3 is robust to the train/test split strategy, we re-ran the threshold search as leave-one-subject-out cross-validation across all 15 WESAD subjects. For each held-out subject, the threshold was selected on the other 14 subjects to maximize Cohen’s kappa versus the Orphanidou pass/fail label, then evaluated on the held-out subject. Mean held-out kappa across the 15 folds is -0.063 (median 0.000, range -0.321 to +0.002).</w:t>
      </w:r>
    </w:p>
    <w:p>
      <w:pPr>
        <w:pStyle w:val="BodyText"/>
      </w:pPr>
      <w:r>
        <w:t xml:space="preserve">For 10 of 15 subjects the train search settles on threshold 0.85, under which the in-house SQI still passes 100% of the held-out subject’s windows; held-out kappa is therefore degenerate at zero (Cohen’s kappa is forced to zero when one of the two raters has constant output). For the remaining 5 subjects the train search lands on stricter thresholds (0.98 to 0.99) that produce non-trivial in-house pass/fail variation on the held-out subject; on these 5 subjects 4 show strongly negative held-out kappa (S10: -0.321, S13: -0.214, S16: -0.250, S9: -0.163) and S17 is at +0.0017, essentially zero.</w:t>
      </w:r>
    </w:p>
    <w:p>
      <w:pPr>
        <w:pStyle w:val="BodyText"/>
      </w:pPr>
      <w:r>
        <w:t xml:space="preserve">The LOSO recalibration therefore confirms and sharpens the negative result reported in Section 3.3 (random window-split gives Δkappa approximately zero): when the in-house SQI is forced to make discriminating decisions, it does not recover agreement with the Orphanidou baseline. Full per-subject output:</w:t>
      </w:r>
      <w:r>
        <w:t xml:space="preserve"> </w:t>
      </w:r>
      <w:r>
        <w:rPr>
          <w:rStyle w:val="VerbatimChar"/>
        </w:rPr>
        <w:t xml:space="preserve">results/real_data/loso_recalibration.csv</w:t>
      </w:r>
      <w:r>
        <w:t xml:space="preserve">.</w:t>
      </w:r>
    </w:p>
    <w:p>
      <w:pPr>
        <w:pStyle w:val="CaptionedFigure"/>
      </w:pPr>
      <w:r>
        <w:drawing>
          <wp:inline>
            <wp:extent cx="5334000" cy="2734361"/>
            <wp:effectExtent b="0" l="0" r="0" t="0"/>
            <wp:docPr descr="Supplementary Figure S3. LOSO per-subject held-out Cohen’s kappa from the subject-level recalibration cross-validation on WESAD (n = 15 folds). Bars sorted by held-out kappa ascending. Red bars: non-degenerate folds (in-house SQI varies on the held-out subject so kappa is meaningful). Grey bars: degenerate folds (in-house SQI passes 100% of held-out windows so kappa is forced to zero). Mean held-out kappa = -0.063 (dashed line)." title="" id="21" name="Picture"/>
            <a:graphic>
              <a:graphicData uri="http://schemas.openxmlformats.org/drawingml/2006/picture">
                <pic:pic>
                  <pic:nvPicPr>
                    <pic:cNvPr descr="paper/figures/figS3_loso_recalibra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S3. LOSO per-subject held-out Cohen’s kappa from the subject-level recalibration cross-validation on WESAD (n = 15 folds). Bars sorted by held-out kappa ascending. Red bars: non-degenerate folds (in-house SQI varies on the held-out subject so kappa is meaningful). Grey bars: degenerate folds (in-house SQI passes 100% of held-out windows so kappa is forced to zero). Mean held-out kappa = -0.063 (dashed line).</w:t>
      </w:r>
    </w:p>
    <w:bookmarkEnd w:id="23"/>
    <w:bookmarkStart w:id="32" w:name="X85a902ec8e3f7eb9ff8083c7a077c6555cf8b03"/>
    <w:p>
      <w:pPr>
        <w:pStyle w:val="Heading2"/>
      </w:pPr>
      <w:r>
        <w:t xml:space="preserve">S9. Consensus rejection: alternative view of the headline finding</w:t>
      </w:r>
    </w:p>
    <w:p>
      <w:pPr>
        <w:pStyle w:val="FirstParagraph"/>
      </w:pPr>
      <w:r>
        <w:t xml:space="preserve">The main-text Figure 1 (conceptual Venn) shows the cross-method signal-quality disagreement on WESAD and PPG-DaLiA as overlapping disks of acceptance with a dark region for consensus rejection. Supplementary Figure S4 provides a complementary stacked-bar view of the same finding on WESAD: of 6,585 5-second windows, the in-house pipeline accepts every one (100.0%), but applying the three independently developed published methods simultaneously rejects 2,936 (44.6%) of the same windows. The two visualizations summarize the same numbers from different angles; we include both because reviewers and readers may find one or the other more communicative.</w:t>
      </w:r>
    </w:p>
    <w:p>
      <w:pPr>
        <w:pStyle w:val="CaptionedFigure"/>
      </w:pPr>
      <w:r>
        <w:drawing>
          <wp:inline>
            <wp:extent cx="5334000" cy="2309090"/>
            <wp:effectExtent b="0" l="0" r="0" t="0"/>
            <wp:docPr descr="Supplementary Figure S4. Verdict gap between the in-house threshold-based PPG SQI and the three-baseline consensus on WESAD (n = 15 subjects, 6,585 5-second windows). The in-house pipeline passes every window. Applying Orphanidou 2015, Sukor 2011, and Elgendi 2016 simultaneously, 2,936 of the same 6,585 windows (44.6%) are rejected by all three published methods." title="" id="25" name="Picture"/>
            <a:graphic>
              <a:graphicData uri="http://schemas.openxmlformats.org/drawingml/2006/picture">
                <pic:pic>
                  <pic:nvPicPr>
                    <pic:cNvPr descr="paper/figures/fig4_rejection_cascad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S4. Verdict gap between the in-house threshold-based PPG SQI and the three-baseline consensus on WESAD (n = 15 subjects, 6,585 5-second windows). The in-house pipeline passes every window. Applying Orphanidou 2015, Sukor 2011, and Elgendi 2016 simultaneously, 2,936 of the same 6,585 windows (44.6%) are rejected by all three published methods.</w:t>
      </w:r>
    </w:p>
    <w:bookmarkStart w:id="31" w:name="refs"/>
    <w:bookmarkStart w:id="28" w:name="ref-cliff1993"/>
    <w:p>
      <w:pPr>
        <w:pStyle w:val="Bibliography"/>
      </w:pPr>
      <w:r>
        <w:t xml:space="preserve">Cliff, Norman. 1993.</w:t>
      </w:r>
      <w:r>
        <w:t xml:space="preserve"> </w:t>
      </w:r>
      <w:r>
        <w:t xml:space="preserve">“Dominance Statistics: Ordinal Analyses to Answer Ordinal Questions.”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 </w:t>
      </w:r>
      <w:r>
        <w:t xml:space="preserve">114 (3): 494–509.</w:t>
      </w:r>
      <w:r>
        <w:t xml:space="preserve"> </w:t>
      </w:r>
      <w:hyperlink r:id="rId27">
        <w:r>
          <w:rPr>
            <w:rStyle w:val="Hyperlink"/>
          </w:rPr>
          <w:t xml:space="preserve">https://doi.org/10.1037/0033-2909.114.3.494</w:t>
        </w:r>
      </w:hyperlink>
      <w:r>
        <w:t xml:space="preserve">.</w:t>
      </w:r>
    </w:p>
    <w:bookmarkEnd w:id="28"/>
    <w:bookmarkStart w:id="30" w:name="ref-vanderweele2017"/>
    <w:p>
      <w:pPr>
        <w:pStyle w:val="Bibliography"/>
      </w:pPr>
      <w:r>
        <w:t xml:space="preserve">VanderWeele, Tyler J., and Peng Ding. 2017.</w:t>
      </w:r>
      <w:r>
        <w:t xml:space="preserve"> </w:t>
      </w:r>
      <w:r>
        <w:t xml:space="preserve">“Sensitivity Analysis in Observational Research: Introducing the</w:t>
      </w:r>
      <w:r>
        <w:t xml:space="preserve"> </w:t>
      </w:r>
      <w:r>
        <w:t xml:space="preserve">E</w:t>
      </w:r>
      <w:r>
        <w:t xml:space="preserve">-Value.”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167 (4): 268–74.</w:t>
      </w:r>
      <w:r>
        <w:t xml:space="preserve"> </w:t>
      </w:r>
      <w:hyperlink r:id="rId29">
        <w:r>
          <w:rPr>
            <w:rStyle w:val="Hyperlink"/>
          </w:rPr>
          <w:t xml:space="preserve">https://doi.org/10.7326/M16-2607</w:t>
        </w:r>
      </w:hyperlink>
      <w:r>
        <w:t xml:space="preserve">.</w:t>
      </w:r>
    </w:p>
    <w:bookmarkEnd w:id="30"/>
    <w:bookmarkEnd w:id="31"/>
    <w:bookmarkEnd w:id="32"/>
    <w:bookmarkEnd w:id="33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mbria" w:hAnsi="Cambria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line="240" w:lineRule="auto"/>
      <w:contextualSpacing/>
      <w:jc w:val="center"/>
    </w:pPr>
    <w:rPr>
      <w:rFonts w:ascii="Cambria" w:asciiTheme="majorHAnsi" w:cstheme="majorBidi" w:eastAsiaTheme="majorEastAsia" w:hAnsi="Cambria" w:hAnsiTheme="majorHAnsi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/>
      <w:jc w:val="center"/>
    </w:pPr>
    <w:rPr>
      <w:rFonts w:ascii="Cambria" w:cstheme="majorBidi" w:eastAsiaTheme="majorEastAsia" w:hAnsi="Cambria"/>
      <w:i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="Cambria" w:asciiTheme="majorHAnsi" w:cstheme="majorBidi" w:eastAsiaTheme="majorEastAsia" w:hAnsi="Cambria" w:hAnsiTheme="majorHAnsi"/>
      <w:b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Cambria" w:asciiTheme="majorHAnsi" w:cstheme="majorBidi" w:eastAsiaTheme="majorEastAsia" w:hAnsi="Cambria" w:hAnsiTheme="majorHAnsi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Cambria" w:cstheme="majorBidi" w:eastAsiaTheme="majorEastAsia" w:hAnsi="Cambria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mbria" w:cstheme="majorBidi" w:eastAsiaTheme="majorEastAsia" w:hAnsi="Cambria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27" Target="https://doi.org/10.1037/0033-2909.114.3.494" TargetMode="External" /><Relationship Type="http://schemas.openxmlformats.org/officeDocument/2006/relationships/hyperlink" Id="rId29" Target="https://doi.org/10.7326/M16-26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1037/0033-2909.114.3.494" TargetMode="External" /><Relationship Type="http://schemas.openxmlformats.org/officeDocument/2006/relationships/hyperlink" Id="rId29" Target="https://doi.org/10.7326/M16-26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Materials: Biomedical Signal Forensics for Wearable-Derived Digital Biomarkers</dc:title>
  <dc:creator>Ceyhun Olcan</dc:creator>
  <cp:keywords/>
  <dcterms:created xsi:type="dcterms:W3CDTF">2026-05-25T06:14:51Z</dcterms:created>
  <dcterms:modified xsi:type="dcterms:W3CDTF">2026-05-25T06:14:51Z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/Users/ceyhun/Downloads/biomedical-signal-forensics-lab-2/paper/paper.bib</vt:lpwstr>
  </property>
</Properties>
</file>