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X492e6e436080a4bb955983327137bd378b3e7de"/>
    <w:p>
      <w:pPr>
        <w:pStyle w:val="Heading1"/>
      </w:pPr>
      <w:r>
        <w:t xml:space="preserve">Wearable Photoplethysmography Signal-Quality Methods Disagree at Scale: A Multi-Baseline Audit of the WESAD Dataset</w:t>
      </w:r>
    </w:p>
    <w:p>
      <w:pPr>
        <w:pStyle w:val="BlockText"/>
      </w:pPr>
      <w:r>
        <w:rPr>
          <w:b/>
          <w:bCs/>
        </w:rPr>
        <w:t xml:space="preserve">Authors.</w:t>
      </w:r>
      <w:r>
        <w:t xml:space="preserve"> </w:t>
      </w:r>
      <w:r>
        <w:t xml:space="preserve">Ceyhun Olcan¹</w:t>
      </w:r>
    </w:p>
    <w:p>
      <w:pPr>
        <w:pStyle w:val="FirstParagraph"/>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w:t>
      </w:r>
    </w:p>
    <w:p>
      <w:r>
        <w:pict>
          <v:rect style="width:0;height:1.5pt" o:hralign="center" o:hrstd="t" o:hr="t"/>
        </w:pict>
      </w:r>
    </w:p>
    <w:bookmarkStart w:id="10"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disagreement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representative in-house threshold.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parallel 300-participant 60-day synthetic cohort with documented injected failure modes characterises the audit components.</w:t>
      </w:r>
    </w:p>
    <w:p>
      <w:pPr>
        <w:pStyle w:val="BodyText"/>
      </w:pPr>
      <w:r>
        <w:rPr>
          <w:b/>
          <w:bCs/>
        </w:rPr>
        <w:t xml:space="preserve">Results.</w:t>
      </w:r>
      <w:r>
        <w:t xml:space="preserve"> </w:t>
      </w:r>
      <w:r>
        <w:t xml:space="preserve">The three published methods disagreed with each other on the gray area (median pairwise Cohen’s κ = -0.20, range -0.23 to +0.41) but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On the synthetic cohort, the audit recovered injected fairness disparities (-13.02 points for device family, -9.53 points for skin-tone quartiles) and AIPW-adjusted confounding estimates with cluster bootstrap CIs.</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0"/>
    <w:bookmarkStart w:id="11"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w:t>
      </w:r>
      <w:r>
        <w:t xml:space="preserve"> </w:t>
      </w:r>
      <w:r>
        <w:t xml:space="preserve">(Perraudin et al. 2021)</w:t>
      </w:r>
      <w:r>
        <w:t xml:space="preserve">.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(Perraudin et al. 2021)</w:t>
      </w:r>
      <w:r>
        <w:t xml:space="preserve">.</w:t>
      </w:r>
    </w:p>
    <w:p>
      <w:pPr>
        <w:pStyle w:val="BodyText"/>
      </w:pPr>
      <w:r>
        <w:t xml:space="preserve">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disagree with each other on the gray area (median pairwise Cohen’s κ = -0.20) but converge on rejecting 44.6% of windows that a representative in-house threshold accepts; single-threshold recalibration at n = 15 does not recover agreement; and audit-based filtering improves downstream per-subject HR correlation by a median of +0.110. To enable reproducibility and reuse, we implement the audit pipeline as an open-source Python toolkit (</w:t>
      </w:r>
      <w:r>
        <w:rPr>
          <w:rStyle w:val="VerbatimChar"/>
        </w:rPr>
        <w:t xml:space="preserve">biomedical-signal-forensics-lab</w:t>
      </w:r>
      <w:r>
        <w:t xml:space="preserve">, MIT licensed), which also includes reliability primitives, doubly-robust causal-adjusted confounding analysis under a user-supplied directed acyclic graph (DAG), change-point detection, and stratified fairness audit. The empirical contribution of this paper is the cross-method SQI disagreement finding; the toolkit is the supporting infrastructure that made the finding reproducible.</w:t>
      </w:r>
    </w:p>
    <w:bookmarkEnd w:id="11"/>
    <w:bookmarkStart w:id="21" w:name="methods"/>
    <w:p>
      <w:pPr>
        <w:pStyle w:val="Heading2"/>
      </w:pPr>
      <w:r>
        <w:t xml:space="preserve">2. Methods</w:t>
      </w:r>
    </w:p>
    <w:bookmarkStart w:id="12"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representative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synthetic-cohort analyses in Section 3 use the same pipeline on parameterised data with documented injected failure modes to characterise the audit components; the WESAD multi-baseline audit (Section 4) is the empirical contribution. The whole synthetic pipeline runs end-to-end in approximately two minutes on a modern laptop CPU; the full 15-subject WESAD analysis takes approximately three minutes.</w:t>
      </w:r>
    </w:p>
    <w:bookmarkEnd w:id="12"/>
    <w:bookmarkStart w:id="13"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3"/>
    <w:bookmarkStart w:id="14"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4"/>
    <w:bookmarkStart w:id="15"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This is an irregular use of the formula; Section 4.3 reports an empirical comparison to the proper bootstrap test-retest.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15"/>
    <w:bookmarkStart w:id="16"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Default weight</w:t>
            </w:r>
          </w:p>
        </w:tc>
        <w:tc>
          <w:tcPr/>
          <w:p>
            <w:pPr>
              <w:pStyle w:val="Compact"/>
            </w:pPr>
            <w:r>
              <w:t xml:space="preserve">Source</w:t>
            </w:r>
          </w:p>
        </w:tc>
      </w:tr>
      <w:tr>
        <w:tc>
          <w:tcPr/>
          <w:p>
            <w:pPr>
              <w:pStyle w:val="Compact"/>
            </w:pPr>
            <w:r>
              <w:t xml:space="preserve">signal_quality_score</w:t>
            </w:r>
          </w:p>
        </w:tc>
        <w:tc>
          <w:tcPr/>
          <w:p>
            <w:pPr>
              <w:pStyle w:val="Compact"/>
            </w:pPr>
            <w:r>
              <w:t xml:space="preserve">0.25</w:t>
            </w:r>
          </w:p>
        </w:tc>
        <w:tc>
          <w:tcPr/>
          <w:p>
            <w:pPr>
              <w:pStyle w:val="Compact"/>
            </w:pPr>
            <w:r>
              <w:t xml:space="preserve">aggregated SQI across windows</w:t>
            </w:r>
          </w:p>
        </w:tc>
      </w:tr>
      <w:tr>
        <w:tc>
          <w:tcPr/>
          <w:p>
            <w:pPr>
              <w:pStyle w:val="Compact"/>
            </w:pPr>
            <w:r>
              <w:t xml:space="preserve">artifact_burden_score</w:t>
            </w:r>
          </w:p>
        </w:tc>
        <w:tc>
          <w:tcPr/>
          <w:p>
            <w:pPr>
              <w:pStyle w:val="Compact"/>
            </w:pPr>
            <w:r>
              <w:t xml:space="preserve">0.20</w:t>
            </w:r>
          </w:p>
        </w:tc>
        <w:tc>
          <w:tcPr/>
          <w:p>
            <w:pPr>
              <w:pStyle w:val="Compact"/>
            </w:pPr>
            <w:r>
              <w:t xml:space="preserve">mean window-level burden, inverted</w:t>
            </w:r>
          </w:p>
        </w:tc>
      </w:tr>
      <w:tr>
        <w:tc>
          <w:tcPr/>
          <w:p>
            <w:pPr>
              <w:pStyle w:val="Compact"/>
            </w:pPr>
            <w:r>
              <w:t xml:space="preserve">temporal_stability_score</w:t>
            </w:r>
          </w:p>
        </w:tc>
        <w:tc>
          <w:tcPr/>
          <w:p>
            <w:pPr>
              <w:pStyle w:val="Compact"/>
            </w:pPr>
            <w:r>
              <w:t xml:space="preserve">0.20</w:t>
            </w:r>
          </w:p>
        </w:tc>
        <w:tc>
          <w:tcPr/>
          <w:p>
            <w:pPr>
              <w:pStyle w:val="Compact"/>
            </w:pPr>
            <w:r>
              <w:t xml:space="preserve">inverse rolling coefficient of variation</w:t>
            </w:r>
          </w:p>
        </w:tc>
      </w:tr>
      <w:tr>
        <w:tc>
          <w:tcPr/>
          <w:p>
            <w:pPr>
              <w:pStyle w:val="Compact"/>
            </w:pPr>
            <w:r>
              <w:t xml:space="preserve">missingness_risk_score</w:t>
            </w:r>
          </w:p>
        </w:tc>
        <w:tc>
          <w:tcPr/>
          <w:p>
            <w:pPr>
              <w:pStyle w:val="Compact"/>
            </w:pPr>
            <w:r>
              <w:t xml:space="preserve">0.15</w:t>
            </w:r>
          </w:p>
        </w:tc>
        <w:tc>
          <w:tcPr/>
          <w:p>
            <w:pPr>
              <w:pStyle w:val="Compact"/>
            </w:pPr>
            <w:r>
              <w:t xml:space="preserve">inverse missing fraction with run-length penalty</w:t>
            </w:r>
          </w:p>
        </w:tc>
      </w:tr>
      <w:tr>
        <w:tc>
          <w:tcPr/>
          <w:p>
            <w:pPr>
              <w:pStyle w:val="Compact"/>
            </w:pPr>
            <w:r>
              <w:t xml:space="preserve">device_bias_score</w:t>
            </w:r>
          </w:p>
        </w:tc>
        <w:tc>
          <w:tcPr/>
          <w:p>
            <w:pPr>
              <w:pStyle w:val="Compact"/>
            </w:pPr>
            <w:r>
              <w:t xml:space="preserve">0.10</w:t>
            </w:r>
          </w:p>
        </w:tc>
        <w:tc>
          <w:tcPr/>
          <w:p>
            <w:pPr>
              <w:pStyle w:val="Compact"/>
            </w:pPr>
            <w:r>
              <w:t xml:space="preserve">inverse normalized bias vs reference device</w:t>
            </w:r>
          </w:p>
        </w:tc>
      </w:tr>
      <w:tr>
        <w:tc>
          <w:tcPr/>
          <w:p>
            <w:pPr>
              <w:pStyle w:val="Compact"/>
            </w:pPr>
            <w:r>
              <w:t xml:space="preserve">confounding_risk_score</w:t>
            </w:r>
          </w:p>
        </w:tc>
        <w:tc>
          <w:tcPr/>
          <w:p>
            <w:pPr>
              <w:pStyle w:val="Compact"/>
            </w:pPr>
            <w:r>
              <w:t xml:space="preserve">0.10</w:t>
            </w:r>
          </w:p>
        </w:tc>
        <w:tc>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16"/>
    <w:bookmarkStart w:id="17"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17"/>
    <w:bookmarkStart w:id="18" w:name="fairness-audit"/>
    <w:p>
      <w:pPr>
        <w:pStyle w:val="Heading3"/>
      </w:pPr>
      <w:r>
        <w:t xml:space="preserve">2.7 Fairness audit</w:t>
      </w:r>
    </w:p>
    <w:p>
      <w:pPr>
        <w:pStyle w:val="FirstParagraph"/>
      </w:pPr>
      <w:r>
        <w:t xml:space="preserve">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18"/>
    <w:bookmarkStart w:id="19" w:name="published-baselines"/>
    <w:p>
      <w:pPr>
        <w:pStyle w:val="Heading3"/>
      </w:pPr>
      <w:r>
        <w:t xml:space="preserve">2.8 Published baselines</w:t>
      </w:r>
    </w:p>
    <w:p>
      <w:pPr>
        <w:pStyle w:val="FirstParagraph"/>
      </w:pPr>
      <w:r>
        <w:t xml:space="preserve">Three published PPG SQI baselines are run alongside the in-house SQI on every audit, each testing a different physical property of pulse waveforms:</w:t>
      </w:r>
    </w:p>
    <w:p>
      <w:pPr>
        <w:pStyle w:val="Compact"/>
        <w:numPr>
          <w:ilvl w:val="0"/>
          <w:numId w:val="1003"/>
        </w:numPr>
      </w:pPr>
      <w:r>
        <w:rPr>
          <w:b/>
          <w:bCs/>
        </w:rPr>
        <w:t xml:space="preserve">Orphanidou et al. (2015):</w:t>
      </w:r>
      <w:r>
        <w:t xml:space="preserve"> </w:t>
      </w:r>
      <w:r>
        <w:t xml:space="preserve">four-rule template-matching SQI. We replicate the published thresholds.</w:t>
      </w:r>
    </w:p>
    <w:p>
      <w:pPr>
        <w:pStyle w:val="Compact"/>
        <w:numPr>
          <w:ilvl w:val="0"/>
          <w:numId w:val="1003"/>
        </w:numPr>
      </w:pPr>
      <w:r>
        <w:rPr>
          <w:b/>
          <w:bCs/>
        </w:rPr>
        <w:t xml:space="preserve">Sukor et al. (2011):</w:t>
      </w:r>
      <w:r>
        <w:t xml:space="preserve"> </w:t>
      </w:r>
      <w:r>
        <w:t xml:space="preserve">decision-tree SQI on pulse-morphology features (systolic-to-diastolic amplitude ratio, pulse-to-pulse interval consistency, pulse amplitude variability, baseline wander). We replicate the published rules.</w:t>
      </w:r>
    </w:p>
    <w:p>
      <w:pPr>
        <w:pStyle w:val="FirstParagraph"/>
      </w:pPr>
      <w:r>
        <w:t xml:space="preserve">Agreement metrics for each pairwise comparison are reported as Spearman ρ on the continuous scores, Cohen’s κ on the binary pass/fail labels, and a full 2×2 crosstab.</w:t>
      </w:r>
    </w:p>
    <w:bookmarkEnd w:id="19"/>
    <w:bookmarkStart w:id="20"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0"/>
    <w:bookmarkEnd w:id="21"/>
    <w:bookmarkStart w:id="30"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2"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Sections 4.1-4.3, in which chest ECG serves as the reference standard and wrist PPG-derived measurements serve as the index modality. A per-item compliance summary is in</w:t>
      </w:r>
      <w:r>
        <w:t xml:space="preserve"> </w:t>
      </w:r>
      <w:r>
        <w:rPr>
          <w:rStyle w:val="VerbatimChar"/>
        </w:rPr>
        <w:t xml:space="preserve">paper/checklists/stard_2015_checklist.md</w:t>
      </w:r>
      <w:r>
        <w:t xml:space="preserve">. The flow diagram in Figure 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Figure 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2"/>
    <w:bookmarkStart w:id="23"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p>
            <w:pPr>
              <w:pStyle w:val="Compact"/>
            </w:pPr>
            <w:r>
              <w:t xml:space="preserve">Quantity</w:t>
            </w:r>
          </w:p>
        </w:tc>
        <w:tc>
          <w:tcPr/>
          <w:p>
            <w:pPr>
              <w:pStyle w:val="Compact"/>
            </w:pPr>
            <w:r>
              <w:t xml:space="preserve">Value (n=15)</w:t>
            </w:r>
          </w:p>
        </w:tc>
      </w:tr>
      <w:tr>
        <w:tc>
          <w:tcPr/>
          <w:p>
            <w:pPr>
              <w:pStyle w:val="Compact"/>
            </w:pPr>
            <w:r>
              <w:t xml:space="preserve">n windows</w:t>
            </w:r>
          </w:p>
        </w:tc>
        <w:tc>
          <w:tcPr/>
          <w:p>
            <w:pPr>
              <w:pStyle w:val="Compact"/>
            </w:pPr>
            <w:r>
              <w:t xml:space="preserve">6,569</w:t>
            </w:r>
          </w:p>
        </w:tc>
      </w:tr>
      <w:tr>
        <w:tc>
          <w:tcPr/>
          <w:p>
            <w:pPr>
              <w:pStyle w:val="Compact"/>
            </w:pPr>
            <w:r>
              <w:t xml:space="preserve">Mean absolute error</w:t>
            </w:r>
          </w:p>
        </w:tc>
        <w:tc>
          <w:tcPr/>
          <w:p>
            <w:pPr>
              <w:pStyle w:val="Compact"/>
            </w:pPr>
            <w:r>
              <w:rPr>
                <w:b/>
                <w:bCs/>
              </w:rPr>
              <w:t xml:space="preserve">9.66 bpm</w:t>
            </w:r>
          </w:p>
        </w:tc>
      </w:tr>
      <w:tr>
        <w:tc>
          <w:tcPr/>
          <w:p>
            <w:pPr>
              <w:pStyle w:val="Compact"/>
            </w:pPr>
            <w:r>
              <w:rPr>
                <w:b/>
                <w:bCs/>
              </w:rPr>
              <w:t xml:space="preserve">Bias (PPG - ECG)</w:t>
            </w:r>
            <w:r>
              <w:t xml:space="preserve"> </w:t>
            </w:r>
            <w:r>
              <w:t xml:space="preserve">(Bland and Altman 1986)</w:t>
            </w:r>
          </w:p>
        </w:tc>
        <w:tc>
          <w:tcPr/>
          <w:p>
            <w:pPr>
              <w:pStyle w:val="Compact"/>
            </w:pPr>
            <w:r>
              <w:rPr>
                <w:b/>
                <w:bCs/>
              </w:rPr>
              <w:t xml:space="preserve">+3.57 bpm</w:t>
            </w:r>
          </w:p>
        </w:tc>
      </w:tr>
      <w:tr>
        <w:tc>
          <w:tcPr/>
          <w:p>
            <w:pPr>
              <w:pStyle w:val="Compact"/>
            </w:pPr>
            <w:r>
              <w:rPr>
                <w:b/>
                <w:bCs/>
              </w:rPr>
              <w:t xml:space="preserve">95% Limits of agreement</w:t>
            </w:r>
          </w:p>
        </w:tc>
        <w:tc>
          <w:tcPr/>
          <w:p>
            <w:pPr>
              <w:pStyle w:val="Compact"/>
            </w:pPr>
            <w:r>
              <w:rPr>
                <w:b/>
                <w:bCs/>
              </w:rPr>
              <w:t xml:space="preserve">[-23.14, +30.28] bpm</w:t>
            </w:r>
          </w:p>
        </w:tc>
      </w:tr>
      <w:tr>
        <w:tc>
          <w:tcPr/>
          <w:p>
            <w:pPr>
              <w:pStyle w:val="Compact"/>
            </w:pPr>
            <w:r>
              <w:t xml:space="preserve">Pearson r</w:t>
            </w:r>
          </w:p>
        </w:tc>
        <w:tc>
          <w:tcPr/>
          <w:p>
            <w:pPr>
              <w:pStyle w:val="Compact"/>
            </w:pPr>
            <w:r>
              <w:t xml:space="preserve">+0.697 (p &lt; 1e-300)</w:t>
            </w:r>
          </w:p>
        </w:tc>
      </w:tr>
      <w:tr>
        <w:tc>
          <w:tcPr/>
          <w:p>
            <w:pPr>
              <w:pStyle w:val="Compact"/>
            </w:pPr>
            <w:r>
              <w:t xml:space="preserve">Fraction within 5 bpm</w:t>
            </w:r>
          </w:p>
        </w:tc>
        <w:tc>
          <w:tcPr/>
          <w:p>
            <w:pPr>
              <w:pStyle w:val="Compact"/>
            </w:pPr>
            <w:r>
              <w:t xml:space="preserve">0.458</w:t>
            </w:r>
          </w:p>
        </w:tc>
      </w:tr>
      <w:tr>
        <w:tc>
          <w:tcPr/>
          <w:p>
            <w:pPr>
              <w:pStyle w:val="Compact"/>
            </w:pPr>
            <w:r>
              <w:t xml:space="preserve">Fraction within 10 bpm</w:t>
            </w:r>
          </w:p>
        </w:tc>
        <w:tc>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bookmarkEnd w:id="23"/>
    <w:bookmarkStart w:id="24"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p>
            <w:pPr>
              <w:pStyle w:val="Compact"/>
            </w:pPr>
            <w:r>
              <w:t xml:space="preserve">Method</w:t>
            </w:r>
          </w:p>
        </w:tc>
        <w:tc>
          <w:tcPr/>
          <w:p>
            <w:pPr>
              <w:pStyle w:val="Compact"/>
            </w:pPr>
            <w:r>
              <w:t xml:space="preserve">Pass rate (n=15)</w:t>
            </w:r>
          </w:p>
        </w:tc>
        <w:tc>
          <w:tcPr/>
          <w:p>
            <w:pPr>
              <w:pStyle w:val="Compact"/>
            </w:pPr>
            <w:r>
              <w:t xml:space="preserve">Cohen’s κ vs in-house</w:t>
            </w:r>
          </w:p>
        </w:tc>
      </w:tr>
      <w:tr>
        <w:tc>
          <w:tcPr/>
          <w:p>
            <w:pPr>
              <w:pStyle w:val="Compact"/>
            </w:pPr>
            <w:r>
              <w:t xml:space="preserve">In-house (default threshold 0.7)</w:t>
            </w:r>
          </w:p>
        </w:tc>
        <w:tc>
          <w:tcPr/>
          <w:p>
            <w:pPr>
              <w:pStyle w:val="Compact"/>
            </w:pPr>
            <w:r>
              <w:t xml:space="preserve">1.000</w:t>
            </w:r>
          </w:p>
        </w:tc>
        <w:tc>
          <w:tcPr/>
          <w:p>
            <w:pPr>
              <w:pStyle w:val="Compact"/>
            </w:pPr>
            <w:r>
              <w:t xml:space="preserve">-</w:t>
            </w:r>
          </w:p>
        </w:tc>
      </w:tr>
      <w:tr>
        <w:tc>
          <w:tcPr/>
          <w:p>
            <w:pPr>
              <w:pStyle w:val="Compact"/>
            </w:pPr>
            <w:r>
              <w:t xml:space="preserve">Orphanidou 2015</w:t>
            </w:r>
          </w:p>
        </w:tc>
        <w:tc>
          <w:tcPr/>
          <w:p>
            <w:pPr>
              <w:pStyle w:val="Compact"/>
            </w:pPr>
            <w:r>
              <w:t xml:space="preserve">0.256</w:t>
            </w:r>
          </w:p>
        </w:tc>
        <w:tc>
          <w:tcPr/>
          <w:p>
            <w:pPr>
              <w:pStyle w:val="Compact"/>
            </w:pPr>
            <w:r>
              <w:t xml:space="preserve">0.000</w:t>
            </w:r>
          </w:p>
        </w:tc>
      </w:tr>
      <w:tr>
        <w:tc>
          <w:tcPr/>
          <w:p>
            <w:pPr>
              <w:pStyle w:val="Compact"/>
            </w:pPr>
            <w:r>
              <w:t xml:space="preserve">Sukor 2011</w:t>
            </w:r>
          </w:p>
        </w:tc>
        <w:tc>
          <w:tcPr/>
          <w:p>
            <w:pPr>
              <w:pStyle w:val="Compact"/>
            </w:pPr>
            <w:r>
              <w:t xml:space="preserve">0.255</w:t>
            </w:r>
          </w:p>
        </w:tc>
        <w:tc>
          <w:tcPr/>
          <w:p>
            <w:pPr>
              <w:pStyle w:val="Compact"/>
            </w:pPr>
            <w:r>
              <w:t xml:space="preserve">0.000</w:t>
            </w:r>
          </w:p>
        </w:tc>
      </w:tr>
      <w:tr>
        <w:tc>
          <w:tcPr/>
          <w:p>
            <w:pPr>
              <w:pStyle w:val="Compact"/>
            </w:pPr>
            <w:r>
              <w:rPr>
                <w:b/>
                <w:bCs/>
              </w:rPr>
              <w:t xml:space="preserve">Elgendi 2016 (SSQI/KSQI/ESQI)</w:t>
            </w:r>
          </w:p>
        </w:tc>
        <w:tc>
          <w:tcPr/>
          <w:p>
            <w:pPr>
              <w:pStyle w:val="Compact"/>
            </w:pPr>
            <w:r>
              <w:rPr>
                <w:b/>
                <w:bCs/>
              </w:rPr>
              <w:t xml:space="preserve">0.215</w:t>
            </w:r>
          </w:p>
        </w:tc>
        <w:tc>
          <w:tcPr/>
          <w:p>
            <w:pPr>
              <w:pStyle w:val="Compact"/>
            </w:pPr>
            <w:r>
              <w:rPr>
                <w:b/>
                <w:bCs/>
              </w:rPr>
              <w:t xml:space="preserve">0.000</w:t>
            </w:r>
          </w:p>
        </w:tc>
      </w:tr>
    </w:tbl>
    <w:p/>
    <w:p>
      <w:pPr>
        <w:pStyle w:val="TableCaption"/>
      </w:pPr>
      <w:r>
        <w:t xml:space="preserve">Table 3. Pairwise Cohen’s κ across the three published PPG signal-quality baselines.</w:t>
      </w:r>
    </w:p>
    <w:tbl>
      <w:tblPr>
        <w:tblStyle w:val="Table"/>
        <w:tblW w:type="auto" w:w="0"/>
        <w:tblLook w:firstRow="1" w:lastRow="0" w:firstColumn="0" w:lastColumn="0" w:noHBand="0" w:noVBand="0" w:val="0020"/>
        <w:tblCaption w:val="Table 3. Pairwise Cohen’s κ across the three published PPG signal-quality baselines."/>
      </w:tblPr>
      <w:tblGrid>
        <w:gridCol w:w="3960"/>
        <w:gridCol w:w="3960"/>
      </w:tblGrid>
      <w:tr>
        <w:trPr>
          <w:tblHeader w:val="on"/>
        </w:trPr>
        <w:tc>
          <w:tcPr/>
          <w:p>
            <w:pPr>
              <w:pStyle w:val="Compact"/>
            </w:pPr>
            <w:r>
              <w:t xml:space="preserve">Pairwise Cohen’s κ</w:t>
            </w:r>
          </w:p>
        </w:tc>
        <w:tc>
          <w:tcPr/>
          <w:p>
            <w:pPr>
              <w:pStyle w:val="Compact"/>
            </w:pPr>
            <w:r>
              <w:t xml:space="preserve">published only</w:t>
            </w:r>
          </w:p>
        </w:tc>
      </w:tr>
      <w:tr>
        <w:tc>
          <w:tcPr/>
          <w:p>
            <w:pPr>
              <w:pStyle w:val="Compact"/>
            </w:pPr>
            <w:r>
              <w:t xml:space="preserve">Orphanidou vs Sukor</w:t>
            </w:r>
          </w:p>
        </w:tc>
        <w:tc>
          <w:tcPr/>
          <w:p>
            <w:pPr>
              <w:pStyle w:val="Compact"/>
            </w:pPr>
            <w:r>
              <w:t xml:space="preserve">+0.410</w:t>
            </w:r>
          </w:p>
        </w:tc>
      </w:tr>
      <w:tr>
        <w:tc>
          <w:tcPr/>
          <w:p>
            <w:pPr>
              <w:pStyle w:val="Compact"/>
            </w:pPr>
            <w:r>
              <w:t xml:space="preserve">Orphanidou vs Elgendi</w:t>
            </w:r>
          </w:p>
        </w:tc>
        <w:tc>
          <w:tcPr/>
          <w:p>
            <w:pPr>
              <w:pStyle w:val="Compact"/>
            </w:pPr>
            <w:r>
              <w:t xml:space="preserve">-0.198</w:t>
            </w:r>
          </w:p>
        </w:tc>
      </w:tr>
      <w:tr>
        <w:tc>
          <w:tcPr/>
          <w:p>
            <w:pPr>
              <w:pStyle w:val="Compact"/>
            </w:pPr>
            <w:r>
              <w:t xml:space="preserve">Sukor vs Elgendi</w:t>
            </w:r>
          </w:p>
        </w:tc>
        <w:tc>
          <w:tcPr/>
          <w:p>
            <w:pPr>
              <w:pStyle w:val="Compact"/>
            </w:pPr>
            <w:r>
              <w:t xml:space="preserve">-0.225</w:t>
            </w:r>
          </w:p>
        </w:tc>
      </w:tr>
      <w:tr>
        <w:tc>
          <w:tcPr/>
          <w:p>
            <w:pPr>
              <w:pStyle w:val="Compact"/>
            </w:pPr>
            <w:r>
              <w:rPr>
                <w:b/>
                <w:bCs/>
              </w:rPr>
              <w:t xml:space="preserve">Median across three published pairs</w:t>
            </w:r>
          </w:p>
        </w:tc>
        <w:tc>
          <w:tcPr/>
          <w:p>
            <w:pPr>
              <w:pStyle w:val="Compact"/>
            </w:pPr>
            <w:r>
              <w:rPr>
                <w:b/>
                <w:bCs/>
              </w:rPr>
              <w:t xml:space="preserve">-0.198</w:t>
            </w:r>
          </w:p>
        </w:tc>
      </w:tr>
    </w:tbl>
    <w:p>
      <w:pPr>
        <w:pStyle w:val="BodyText"/>
      </w:pPr>
      <w:r>
        <w:rPr>
          <w:b/>
          <w:bCs/>
        </w:rPr>
        <w:t xml:space="preserve">Three published baselines, three different failure modes.</w:t>
      </w:r>
      <w:r>
        <w:t xml:space="preserve"> </w:t>
      </w:r>
      <w:r>
        <w:t xml:space="preserve">At n=15, Orphanidou and Sukor moderately agree on which windows pass (κ = +0.410), but Elgendi disagrees with both (κ = -0.198 against Orphanidou, κ = -0.225 against Sukor). The three baselines individually pass 25.6%, 25.5%, and 21.5% of windows respectively, but the published methods catch overlapping yet distinct sets of failure modes.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p>
            <w:pPr>
              <w:pStyle w:val="Compact"/>
            </w:pPr>
            <w:r>
              <w:t xml:space="preserve">Joint condition (n=6,585)</w:t>
            </w:r>
          </w:p>
        </w:tc>
        <w:tc>
          <w:tcPr/>
          <w:p>
            <w:pPr>
              <w:pStyle w:val="Compact"/>
            </w:pPr>
            <w:r>
              <w:t xml:space="preserve">Fraction</w:t>
            </w:r>
          </w:p>
        </w:tc>
      </w:tr>
      <w:tr>
        <w:tc>
          <w:tcPr/>
          <w:p>
            <w:pPr>
              <w:pStyle w:val="Compact"/>
            </w:pPr>
            <w:r>
              <w:t xml:space="preserve">All three published methods pass</w:t>
            </w:r>
          </w:p>
        </w:tc>
        <w:tc>
          <w:tcPr/>
          <w:p>
            <w:pPr>
              <w:pStyle w:val="Compact"/>
            </w:pPr>
            <w:r>
              <w:t xml:space="preserve">0.005 (0.5%)</w:t>
            </w:r>
          </w:p>
        </w:tc>
      </w:tr>
      <w:tr>
        <w:tc>
          <w:tcPr/>
          <w:p>
            <w:pPr>
              <w:pStyle w:val="Compact"/>
            </w:pPr>
            <w:r>
              <w:rPr>
                <w:b/>
                <w:bCs/>
              </w:rPr>
              <w:t xml:space="preserve">All three published methods fail</w:t>
            </w:r>
          </w:p>
        </w:tc>
        <w:tc>
          <w:tcPr/>
          <w:p>
            <w:pPr>
              <w:pStyle w:val="Compact"/>
            </w:pPr>
            <w:r>
              <w:rPr>
                <w:b/>
                <w:bCs/>
              </w:rPr>
              <w:t xml:space="preserve">0.446 (44.6%)</w:t>
            </w:r>
          </w:p>
        </w:tc>
      </w:tr>
      <w:tr>
        <w:tc>
          <w:tcPr/>
          <w:p>
            <w:pPr>
              <w:pStyle w:val="Compact"/>
            </w:pPr>
            <w:r>
              <w:rPr>
                <w:b/>
                <w:bCs/>
              </w:rPr>
              <w:t xml:space="preserve">In-house passes while ALL three published methods fail</w:t>
            </w:r>
          </w:p>
        </w:tc>
        <w:tc>
          <w:tcPr/>
          <w:p>
            <w:pPr>
              <w:pStyle w:val="Compact"/>
            </w:pPr>
            <w:r>
              <w:rPr>
                <w:b/>
                <w:bCs/>
              </w:rPr>
              <w:t xml:space="preserve">0.446 (44.6%)</w:t>
            </w:r>
          </w:p>
        </w:tc>
      </w:tr>
    </w:tbl>
    <w:p>
      <w:pPr>
        <w:pStyle w:val="BodyText"/>
      </w:pPr>
      <w:r>
        <w:t xml:space="preserve">**** 44.6% of real wrist PPG windows are rejected by Orphanidou AND Sukor AND Elgendi simultaneously - three baselines, three different physical properties, three concordant rejections - and yet the in-house default threshold (0.70) passes every single one of them.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flat distribution (every window passes), and the underlying continuous score is uncorrelated with any of the three published baselines (κ = 0 against each individually). Figure 3 panel A shows the four pass rates side by side; panel B shows the four-way agreement matrix.</w:t>
      </w:r>
    </w:p>
    <w:bookmarkEnd w:id="24"/>
    <w:bookmarkStart w:id="25"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p>
            <w:pPr>
              <w:pStyle w:val="Compact"/>
            </w:pPr>
            <w:r>
              <w:t xml:space="preserve">Threshold</w:t>
            </w:r>
          </w:p>
        </w:tc>
        <w:tc>
          <w:tcPr/>
          <w:p>
            <w:pPr>
              <w:pStyle w:val="Compact"/>
            </w:pPr>
            <w:r>
              <w:t xml:space="preserve">Holdout raw agreement</w:t>
            </w:r>
          </w:p>
        </w:tc>
        <w:tc>
          <w:tcPr/>
          <w:p>
            <w:pPr>
              <w:pStyle w:val="Compact"/>
            </w:pPr>
            <w:r>
              <w:rPr>
                <w:b/>
                <w:bCs/>
              </w:rPr>
              <w:t xml:space="preserve">Holdout Cohen’s κ</w:t>
            </w:r>
          </w:p>
        </w:tc>
      </w:tr>
      <w:tr>
        <w:tc>
          <w:tcPr/>
          <w:p>
            <w:pPr>
              <w:pStyle w:val="Compact"/>
            </w:pPr>
            <w:r>
              <w:t xml:space="preserve">Original (0.70)</w:t>
            </w:r>
          </w:p>
        </w:tc>
        <w:tc>
          <w:tcPr/>
          <w:p>
            <w:pPr>
              <w:pStyle w:val="Compact"/>
            </w:pPr>
            <w:r>
              <w:t xml:space="preserve">0.258</w:t>
            </w:r>
          </w:p>
        </w:tc>
        <w:tc>
          <w:tcPr/>
          <w:p>
            <w:pPr>
              <w:pStyle w:val="Compact"/>
            </w:pPr>
            <w:r>
              <w:rPr>
                <w:b/>
                <w:bCs/>
              </w:rPr>
              <w:t xml:space="preserve">0.000</w:t>
            </w:r>
          </w:p>
        </w:tc>
      </w:tr>
      <w:tr>
        <w:tc>
          <w:tcPr/>
          <w:p>
            <w:pPr>
              <w:pStyle w:val="Compact"/>
            </w:pPr>
            <w:r>
              <w:t xml:space="preserve">Recalibrated (0.85)</w:t>
            </w:r>
          </w:p>
        </w:tc>
        <w:tc>
          <w:tcPr/>
          <w:p>
            <w:pPr>
              <w:pStyle w:val="Compact"/>
            </w:pPr>
            <w:r>
              <w:t xml:space="preserve">0.258</w:t>
            </w:r>
          </w:p>
        </w:tc>
        <w:tc>
          <w:tcPr/>
          <w:p>
            <w:pPr>
              <w:pStyle w:val="Compact"/>
            </w:pPr>
            <w:r>
              <w:rPr>
                <w:b/>
                <w:bCs/>
              </w:rPr>
              <w:t xml:space="preserve">0.0002</w:t>
            </w:r>
          </w:p>
        </w:tc>
      </w:tr>
      <w:tr>
        <w:tc>
          <w:tcPr/>
          <w:p>
            <w:pPr>
              <w:pStyle w:val="Compact"/>
            </w:pPr>
            <w:r>
              <w:t xml:space="preserve">Δ κ</w:t>
            </w:r>
          </w:p>
        </w:tc>
        <w:tc>
          <w:tcPr/>
          <w:p>
            <w:pPr>
              <w:pStyle w:val="Compact"/>
            </w:pPr>
          </w:p>
        </w:tc>
        <w:tc>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bookmarkEnd w:id="25"/>
    <w:bookmarkStart w:id="26"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p>
            <w:pPr>
              <w:pStyle w:val="Compact"/>
            </w:pPr>
            <w:r>
              <w:t xml:space="preserve">Quantity</w:t>
            </w:r>
          </w:p>
        </w:tc>
        <w:tc>
          <w:tcPr/>
          <w:p>
            <w:pPr>
              <w:pStyle w:val="Compact"/>
            </w:pPr>
            <w:r>
              <w:t xml:space="preserve">Value (n = 15)</w:t>
            </w:r>
          </w:p>
        </w:tc>
      </w:tr>
      <w:tr>
        <w:tc>
          <w:tcPr/>
          <w:p>
            <w:pPr>
              <w:pStyle w:val="Compact"/>
            </w:pPr>
            <w:r>
              <w:t xml:space="preserve">Spearman (motion vs in-house SQI)</w:t>
            </w:r>
          </w:p>
        </w:tc>
        <w:tc>
          <w:tcPr/>
          <w:p>
            <w:pPr>
              <w:pStyle w:val="Compact"/>
            </w:pPr>
            <w:r>
              <w:t xml:space="preserve">-1.000 (deterministic)</w:t>
            </w:r>
          </w:p>
        </w:tc>
      </w:tr>
      <w:tr>
        <w:tc>
          <w:tcPr/>
          <w:p>
            <w:pPr>
              <w:pStyle w:val="Compact"/>
            </w:pPr>
            <w:r>
              <w:t xml:space="preserve">Spearman (motion vs absolute HR difference, PPG vs ECG)</w:t>
            </w:r>
          </w:p>
        </w:tc>
        <w:tc>
          <w:tcPr/>
          <w:p>
            <w:pPr>
              <w:pStyle w:val="Compact"/>
            </w:pPr>
            <w:r>
              <w:t xml:space="preserve">+0.088</w:t>
            </w:r>
          </w:p>
        </w:tc>
      </w:tr>
      <w:tr>
        <w:tc>
          <w:tcPr/>
          <w:p>
            <w:pPr>
              <w:pStyle w:val="Compact"/>
            </w:pPr>
            <w:r>
              <w:t xml:space="preserve">Spearman (motion vs Orphanidou template correlation)</w:t>
            </w:r>
          </w:p>
        </w:tc>
        <w:tc>
          <w:tcPr/>
          <w:p>
            <w:pPr>
              <w:pStyle w:val="Compact"/>
            </w:pPr>
            <w:r>
              <w:t xml:space="preserve">-0.004</w:t>
            </w:r>
          </w:p>
        </w:tc>
      </w:tr>
      <w:tr>
        <w:tc>
          <w:tcPr/>
          <w:p>
            <w:pPr>
              <w:pStyle w:val="Compact"/>
            </w:pPr>
            <w:r>
              <w:t xml:space="preserve">Mean absolute HR difference at low motion (bpm)</w:t>
            </w:r>
          </w:p>
        </w:tc>
        <w:tc>
          <w:tcPr/>
          <w:p>
            <w:pPr>
              <w:pStyle w:val="Compact"/>
            </w:pPr>
            <w:r>
              <w:t xml:space="preserve">9.12</w:t>
            </w:r>
          </w:p>
        </w:tc>
      </w:tr>
      <w:tr>
        <w:tc>
          <w:tcPr/>
          <w:p>
            <w:pPr>
              <w:pStyle w:val="Compact"/>
            </w:pPr>
            <w:r>
              <w:t xml:space="preserve">Mean absolute HR difference at high motion (bpm)</w:t>
            </w:r>
          </w:p>
        </w:tc>
        <w:tc>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26"/>
    <w:bookmarkStart w:id="27"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 1e-29).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 3.7e-25). S14 also shows a large ECG SQI drop (δ = +0.70, d = +1.59), consistent with the chest device responding to laughter motion in addition to wrist PPG.</w:t>
      </w:r>
    </w:p>
    <w:bookmarkEnd w:id="27"/>
    <w:bookmarkStart w:id="28"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p>
            <w:pPr>
              <w:pStyle w:val="Compact"/>
            </w:pPr>
            <w:r>
              <w:t xml:space="preserve">Condition</w:t>
            </w:r>
          </w:p>
        </w:tc>
        <w:tc>
          <w:tcPr/>
          <w:p>
            <w:pPr>
              <w:pStyle w:val="Compact"/>
            </w:pPr>
            <w:r>
              <w:t xml:space="preserve">n subjects</w:t>
            </w:r>
          </w:p>
        </w:tc>
        <w:tc>
          <w:tcPr/>
          <w:p>
            <w:pPr>
              <w:pStyle w:val="Compact"/>
            </w:pPr>
            <w:r>
              <w:t xml:space="preserve">Mean AUROC</w:t>
            </w:r>
          </w:p>
        </w:tc>
        <w:tc>
          <w:tcPr/>
          <w:p>
            <w:pPr>
              <w:pStyle w:val="Compact"/>
            </w:pPr>
            <w:r>
              <w:t xml:space="preserve">95% bootstrap CI</w:t>
            </w:r>
          </w:p>
        </w:tc>
        <w:tc>
          <w:tcPr/>
          <w:p>
            <w:pPr>
              <w:pStyle w:val="Compact"/>
            </w:pPr>
            <w:r>
              <w:t xml:space="preserve">Median AUROC</w:t>
            </w:r>
          </w:p>
        </w:tc>
      </w:tr>
      <w:tr>
        <w:tc>
          <w:tcPr/>
          <w:p>
            <w:pPr>
              <w:pStyle w:val="Compact"/>
            </w:pPr>
            <w:r>
              <w:t xml:space="preserve">no audit</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t xml:space="preserve">in-house pass (≥ 0.70)</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rPr>
                <w:b/>
                <w:bCs/>
              </w:rPr>
              <w:t xml:space="preserve">Orphanidou pass</w:t>
            </w:r>
          </w:p>
        </w:tc>
        <w:tc>
          <w:tcPr/>
          <w:p>
            <w:pPr>
              <w:pStyle w:val="Compact"/>
            </w:pPr>
            <w:r>
              <w:rPr>
                <w:b/>
                <w:bCs/>
              </w:rPr>
              <w:t xml:space="preserve">14</w:t>
            </w:r>
          </w:p>
        </w:tc>
        <w:tc>
          <w:tcPr/>
          <w:p>
            <w:pPr>
              <w:pStyle w:val="Compact"/>
            </w:pPr>
            <w:r>
              <w:rPr>
                <w:b/>
                <w:bCs/>
              </w:rPr>
              <w:t xml:space="preserve">0.823</w:t>
            </w:r>
          </w:p>
        </w:tc>
        <w:tc>
          <w:tcPr/>
          <w:p>
            <w:pPr>
              <w:pStyle w:val="Compact"/>
            </w:pPr>
            <w:r>
              <w:rPr>
                <w:b/>
                <w:bCs/>
              </w:rPr>
              <w:t xml:space="preserve">[0.744, 0.906]</w:t>
            </w:r>
          </w:p>
        </w:tc>
        <w:tc>
          <w:tcPr/>
          <w:p>
            <w:pPr>
              <w:pStyle w:val="Compact"/>
            </w:pPr>
            <w:r>
              <w:rPr>
                <w:b/>
                <w:bCs/>
              </w:rPr>
              <w:t xml:space="preserve">0.822</w:t>
            </w:r>
          </w:p>
        </w:tc>
      </w:tr>
      <w:tr>
        <w:tc>
          <w:tcPr/>
          <w:p>
            <w:pPr>
              <w:pStyle w:val="Compact"/>
            </w:pPr>
            <w:r>
              <w:t xml:space="preserve">both</w:t>
            </w:r>
          </w:p>
        </w:tc>
        <w:tc>
          <w:tcPr/>
          <w:p>
            <w:pPr>
              <w:pStyle w:val="Compact"/>
            </w:pPr>
            <w:r>
              <w:t xml:space="preserve">14</w:t>
            </w:r>
          </w:p>
        </w:tc>
        <w:tc>
          <w:tcPr/>
          <w:p>
            <w:pPr>
              <w:pStyle w:val="Compact"/>
            </w:pPr>
            <w:r>
              <w:t xml:space="preserve">0.823</w:t>
            </w:r>
          </w:p>
        </w:tc>
        <w:tc>
          <w:tcPr/>
          <w:p>
            <w:pPr>
              <w:pStyle w:val="Compact"/>
            </w:pPr>
            <w:r>
              <w:t xml:space="preserve">[0.744, 0.906]</w:t>
            </w:r>
          </w:p>
        </w:tc>
        <w:tc>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p>
            <w:pPr>
              <w:pStyle w:val="Compact"/>
            </w:pPr>
            <w:r>
              <w:t xml:space="preserve">Condition vs no-audit</w:t>
            </w:r>
          </w:p>
        </w:tc>
        <w:tc>
          <w:tcPr/>
          <w:p>
            <w:pPr>
              <w:pStyle w:val="Compact"/>
            </w:pPr>
            <w:r>
              <w:t xml:space="preserve">n paired</w:t>
            </w:r>
          </w:p>
        </w:tc>
        <w:tc>
          <w:tcPr/>
          <w:p>
            <w:pPr>
              <w:pStyle w:val="Compact"/>
            </w:pPr>
            <w:r>
              <w:t xml:space="preserve">Mean Δ AUROC</w:t>
            </w:r>
          </w:p>
        </w:tc>
        <w:tc>
          <w:tcPr/>
          <w:p>
            <w:pPr>
              <w:pStyle w:val="Compact"/>
            </w:pPr>
            <w:r>
              <w:t xml:space="preserve">n improved / n worse</w:t>
            </w:r>
          </w:p>
        </w:tc>
        <w:tc>
          <w:tcPr/>
          <w:p>
            <w:pPr>
              <w:pStyle w:val="Compact"/>
            </w:pPr>
            <w:r>
              <w:t xml:space="preserve">Wilcoxon p (one-sided, greater)</w:t>
            </w:r>
          </w:p>
        </w:tc>
      </w:tr>
      <w:tr>
        <w:tc>
          <w:tcPr/>
          <w:p>
            <w:pPr>
              <w:pStyle w:val="Compact"/>
            </w:pPr>
            <w:r>
              <w:t xml:space="preserve">in-house</w:t>
            </w:r>
          </w:p>
        </w:tc>
        <w:tc>
          <w:tcPr/>
          <w:p>
            <w:pPr>
              <w:pStyle w:val="Compact"/>
            </w:pPr>
            <w:r>
              <w:t xml:space="preserve">15</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w:t>
            </w:r>
          </w:p>
        </w:tc>
        <w:tc>
          <w:tcPr/>
          <w:p>
            <w:pPr>
              <w:pStyle w:val="Compact"/>
            </w:pPr>
            <w:r>
              <w:rPr>
                <w:b/>
                <w:bCs/>
              </w:rPr>
              <w:t xml:space="preserve">14</w:t>
            </w:r>
          </w:p>
        </w:tc>
        <w:tc>
          <w:tcPr/>
          <w:p>
            <w:pPr>
              <w:pStyle w:val="Compact"/>
            </w:pPr>
            <w:r>
              <w:rPr>
                <w:b/>
                <w:bCs/>
              </w:rPr>
              <w:t xml:space="preserve">+0.027</w:t>
            </w:r>
          </w:p>
        </w:tc>
        <w:tc>
          <w:tcPr/>
          <w:p>
            <w:pPr>
              <w:pStyle w:val="Compact"/>
            </w:pPr>
            <w:r>
              <w:rPr>
                <w:b/>
                <w:bCs/>
              </w:rPr>
              <w:t xml:space="preserve">10 / 4</w:t>
            </w:r>
          </w:p>
        </w:tc>
        <w:tc>
          <w:tcPr/>
          <w:p>
            <w:pPr>
              <w:pStyle w:val="Compact"/>
            </w:pPr>
            <w:r>
              <w:rPr>
                <w:b/>
                <w:bCs/>
              </w:rPr>
              <w:t xml:space="preserve">0.052</w:t>
            </w:r>
          </w:p>
        </w:tc>
      </w:tr>
      <w:tr>
        <w:tc>
          <w:tcPr/>
          <w:p>
            <w:pPr>
              <w:pStyle w:val="Compact"/>
            </w:pPr>
            <w:r>
              <w:t xml:space="preserve">both</w:t>
            </w:r>
          </w:p>
        </w:tc>
        <w:tc>
          <w:tcPr/>
          <w:p>
            <w:pPr>
              <w:pStyle w:val="Compact"/>
            </w:pPr>
            <w:r>
              <w:t xml:space="preserve">14</w:t>
            </w:r>
          </w:p>
        </w:tc>
        <w:tc>
          <w:tcPr/>
          <w:p>
            <w:pPr>
              <w:pStyle w:val="Compact"/>
            </w:pPr>
            <w:r>
              <w:t xml:space="preserve">+0.027</w:t>
            </w:r>
          </w:p>
        </w:tc>
        <w:tc>
          <w:tcPr/>
          <w:p>
            <w:pPr>
              <w:pStyle w:val="Compact"/>
            </w:pPr>
            <w:r>
              <w:t xml:space="preserve">10 / 4</w:t>
            </w:r>
          </w:p>
        </w:tc>
        <w:tc>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 paired</w:t>
            </w:r>
          </w:p>
        </w:tc>
        <w:tc>
          <w:tcPr/>
          <w:p>
            <w:pPr>
              <w:pStyle w:val="Compact"/>
            </w:pPr>
            <w:r>
              <w:t xml:space="preserve">Mean Δ ρ</w:t>
            </w:r>
          </w:p>
        </w:tc>
        <w:tc>
          <w:tcPr/>
          <w:p>
            <w:pPr>
              <w:pStyle w:val="Compact"/>
            </w:pPr>
            <w:r>
              <w:t xml:space="preserve">Median Δ ρ</w:t>
            </w:r>
          </w:p>
        </w:tc>
        <w:tc>
          <w:tcPr/>
          <w:p>
            <w:pPr>
              <w:pStyle w:val="Compact"/>
            </w:pPr>
            <w:r>
              <w:t xml:space="preserve">n improved / n worse</w:t>
            </w:r>
          </w:p>
        </w:tc>
        <w:tc>
          <w:tcPr/>
          <w:p>
            <w:pPr>
              <w:pStyle w:val="Compact"/>
            </w:pPr>
            <w:r>
              <w:t xml:space="preserve">Wilcoxon p (greater)</w:t>
            </w:r>
          </w:p>
        </w:tc>
      </w:tr>
      <w:tr>
        <w:tc>
          <w:tcPr/>
          <w:p>
            <w:pPr>
              <w:pStyle w:val="Compact"/>
            </w:pPr>
            <w:r>
              <w:t xml:space="preserve">in-house vs all</w:t>
            </w:r>
          </w:p>
        </w:tc>
        <w:tc>
          <w:tcPr/>
          <w:p>
            <w:pPr>
              <w:pStyle w:val="Compact"/>
            </w:pPr>
            <w:r>
              <w:t xml:space="preserve">15</w:t>
            </w:r>
          </w:p>
        </w:tc>
        <w:tc>
          <w:tcPr/>
          <w:p>
            <w:pPr>
              <w:pStyle w:val="Compact"/>
            </w:pPr>
            <w:r>
              <w:t xml:space="preserve">0.000</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 vs all</w:t>
            </w:r>
          </w:p>
        </w:tc>
        <w:tc>
          <w:tcPr/>
          <w:p>
            <w:pPr>
              <w:pStyle w:val="Compact"/>
            </w:pPr>
            <w:r>
              <w:rPr>
                <w:b/>
                <w:bCs/>
              </w:rPr>
              <w:t xml:space="preserve">15</w:t>
            </w:r>
          </w:p>
        </w:tc>
        <w:tc>
          <w:tcPr/>
          <w:p>
            <w:pPr>
              <w:pStyle w:val="Compact"/>
            </w:pPr>
            <w:r>
              <w:rPr>
                <w:b/>
                <w:bCs/>
              </w:rPr>
              <w:t xml:space="preserve">+0.102</w:t>
            </w:r>
          </w:p>
        </w:tc>
        <w:tc>
          <w:tcPr/>
          <w:p>
            <w:pPr>
              <w:pStyle w:val="Compact"/>
            </w:pPr>
            <w:r>
              <w:rPr>
                <w:b/>
                <w:bCs/>
              </w:rPr>
              <w:t xml:space="preserve">+0.110</w:t>
            </w:r>
          </w:p>
        </w:tc>
        <w:tc>
          <w:tcPr/>
          <w:p>
            <w:pPr>
              <w:pStyle w:val="Compact"/>
            </w:pPr>
            <w:r>
              <w:rPr>
                <w:b/>
                <w:bCs/>
              </w:rPr>
              <w:t xml:space="preserve">13 / 2</w:t>
            </w:r>
          </w:p>
        </w:tc>
        <w:tc>
          <w:tcPr/>
          <w:p>
            <w:pPr>
              <w:pStyle w:val="Compact"/>
            </w:pPr>
            <w:r>
              <w:rPr>
                <w:b/>
                <w:bCs/>
              </w:rPr>
              <w:t xml:space="preserve">1.5e-04</w:t>
            </w:r>
          </w:p>
        </w:tc>
      </w:tr>
      <w:tr>
        <w:tc>
          <w:tcPr/>
          <w:p>
            <w:pPr>
              <w:pStyle w:val="Compact"/>
            </w:pPr>
            <w:r>
              <w:t xml:space="preserve">both vs all</w:t>
            </w:r>
          </w:p>
        </w:tc>
        <w:tc>
          <w:tcPr/>
          <w:p>
            <w:pPr>
              <w:pStyle w:val="Compact"/>
            </w:pPr>
            <w:r>
              <w:t xml:space="preserve">15</w:t>
            </w:r>
          </w:p>
        </w:tc>
        <w:tc>
          <w:tcPr/>
          <w:p>
            <w:pPr>
              <w:pStyle w:val="Compact"/>
            </w:pPr>
            <w:r>
              <w:t xml:space="preserve">+0.102</w:t>
            </w:r>
          </w:p>
        </w:tc>
        <w:tc>
          <w:tcPr/>
          <w:p>
            <w:pPr>
              <w:pStyle w:val="Compact"/>
            </w:pPr>
            <w:r>
              <w:t xml:space="preserve">+0.110</w:t>
            </w:r>
          </w:p>
        </w:tc>
        <w:tc>
          <w:tcPr/>
          <w:p>
            <w:pPr>
              <w:pStyle w:val="Compact"/>
            </w:pPr>
            <w:r>
              <w:t xml:space="preserve">13 / 2</w:t>
            </w:r>
          </w:p>
        </w:tc>
        <w:tc>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Combined interpretation.</w:t>
      </w:r>
      <w:r>
        <w:t xml:space="preserve"> </w:t>
      </w:r>
      <w:r>
        <w:t xml:space="preserve">Audit filtering reliably improves window-level biomarker estimation but only marginally improves cohort-level classification. The Spearman improvement (p &lt; 0.001) is the more direct test of the framework’s value because it operates at the per-window level where the audit acts. The classification result (p = 0.05) is more demanding because LOSO held-out evaluation on n = 15 has limited statistical power; the +0.027 mean improvement is consistent with a real effect that the sample size does not let us declare significant.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BodyText"/>
      </w:pPr>
      <w:r>
        <w:t xml:space="preserve">Figure 5 (</w:t>
      </w:r>
      <w:r>
        <w:rPr>
          <w:rStyle w:val="VerbatimChar"/>
        </w:rPr>
        <w:t xml:space="preserve">results/downstream_demo/figure_downstream.png</w:t>
      </w:r>
      <w:r>
        <w:t xml:space="preserve">):</w:t>
      </w:r>
      <w:r>
        <w:t xml:space="preserve"> </w:t>
      </w:r>
      <w:r>
        <w:t xml:space="preserve">- Panel A: LOSO AUROC distributions by audit condition.</w:t>
      </w:r>
      <w:r>
        <w:t xml:space="preserve"> </w:t>
      </w:r>
      <w:r>
        <w:t xml:space="preserve">- Panel B: per-subject paired Δ AUROC vs no-audit, by audit variant.</w:t>
      </w:r>
      <w:r>
        <w:t xml:space="preserve"> </w:t>
      </w:r>
      <w:r>
        <w:t xml:space="preserve">- Panel C: per-subject biomarker ρ under each condition.</w:t>
      </w:r>
      <w:r>
        <w:t xml:space="preserve"> </w:t>
      </w:r>
      <w:r>
        <w:t xml:space="preserve">- Panel D: per-subject retention vs Δρ trade-off (Orphanidou condition).</w:t>
      </w:r>
    </w:p>
    <w:bookmarkEnd w:id="28"/>
    <w:bookmarkStart w:id="29" w:name="external-validation-on-ppg-dalia"/>
    <w:p>
      <w:pPr>
        <w:pStyle w:val="Heading3"/>
      </w:pPr>
      <w:r>
        <w:t xml:space="preserve">3.7 External validation on PPG-DaLiA</w:t>
      </w:r>
    </w:p>
    <w:p>
      <w:pPr>
        <w:pStyle w:val="FirstParagraph"/>
      </w:pPr>
      <w:r>
        <w:t xml:space="preserve">The cross-method SQI disagreement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disagreement pattern: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disagreement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disagreement finding replicates on a 3x larger benchmark with a different activity paradigm and the same hardware."/>
      </w:tblPr>
      <w:tblGrid>
        <w:gridCol w:w="2640"/>
        <w:gridCol w:w="2640"/>
        <w:gridCol w:w="2640"/>
      </w:tblGrid>
      <w:tr>
        <w:trPr>
          <w:tblHeader w:val="on"/>
        </w:trPr>
        <w:tc>
          <w:tcPr/>
          <w:p>
            <w:pPr>
              <w:pStyle w:val="Compact"/>
            </w:pPr>
            <w:r>
              <w:t xml:space="preserve">Metric</w:t>
            </w:r>
          </w:p>
        </w:tc>
        <w:tc>
          <w:tcPr/>
          <w:p>
            <w:pPr>
              <w:pStyle w:val="Compact"/>
            </w:pPr>
            <w:r>
              <w:t xml:space="preserve">WESAD (n = 15, 6,585 windows)</w:t>
            </w:r>
          </w:p>
        </w:tc>
        <w:tc>
          <w:tcPr/>
          <w:p>
            <w:pPr>
              <w:pStyle w:val="Compact"/>
            </w:pPr>
            <w:r>
              <w:t xml:space="preserve">PPG-DaLiA (n = 15, 18,781 windows)</w:t>
            </w:r>
          </w:p>
        </w:tc>
      </w:tr>
      <w:tr>
        <w:tc>
          <w:tcPr/>
          <w:p>
            <w:pPr>
              <w:pStyle w:val="Compact"/>
            </w:pPr>
            <w:r>
              <w:t xml:space="preserve">In-house pass rate</w:t>
            </w:r>
          </w:p>
        </w:tc>
        <w:tc>
          <w:tcPr/>
          <w:p>
            <w:pPr>
              <w:pStyle w:val="Compact"/>
            </w:pPr>
            <w:r>
              <w:t xml:space="preserve">1.000</w:t>
            </w:r>
          </w:p>
        </w:tc>
        <w:tc>
          <w:tcPr/>
          <w:p>
            <w:pPr>
              <w:pStyle w:val="Compact"/>
            </w:pPr>
            <w:r>
              <w:t xml:space="preserve">1.000</w:t>
            </w:r>
          </w:p>
        </w:tc>
      </w:tr>
      <w:tr>
        <w:tc>
          <w:tcPr/>
          <w:p>
            <w:pPr>
              <w:pStyle w:val="Compact"/>
            </w:pPr>
            <w:r>
              <w:t xml:space="preserve">Orphanidou pass rate</w:t>
            </w:r>
          </w:p>
        </w:tc>
        <w:tc>
          <w:tcPr/>
          <w:p>
            <w:pPr>
              <w:pStyle w:val="Compact"/>
            </w:pPr>
            <w:r>
              <w:t xml:space="preserve">0.256</w:t>
            </w:r>
          </w:p>
        </w:tc>
        <w:tc>
          <w:tcPr/>
          <w:p>
            <w:pPr>
              <w:pStyle w:val="Compact"/>
            </w:pPr>
            <w:r>
              <w:t xml:space="preserve">0.282</w:t>
            </w:r>
          </w:p>
        </w:tc>
      </w:tr>
      <w:tr>
        <w:tc>
          <w:tcPr/>
          <w:p>
            <w:pPr>
              <w:pStyle w:val="Compact"/>
            </w:pPr>
            <w:r>
              <w:t xml:space="preserve">Sukor pass rate</w:t>
            </w:r>
          </w:p>
        </w:tc>
        <w:tc>
          <w:tcPr/>
          <w:p>
            <w:pPr>
              <w:pStyle w:val="Compact"/>
            </w:pPr>
            <w:r>
              <w:t xml:space="preserve">0.255</w:t>
            </w:r>
          </w:p>
        </w:tc>
        <w:tc>
          <w:tcPr/>
          <w:p>
            <w:pPr>
              <w:pStyle w:val="Compact"/>
            </w:pPr>
            <w:r>
              <w:t xml:space="preserve">0.271</w:t>
            </w:r>
          </w:p>
        </w:tc>
      </w:tr>
      <w:tr>
        <w:tc>
          <w:tcPr/>
          <w:p>
            <w:pPr>
              <w:pStyle w:val="Compact"/>
            </w:pPr>
            <w:r>
              <w:t xml:space="preserve">Elgendi pass rate</w:t>
            </w:r>
          </w:p>
        </w:tc>
        <w:tc>
          <w:tcPr/>
          <w:p>
            <w:pPr>
              <w:pStyle w:val="Compact"/>
            </w:pPr>
            <w:r>
              <w:t xml:space="preserve">0.215</w:t>
            </w:r>
          </w:p>
        </w:tc>
        <w:tc>
          <w:tcPr/>
          <w:p>
            <w:pPr>
              <w:pStyle w:val="Compact"/>
            </w:pPr>
            <w:r>
              <w:t xml:space="preserve">0.220</w:t>
            </w:r>
          </w:p>
        </w:tc>
      </w:tr>
      <w:tr>
        <w:tc>
          <w:tcPr/>
          <w:p>
            <w:pPr>
              <w:pStyle w:val="Compact"/>
            </w:pPr>
            <w:r>
              <w:t xml:space="preserve">In-house pass AND all 3 published fail</w:t>
            </w:r>
          </w:p>
        </w:tc>
        <w:tc>
          <w:tcPr/>
          <w:p>
            <w:pPr>
              <w:pStyle w:val="Compact"/>
            </w:pPr>
            <w:r>
              <w:t xml:space="preserve">0.446</w:t>
            </w:r>
          </w:p>
        </w:tc>
        <w:tc>
          <w:tcPr/>
          <w:p>
            <w:pPr>
              <w:pStyle w:val="Compact"/>
            </w:pPr>
            <w:r>
              <w:t xml:space="preserve">0.431</w:t>
            </w:r>
          </w:p>
        </w:tc>
      </w:tr>
      <w:tr>
        <w:tc>
          <w:tcPr/>
          <w:p>
            <w:pPr>
              <w:pStyle w:val="Compact"/>
            </w:pPr>
            <w:r>
              <w:t xml:space="preserve">Median pairwise κ (published methods)</w:t>
            </w:r>
          </w:p>
        </w:tc>
        <w:tc>
          <w:tcPr/>
          <w:p>
            <w:pPr>
              <w:pStyle w:val="Compact"/>
            </w:pPr>
            <w:r>
              <w:t xml:space="preserve">-0.198</w:t>
            </w:r>
          </w:p>
        </w:tc>
        <w:tc>
          <w:tcPr/>
          <w:p>
            <w:pPr>
              <w:pStyle w:val="Compact"/>
            </w:pPr>
            <w:r>
              <w:t xml:space="preserve">-0.204</w:t>
            </w:r>
          </w:p>
        </w:tc>
      </w:tr>
      <w:tr>
        <w:tc>
          <w:tcPr/>
          <w:p>
            <w:pPr>
              <w:pStyle w:val="Compact"/>
            </w:pPr>
            <w:r>
              <w:t xml:space="preserve">κ vs in-house (all three published)</w:t>
            </w:r>
          </w:p>
        </w:tc>
        <w:tc>
          <w:tcPr/>
          <w:p>
            <w:pPr>
              <w:pStyle w:val="Compact"/>
            </w:pPr>
            <w:r>
              <w:t xml:space="preserve">0.000</w:t>
            </w:r>
          </w:p>
        </w:tc>
        <w:tc>
          <w:tcPr/>
          <w:p>
            <w:pPr>
              <w:pStyle w:val="Compact"/>
            </w:pPr>
            <w:r>
              <w:t xml:space="preserve">0.000</w:t>
            </w:r>
          </w:p>
        </w:tc>
      </w:tr>
      <w:tr>
        <w:tc>
          <w:tcPr/>
          <w:p>
            <w:pPr>
              <w:pStyle w:val="Compact"/>
            </w:pPr>
            <w:r>
              <w:t xml:space="preserve">Per-subject absolute HR-difference range (bpm)</w:t>
            </w:r>
          </w:p>
        </w:tc>
        <w:tc>
          <w:tcPr/>
          <w:p>
            <w:pPr>
              <w:pStyle w:val="Compact"/>
            </w:pPr>
            <w:r>
              <w:t xml:space="preserve">6.75-26.02</w:t>
            </w:r>
          </w:p>
        </w:tc>
        <w:tc>
          <w:tcPr/>
          <w:p>
            <w:pPr>
              <w:pStyle w:val="Compact"/>
            </w:pPr>
            <w:r>
              <w:t xml:space="preserve">6.66-16.27</w:t>
            </w:r>
          </w:p>
        </w:tc>
      </w:tr>
      <w:tr>
        <w:tc>
          <w:tcPr/>
          <w:p>
            <w:pPr>
              <w:pStyle w:val="Compact"/>
            </w:pPr>
            <w:r>
              <w:t xml:space="preserve">Per-subject fold range</w:t>
            </w:r>
          </w:p>
        </w:tc>
        <w:tc>
          <w:tcPr/>
          <w:p>
            <w:pPr>
              <w:pStyle w:val="Compact"/>
            </w:pPr>
            <w:r>
              <w:t xml:space="preserve">4.0x</w:t>
            </w:r>
          </w:p>
        </w:tc>
        <w:tc>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disagreement finding is a property of wrist PPG itself rather than of the WESAD stress paradigm or of any single recording session.</w:t>
      </w:r>
    </w:p>
    <w:bookmarkEnd w:id="29"/>
    <w:bookmarkEnd w:id="30"/>
    <w:bookmarkStart w:id="38" w:name="Xf8d28994ab18c569b43451e1d59264a3df91dd7"/>
    <w:p>
      <w:pPr>
        <w:pStyle w:val="Heading2"/>
      </w:pPr>
      <w:r>
        <w:t xml:space="preserve">4. Methodological validation on synthetic data</w:t>
      </w:r>
    </w:p>
    <w:bookmarkStart w:id="31"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bookmarkEnd w:id="31"/>
    <w:bookmarkStart w:id="32" w:name="X7eefbf0decf15c54e4d1e7780b435273777fbce"/>
    <w:p>
      <w:pPr>
        <w:pStyle w:val="Heading3"/>
      </w:pPr>
      <w:r>
        <w:t xml:space="preserve">4.2 Bootstrap test-retest reliability (week-pair design)</w:t>
      </w:r>
    </w:p>
    <w:p>
      <w:pPr>
        <w:pStyle w:val="TableCaption"/>
      </w:pPr>
      <w:r>
        <w:t xml:space="preserve">Table 11. Bootstrap test-retest reliability on the synthetic cohort (n = 300 participants, 2,400 week-pairs).</w:t>
      </w:r>
    </w:p>
    <w:tbl>
      <w:tblPr>
        <w:tblStyle w:val="Table"/>
        <w:tblW w:type="auto" w:w="0"/>
        <w:tblLook w:firstRow="1" w:lastRow="0" w:firstColumn="0" w:lastColumn="0" w:noHBand="0" w:noVBand="0" w:val="0020"/>
        <w:tblCaption w:val="Table 11. Bootstrap test-retest reliability on the synthetic cohort (n = 300 participants, 2,400 week-pairs)."/>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r</w:t>
            </w:r>
          </w:p>
        </w:tc>
        <w:tc>
          <w:tcPr/>
          <w:p>
            <w:pPr>
              <w:pStyle w:val="Compact"/>
            </w:pPr>
            <w:r>
              <w:t xml:space="preserve">95% CI</w:t>
            </w:r>
          </w:p>
        </w:tc>
        <w:tc>
          <w:tcPr/>
          <w:p>
            <w:pPr>
              <w:pStyle w:val="Compact"/>
            </w:pPr>
            <w:r>
              <w:t xml:space="preserve">n participants</w:t>
            </w:r>
          </w:p>
        </w:tc>
        <w:tc>
          <w:tcPr/>
          <w:p>
            <w:pPr>
              <w:pStyle w:val="Compact"/>
            </w:pPr>
            <w:r>
              <w:t xml:space="preserve">n pairs</w:t>
            </w:r>
          </w:p>
        </w:tc>
      </w:tr>
      <w:tr>
        <w:tc>
          <w:tcPr/>
          <w:p>
            <w:pPr>
              <w:pStyle w:val="Compact"/>
            </w:pPr>
            <w:r>
              <w:t xml:space="preserve">resting_hr</w:t>
            </w:r>
          </w:p>
        </w:tc>
        <w:tc>
          <w:tcPr/>
          <w:p>
            <w:pPr>
              <w:pStyle w:val="Compact"/>
            </w:pPr>
            <w:r>
              <w:rPr>
                <w:b/>
                <w:bCs/>
              </w:rPr>
              <w:t xml:space="preserve">+0.977</w:t>
            </w:r>
          </w:p>
        </w:tc>
        <w:tc>
          <w:tcPr/>
          <w:p>
            <w:pPr>
              <w:pStyle w:val="Compact"/>
            </w:pPr>
            <w:r>
              <w:t xml:space="preserve">[+0.973, +0.980]</w:t>
            </w:r>
          </w:p>
        </w:tc>
        <w:tc>
          <w:tcPr/>
          <w:p>
            <w:pPr>
              <w:pStyle w:val="Compact"/>
            </w:pPr>
            <w:r>
              <w:t xml:space="preserve">300</w:t>
            </w:r>
          </w:p>
        </w:tc>
        <w:tc>
          <w:tcPr/>
          <w:p>
            <w:pPr>
              <w:pStyle w:val="Compact"/>
            </w:pPr>
            <w:r>
              <w:t xml:space="preserve">2400</w:t>
            </w:r>
          </w:p>
        </w:tc>
      </w:tr>
      <w:tr>
        <w:tc>
          <w:tcPr/>
          <w:p>
            <w:pPr>
              <w:pStyle w:val="Compact"/>
            </w:pPr>
            <w:r>
              <w:t xml:space="preserve">hrv_rmssd</w:t>
            </w:r>
          </w:p>
        </w:tc>
        <w:tc>
          <w:tcPr/>
          <w:p>
            <w:pPr>
              <w:pStyle w:val="Compact"/>
            </w:pPr>
            <w:r>
              <w:rPr>
                <w:b/>
                <w:bCs/>
              </w:rPr>
              <w:t xml:space="preserve">+0.954</w:t>
            </w:r>
          </w:p>
        </w:tc>
        <w:tc>
          <w:tcPr/>
          <w:p>
            <w:pPr>
              <w:pStyle w:val="Compact"/>
            </w:pPr>
            <w:r>
              <w:t xml:space="preserve">[+0.945, +0.961]</w:t>
            </w:r>
          </w:p>
        </w:tc>
        <w:tc>
          <w:tcPr/>
          <w:p>
            <w:pPr>
              <w:pStyle w:val="Compact"/>
            </w:pPr>
            <w:r>
              <w:t xml:space="preserve">300</w:t>
            </w:r>
          </w:p>
        </w:tc>
        <w:tc>
          <w:tcPr/>
          <w:p>
            <w:pPr>
              <w:pStyle w:val="Compact"/>
            </w:pPr>
            <w:r>
              <w:t xml:space="preserve">2400</w:t>
            </w:r>
          </w:p>
        </w:tc>
      </w:tr>
      <w:tr>
        <w:tc>
          <w:tcPr/>
          <w:p>
            <w:pPr>
              <w:pStyle w:val="Compact"/>
            </w:pPr>
            <w:r>
              <w:t xml:space="preserve">sleep_efficiency</w:t>
            </w:r>
          </w:p>
        </w:tc>
        <w:tc>
          <w:tcPr/>
          <w:p>
            <w:pPr>
              <w:pStyle w:val="Compact"/>
            </w:pPr>
            <w:r>
              <w:t xml:space="preserve">+0.023</w:t>
            </w:r>
          </w:p>
        </w:tc>
        <w:tc>
          <w:tcPr/>
          <w:p>
            <w:pPr>
              <w:pStyle w:val="Compact"/>
            </w:pPr>
            <w:r>
              <w:t xml:space="preserve">[-0.018, +0.062]</w:t>
            </w:r>
          </w:p>
        </w:tc>
        <w:tc>
          <w:tcPr/>
          <w:p>
            <w:pPr>
              <w:pStyle w:val="Compact"/>
            </w:pPr>
            <w:r>
              <w:t xml:space="preserve">300</w:t>
            </w:r>
          </w:p>
        </w:tc>
        <w:tc>
          <w:tcPr/>
          <w:p>
            <w:pPr>
              <w:pStyle w:val="Compact"/>
            </w:pPr>
            <w:r>
              <w:t xml:space="preserve">2400</w:t>
            </w:r>
          </w:p>
        </w:tc>
      </w:tr>
      <w:tr>
        <w:tc>
          <w:tcPr/>
          <w:p>
            <w:pPr>
              <w:pStyle w:val="Compact"/>
            </w:pPr>
            <w:r>
              <w:t xml:space="preserve">sleep_duration</w:t>
            </w:r>
          </w:p>
        </w:tc>
        <w:tc>
          <w:tcPr/>
          <w:p>
            <w:pPr>
              <w:pStyle w:val="Compact"/>
            </w:pPr>
            <w:r>
              <w:t xml:space="preserve">+0.002</w:t>
            </w:r>
          </w:p>
        </w:tc>
        <w:tc>
          <w:tcPr/>
          <w:p>
            <w:pPr>
              <w:pStyle w:val="Compact"/>
            </w:pPr>
            <w:r>
              <w:t xml:space="preserve">[-0.041, +0.038]</w:t>
            </w:r>
          </w:p>
        </w:tc>
        <w:tc>
          <w:tcPr/>
          <w:p>
            <w:pPr>
              <w:pStyle w:val="Compact"/>
            </w:pPr>
            <w:r>
              <w:t xml:space="preserve">300</w:t>
            </w:r>
          </w:p>
        </w:tc>
        <w:tc>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32"/>
    <w:bookmarkStart w:id="33"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33"/>
    <w:bookmarkStart w:id="34" w:name="fairness-disparities-recovered"/>
    <w:p>
      <w:pPr>
        <w:pStyle w:val="Heading3"/>
      </w:pPr>
      <w:r>
        <w:t xml:space="preserve">4.4 Fairness disparities recovered</w:t>
      </w:r>
    </w:p>
    <w:p>
      <w:pPr>
        <w:pStyle w:val="TableCaption"/>
      </w:pPr>
      <w:r>
        <w:t xml:space="preserve">Table 12.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2. Fairness disparities recovered on the synthetic cohort, signal_quality_score component."/>
      </w:tblPr>
      <w:tblGrid>
        <w:gridCol w:w="1584"/>
        <w:gridCol w:w="1584"/>
        <w:gridCol w:w="1584"/>
        <w:gridCol w:w="1584"/>
        <w:gridCol w:w="1584"/>
      </w:tblGrid>
      <w:tr>
        <w:trPr>
          <w:tblHeader w:val="on"/>
        </w:trPr>
        <w:tc>
          <w:tcPr/>
          <w:p>
            <w:pPr>
              <w:pStyle w:val="Compact"/>
            </w:pPr>
            <w:r>
              <w:t xml:space="preserve">Stratifier</w:t>
            </w:r>
          </w:p>
        </w:tc>
        <w:tc>
          <w:tcPr/>
          <w:p>
            <w:pPr>
              <w:pStyle w:val="Compact"/>
            </w:pPr>
            <w:r>
              <w:t xml:space="preserve">Component</w:t>
            </w:r>
          </w:p>
        </w:tc>
        <w:tc>
          <w:tcPr/>
          <w:p>
            <w:pPr>
              <w:pStyle w:val="Compact"/>
            </w:pPr>
            <w:r>
              <w:t xml:space="preserve">Q1 / lowest</w:t>
            </w:r>
          </w:p>
        </w:tc>
        <w:tc>
          <w:tcPr/>
          <w:p>
            <w:pPr>
              <w:pStyle w:val="Compact"/>
            </w:pPr>
            <w:r>
              <w:t xml:space="preserve">Q4 / highest</w:t>
            </w:r>
          </w:p>
        </w:tc>
        <w:tc>
          <w:tcPr/>
          <w:p>
            <w:pPr>
              <w:pStyle w:val="Compact"/>
            </w:pPr>
            <w:r>
              <w:t xml:space="preserve">Gap</w:t>
            </w:r>
          </w:p>
        </w:tc>
      </w:tr>
      <w:tr>
        <w:tc>
          <w:tcPr/>
          <w:p>
            <w:pPr>
              <w:pStyle w:val="Compact"/>
            </w:pPr>
            <w:r>
              <w:t xml:space="preserve">device_type</w:t>
            </w:r>
          </w:p>
        </w:tc>
        <w:tc>
          <w:tcPr/>
          <w:p>
            <w:pPr>
              <w:pStyle w:val="Compact"/>
            </w:pPr>
            <w:r>
              <w:t xml:space="preserve">signal_quality_score</w:t>
            </w:r>
          </w:p>
        </w:tc>
        <w:tc>
          <w:tcPr/>
          <w:p>
            <w:pPr>
              <w:pStyle w:val="Compact"/>
            </w:pPr>
            <w:r>
              <w:t xml:space="preserve">device_A: 67.40</w:t>
            </w:r>
          </w:p>
        </w:tc>
        <w:tc>
          <w:tcPr/>
          <w:p>
            <w:pPr>
              <w:pStyle w:val="Compact"/>
            </w:pPr>
            <w:r>
              <w:t xml:space="preserve">device_C: 54.38</w:t>
            </w:r>
          </w:p>
        </w:tc>
        <w:tc>
          <w:tcPr/>
          <w:p>
            <w:pPr>
              <w:pStyle w:val="Compact"/>
            </w:pPr>
            <w:r>
              <w:rPr>
                <w:b/>
                <w:bCs/>
              </w:rPr>
              <w:t xml:space="preserve">-13.02</w:t>
            </w:r>
          </w:p>
        </w:tc>
      </w:tr>
      <w:tr>
        <w:tc>
          <w:tcPr/>
          <w:p>
            <w:pPr>
              <w:pStyle w:val="Compact"/>
            </w:pPr>
            <w:r>
              <w:t xml:space="preserve">skin_tone_q</w:t>
            </w:r>
          </w:p>
        </w:tc>
        <w:tc>
          <w:tcPr/>
          <w:p>
            <w:pPr>
              <w:pStyle w:val="Compact"/>
            </w:pPr>
            <w:r>
              <w:t xml:space="preserve">signal_quality_score</w:t>
            </w:r>
          </w:p>
        </w:tc>
        <w:tc>
          <w:tcPr/>
          <w:p>
            <w:pPr>
              <w:pStyle w:val="Compact"/>
            </w:pPr>
            <w:r>
              <w:t xml:space="preserve">Q1 (light): 67.93</w:t>
            </w:r>
          </w:p>
        </w:tc>
        <w:tc>
          <w:tcPr/>
          <w:p>
            <w:pPr>
              <w:pStyle w:val="Compact"/>
            </w:pPr>
            <w:r>
              <w:t xml:space="preserve">Q4 (dark): 58.40</w:t>
            </w:r>
          </w:p>
        </w:tc>
        <w:tc>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34"/>
    <w:bookmarkStart w:id="35" w:name="causal-adjusted-confounding"/>
    <w:p>
      <w:pPr>
        <w:pStyle w:val="Heading3"/>
      </w:pPr>
      <w:r>
        <w:t xml:space="preserve">4.5 Causal-adjusted confounding</w:t>
      </w:r>
    </w:p>
    <w:p>
      <w:pPr>
        <w:pStyle w:val="TableCaption"/>
      </w:pPr>
      <w:r>
        <w:t xml:space="preserve">Table 13. Screening Pearson correlation vs AIPW adjusted estimate, synthetic cohort.</w:t>
      </w:r>
    </w:p>
    <w:tbl>
      <w:tblPr>
        <w:tblStyle w:val="Table"/>
        <w:tblW w:type="pct" w:w="5000"/>
        <w:tblLayout w:type="fixed"/>
        <w:tblLook w:firstRow="1" w:lastRow="0" w:firstColumn="0" w:lastColumn="0" w:noHBand="0" w:noVBand="0" w:val="0020"/>
        <w:tblCaption w:val="Table 13. Screening Pearson correlation vs AIPW adjusted estimate, synthetic cohort."/>
      </w:tblPr>
      <w:tblGrid>
        <w:gridCol w:w="1584"/>
        <w:gridCol w:w="1584"/>
        <w:gridCol w:w="1584"/>
        <w:gridCol w:w="1584"/>
        <w:gridCol w:w="1584"/>
      </w:tblGrid>
      <w:tr>
        <w:trPr>
          <w:tblHeader w:val="on"/>
        </w:trPr>
        <w:tc>
          <w:tcPr/>
          <w:p>
            <w:pPr>
              <w:pStyle w:val="Compact"/>
            </w:pPr>
            <w:r>
              <w:t xml:space="preserve">Treatment</w:t>
            </w:r>
          </w:p>
        </w:tc>
        <w:tc>
          <w:tcPr/>
          <w:p>
            <w:pPr>
              <w:pStyle w:val="Compact"/>
            </w:pPr>
            <w:r>
              <w:t xml:space="preserve">Outcome</w:t>
            </w:r>
          </w:p>
        </w:tc>
        <w:tc>
          <w:tcPr/>
          <w:p>
            <w:pPr>
              <w:pStyle w:val="Compact"/>
            </w:pPr>
            <w:r>
              <w:t xml:space="preserve">Screening r</w:t>
            </w:r>
          </w:p>
        </w:tc>
        <w:tc>
          <w:tcPr/>
          <w:p>
            <w:pPr>
              <w:pStyle w:val="Compact"/>
            </w:pPr>
            <w:r>
              <w:t xml:space="preserve">AIPW estimate</w:t>
            </w:r>
          </w:p>
        </w:tc>
        <w:tc>
          <w:tcPr/>
          <w:p>
            <w:pPr>
              <w:pStyle w:val="Compact"/>
            </w:pPr>
            <w:r>
              <w:t xml:space="preserve">95% CI</w:t>
            </w:r>
          </w:p>
        </w:tc>
      </w:tr>
      <w:tr>
        <w:tc>
          <w:tcPr/>
          <w:p>
            <w:pPr>
              <w:pStyle w:val="Compact"/>
            </w:pPr>
            <w:r>
              <w:t xml:space="preserve">heat_index</w:t>
            </w:r>
          </w:p>
        </w:tc>
        <w:tc>
          <w:tcPr/>
          <w:p>
            <w:pPr>
              <w:pStyle w:val="Compact"/>
            </w:pPr>
            <w:r>
              <w:t xml:space="preserve">hrv_rmssd</w:t>
            </w:r>
          </w:p>
        </w:tc>
        <w:tc>
          <w:tcPr/>
          <w:p>
            <w:pPr>
              <w:pStyle w:val="Compact"/>
            </w:pPr>
            <w:r>
              <w:t xml:space="preserve">-0.054</w:t>
            </w:r>
          </w:p>
        </w:tc>
        <w:tc>
          <w:tcPr/>
          <w:p>
            <w:pPr>
              <w:pStyle w:val="Compact"/>
            </w:pPr>
            <w:r>
              <w:t xml:space="preserve">+0.249</w:t>
            </w:r>
          </w:p>
        </w:tc>
        <w:tc>
          <w:tcPr/>
          <w:p>
            <w:pPr>
              <w:pStyle w:val="Compact"/>
            </w:pPr>
            <w:r>
              <w:t xml:space="preserve">[-0.604, +1.030]</w:t>
            </w:r>
          </w:p>
        </w:tc>
      </w:tr>
      <w:tr>
        <w:tc>
          <w:tcPr/>
          <w:p>
            <w:pPr>
              <w:pStyle w:val="Compact"/>
            </w:pPr>
            <w:r>
              <w:t xml:space="preserve">heat_index</w:t>
            </w:r>
          </w:p>
        </w:tc>
        <w:tc>
          <w:tcPr/>
          <w:p>
            <w:pPr>
              <w:pStyle w:val="Compact"/>
            </w:pPr>
            <w:r>
              <w:t xml:space="preserve">sleep_efficiency</w:t>
            </w:r>
          </w:p>
        </w:tc>
        <w:tc>
          <w:tcPr/>
          <w:p>
            <w:pPr>
              <w:pStyle w:val="Compact"/>
            </w:pPr>
            <w:r>
              <w:t xml:space="preserve">-0.090</w:t>
            </w:r>
          </w:p>
        </w:tc>
        <w:tc>
          <w:tcPr/>
          <w:p>
            <w:pPr>
              <w:pStyle w:val="Compact"/>
            </w:pPr>
            <w:r>
              <w:t xml:space="preserve">+0.005</w:t>
            </w:r>
          </w:p>
        </w:tc>
        <w:tc>
          <w:tcPr/>
          <w:p>
            <w:pPr>
              <w:pStyle w:val="Compact"/>
            </w:pPr>
            <w:r>
              <w:t xml:space="preserve">[+0.000, +0.008]</w:t>
            </w:r>
          </w:p>
        </w:tc>
      </w:tr>
      <w:tr>
        <w:tc>
          <w:tcPr/>
          <w:p>
            <w:pPr>
              <w:pStyle w:val="Compact"/>
            </w:pPr>
            <w:r>
              <w:t xml:space="preserve">aqi</w:t>
            </w:r>
          </w:p>
        </w:tc>
        <w:tc>
          <w:tcPr/>
          <w:p>
            <w:pPr>
              <w:pStyle w:val="Compact"/>
            </w:pPr>
            <w:r>
              <w:t xml:space="preserve">sleep_efficiency</w:t>
            </w:r>
          </w:p>
        </w:tc>
        <w:tc>
          <w:tcPr/>
          <w:p>
            <w:pPr>
              <w:pStyle w:val="Compact"/>
            </w:pPr>
            <w:r>
              <w:t xml:space="preserve">-0.020</w:t>
            </w:r>
          </w:p>
        </w:tc>
        <w:tc>
          <w:tcPr/>
          <w:p>
            <w:pPr>
              <w:pStyle w:val="Compact"/>
            </w:pPr>
            <w:r>
              <w:t xml:space="preserve">-0.002</w:t>
            </w:r>
          </w:p>
        </w:tc>
        <w:tc>
          <w:tcPr/>
          <w:p>
            <w:pPr>
              <w:pStyle w:val="Compact"/>
            </w:pPr>
            <w:r>
              <w:t xml:space="preserve">[-0.003, +0.000]</w:t>
            </w:r>
          </w:p>
        </w:tc>
      </w:tr>
      <w:tr>
        <w:tc>
          <w:tcPr/>
          <w:p>
            <w:pPr>
              <w:pStyle w:val="Compact"/>
            </w:pPr>
            <w:r>
              <w:t xml:space="preserve">active_minutes</w:t>
            </w:r>
          </w:p>
        </w:tc>
        <w:tc>
          <w:tcPr/>
          <w:p>
            <w:pPr>
              <w:pStyle w:val="Compact"/>
            </w:pPr>
            <w:r>
              <w:t xml:space="preserve">hrv_rmssd</w:t>
            </w:r>
          </w:p>
        </w:tc>
        <w:tc>
          <w:tcPr/>
          <w:p>
            <w:pPr>
              <w:pStyle w:val="Compact"/>
            </w:pPr>
            <w:r>
              <w:t xml:space="preserve">-0.019</w:t>
            </w:r>
          </w:p>
        </w:tc>
        <w:tc>
          <w:tcPr/>
          <w:p>
            <w:pPr>
              <w:pStyle w:val="Compact"/>
            </w:pPr>
            <w:r>
              <w:rPr>
                <w:b/>
                <w:bCs/>
              </w:rPr>
              <w:t xml:space="preserve">-0.497</w:t>
            </w:r>
          </w:p>
        </w:tc>
        <w:tc>
          <w:tcPr/>
          <w:p>
            <w:pPr>
              <w:pStyle w:val="Compact"/>
            </w:pPr>
            <w:r>
              <w:rPr>
                <w:b/>
                <w:bCs/>
              </w:rPr>
              <w:t xml:space="preserve">[-0.797, -0.137]</w:t>
            </w:r>
          </w:p>
        </w:tc>
      </w:tr>
    </w:tbl>
    <w:p>
      <w:pPr>
        <w:pStyle w:val="BodyText"/>
      </w:pPr>
      <w:r>
        <w:t xml:space="preserve">The pattern that wearable papers should worry about: weak screening correlations that change sign or magnitude under adjustment, and screening correlations that become statistically significant only after adjustment. Heat → HRV looks negligible at -0.054 in the screening correlation, but the AIPW point estimate (under back-door adjustment for stress, active minutes, sleep efficiency, AQI, and temperature) is +0.249 with a CI that crosses zero, suggesting the screening result was confounded. Active minutes → HRV looks negligible at -0.019, but adjustment reveals a significant negative effect (-0.497, CI excludes zero). The audit reports screening and adjusted estimates side by side.</w:t>
      </w:r>
    </w:p>
    <w:p>
      <w:pPr>
        <w:pStyle w:val="BodyText"/>
      </w:pPr>
      <w:r>
        <w:t xml:space="preserve">Positivity and E-value sensitivity checks for both treatments are reported in supplement section S2. The heat_index treatments have a positivity violation (Kish ESS 63%), so those point estimates are illustrative; the active_minutes treatment has clean positivity (Kish ESS 98.5%) and the E-value of 2.52 indicates modest robustness.</w:t>
      </w:r>
    </w:p>
    <w:bookmarkEnd w:id="35"/>
    <w:bookmarkStart w:id="36"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36"/>
    <w:bookmarkStart w:id="37"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bookmarkEnd w:id="37"/>
    <w:bookmarkEnd w:id="38"/>
    <w:bookmarkStart w:id="42" w:name="discussion"/>
    <w:p>
      <w:pPr>
        <w:pStyle w:val="Heading2"/>
      </w:pPr>
      <w:r>
        <w:t xml:space="preserve">5. Discussion</w:t>
      </w:r>
    </w:p>
    <w:bookmarkStart w:id="39"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disagree at scale on real wearable data.</w:t>
      </w:r>
      <w:r>
        <w:t xml:space="preserve"> </w:t>
      </w:r>
      <w:r>
        <w:t xml:space="preserve">The published methods individually pass 21.5% to 25.6% of windows but collectively reject 44.6% of windows accepted by a representative in-house threshold. Pairwise Cohen’s κ across the three published methods spans -0.23 to +0.41 (median -0.20), indicating that the methods agree on neither the pass nor the reject set in the gray area but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multi-baseline-pass windows improves per-subject wrist-PPG-to-chest-ECG HR correlation by a median of +0.110 (13 of 15 subjects improved, paired Wilcoxon p = 1.5e-04), with the largest gains in subjects whose unfiltered correlation was modest (S10: 0.65 → 0.78, S9: 0.47 → 0.76).</w:t>
      </w:r>
    </w:p>
    <w:bookmarkEnd w:id="39"/>
    <w:bookmarkStart w:id="40" w:name="relation-to-prior-work"/>
    <w:p>
      <w:pPr>
        <w:pStyle w:val="Heading3"/>
      </w:pPr>
      <w:r>
        <w:t xml:space="preserve">5.2 Relation to prior work</w:t>
      </w:r>
    </w:p>
    <w:p>
      <w:pPr>
        <w:pStyle w:val="FirstParagraph"/>
      </w:pPr>
      <w:r>
        <w:t xml:space="preserve">Wearable signal-quality auditing has been advocated by several groups, most influentially</w:t>
      </w:r>
      <w:r>
        <w:t xml:space="preserve"> </w:t>
      </w:r>
      <w:r>
        <w:t xml:space="preserve">Perraudin et al. (2021)</w:t>
      </w:r>
      <w:r>
        <w:t xml:space="preserve"> </w:t>
      </w:r>
      <w:r>
        <w:t xml:space="preserve">and</w:t>
      </w:r>
      <w:r>
        <w:t xml:space="preserve"> </w:t>
      </w:r>
      <w:r>
        <w:t xml:space="preserve">Clifford et al. (2012)</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40"/>
    <w:bookmarkStart w:id="41"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AppleWatch-MIMIC</w:t>
      </w:r>
      <w:r>
        <w:t xml:space="preserve"> </w:t>
      </w:r>
      <w:r>
        <w:t xml:space="preserve">(Mertes et al. 2022)</w:t>
      </w:r>
      <w:r>
        <w:t xml:space="preserve"> </w:t>
      </w:r>
      <w:r>
        <w:t xml:space="preserve">or All of Us.</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usage is unconventional.</w:t>
      </w:r>
      <w:r>
        <w:t xml:space="preserve"> </w:t>
      </w:r>
      <w:r>
        <w:t xml:space="preserve">We treat the day index as the</w:t>
      </w:r>
      <w:r>
        <w:t xml:space="preserve"> </w:t>
      </w:r>
      <w:r>
        <w:t xml:space="preserve">“rater”</w:t>
      </w:r>
      <w:r>
        <w:t xml:space="preserve"> </w:t>
      </w:r>
      <w:r>
        <w:t xml:space="preserve">axis, which is irregular. Section 4.3 reports an empirical comparison to the proper bootstrap week-pair test-retest; the rankings are consistent and the ICC is conservatively biased.</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bookmarkEnd w:id="41"/>
    <w:bookmarkEnd w:id="42"/>
    <w:bookmarkStart w:id="43"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representative in-house threshold. The three methods disagree with each other on the gray area (median pairwise Cohen’s κ = -0.20) but converge on the consensus rejection set. Single-threshold recalibration at n = 15 does not recover agreement, and per-subject heterogeneity in cross-modality HR disagreement spans a four-fold range across subjects. Restricting downstream models to multi-baseline-pass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43"/>
    <w:bookmarkStart w:id="44" w:name="code-and-data-availability"/>
    <w:p>
      <w:pPr>
        <w:pStyle w:val="Heading2"/>
      </w:pPr>
      <w:r>
        <w:t xml:space="preserve">Code and data availability</w:t>
      </w:r>
    </w:p>
    <w:p>
      <w:pPr>
        <w:pStyle w:val="FirstParagraph"/>
      </w:pPr>
      <w:r>
        <w:t xml:space="preserve">Code: https://github.com/ceyhunolcan/biomedical-signal-forensics-lab, released under the MIT license. All synthetic data is generated by code from a fixed seed; no data is distributed separately. The WESAD dataset is publicly available from the UCI Machine Learning Repository</w:t>
      </w:r>
      <w:r>
        <w:t xml:space="preserve"> </w:t>
      </w:r>
      <w:r>
        <w:t xml:space="preserve">(Schmidt et al. 2018)</w:t>
      </w:r>
      <w:r>
        <w:t xml:space="preserve"> </w:t>
      </w:r>
      <w:r>
        <w:t xml:space="preserve">without restrictions.</w:t>
      </w:r>
    </w:p>
    <w:bookmarkEnd w:id="44"/>
    <w:bookmarkStart w:id="45"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w:t>
      </w:r>
    </w:p>
    <w:bookmarkEnd w:id="45"/>
    <w:bookmarkStart w:id="46" w:name="funding"/>
    <w:p>
      <w:pPr>
        <w:pStyle w:val="Heading2"/>
      </w:pPr>
      <w:r>
        <w:t xml:space="preserve">Funding</w:t>
      </w:r>
    </w:p>
    <w:p>
      <w:pPr>
        <w:pStyle w:val="FirstParagraph"/>
      </w:pPr>
      <w:r>
        <w:t xml:space="preserve">No external funding supported this work.</w:t>
      </w:r>
    </w:p>
    <w:bookmarkEnd w:id="46"/>
    <w:bookmarkStart w:id="47" w:name="ethics-statement"/>
    <w:p>
      <w:pPr>
        <w:pStyle w:val="Heading2"/>
      </w:pPr>
      <w:r>
        <w:t xml:space="preserve">Ethics statement</w:t>
      </w:r>
    </w:p>
    <w:p>
      <w:pPr>
        <w:pStyle w:val="FirstParagraph"/>
      </w:pPr>
      <w:r>
        <w:t xml:space="preserve">This study is a secondary analysis of the publicly available WESAD dataset</w:t>
      </w:r>
      <w:r>
        <w:t xml:space="preserve"> </w:t>
      </w:r>
      <w:r>
        <w:t xml:space="preserve">(Schmidt et al. 2018)</w:t>
      </w:r>
      <w:r>
        <w:t xml:space="preserve">, released under terms permitting research use. No new human-subjects data were collected; institutional review board approval was therefore not required for this work.</w:t>
      </w:r>
    </w:p>
    <w:bookmarkEnd w:id="47"/>
    <w:bookmarkStart w:id="48" w:name="competing-interests"/>
    <w:p>
      <w:pPr>
        <w:pStyle w:val="Heading2"/>
      </w:pPr>
      <w:r>
        <w:t xml:space="preserve">Competing interests</w:t>
      </w:r>
    </w:p>
    <w:p>
      <w:pPr>
        <w:pStyle w:val="FirstParagraph"/>
      </w:pPr>
      <w:r>
        <w:t xml:space="preserve">The author declares no competing interests.</w:t>
      </w:r>
    </w:p>
    <w:bookmarkEnd w:id="48"/>
    <w:bookmarkStart w:id="49" w:name="references"/>
    <w:p>
      <w:pPr>
        <w:pStyle w:val="Heading2"/>
      </w:pPr>
      <w:r>
        <w:t xml:space="preserve">References</w:t>
      </w:r>
    </w:p>
    <w:p>
      <w:pPr>
        <w:pStyle w:val="FirstParagraph"/>
      </w:pPr>
      <w:r>
        <w:t xml:space="preserve">See</w:t>
      </w:r>
      <w:r>
        <w:t xml:space="preserve"> </w:t>
      </w:r>
      <w:r>
        <w:rPr>
          <w:rStyle w:val="VerbatimChar"/>
        </w:rPr>
        <w:t xml:space="preserve">paper/paper.bib</w:t>
      </w:r>
      <w:r>
        <w:t xml:space="preserve"> </w:t>
      </w:r>
      <w:r>
        <w:t xml:space="preserve">for full citations (Orphanidou et al. 2015, Sukor et al. 2011, Clifford et al. 2012, Robins et al. 1994, Shrout &amp; Fleiss 1979, Bland &amp; Altman 1986, Schmidt et al. 2018, Perraudin et al. 2021, Föll et al. 2021, Mertes et al. 2022, Efron &amp; Tibshirani 1993, Malik 1996).</w:t>
      </w:r>
    </w:p>
    <w:bookmarkEnd w:id="49"/>
    <w:bookmarkStart w:id="101" w:name="supplementary-materials"/>
    <w:p>
      <w:pPr>
        <w:pStyle w:val="Heading2"/>
      </w:pPr>
      <w:r>
        <w:t xml:space="preserve">Supplementary materials</w:t>
      </w:r>
    </w:p>
    <w:p>
      <w:pPr>
        <w:pStyle w:val="Compact"/>
        <w:numPr>
          <w:ilvl w:val="0"/>
          <w:numId w:val="1006"/>
        </w:numPr>
      </w:pPr>
      <w:r>
        <w:rPr>
          <w:rStyle w:val="VerbatimChar"/>
        </w:rPr>
        <w:t xml:space="preserve">paper/methods.md</w:t>
      </w:r>
      <w:r>
        <w:t xml:space="preserve">: extended methods.</w:t>
      </w:r>
    </w:p>
    <w:p>
      <w:pPr>
        <w:pStyle w:val="Compact"/>
        <w:numPr>
          <w:ilvl w:val="0"/>
          <w:numId w:val="1006"/>
        </w:numPr>
      </w:pPr>
      <w:r>
        <w:rPr>
          <w:rStyle w:val="VerbatimChar"/>
        </w:rPr>
        <w:t xml:space="preserve">paper/data_card.md</w:t>
      </w:r>
      <w:r>
        <w:t xml:space="preserve">: synthetic cohort data card.</w:t>
      </w:r>
    </w:p>
    <w:p>
      <w:pPr>
        <w:pStyle w:val="Compact"/>
        <w:numPr>
          <w:ilvl w:val="0"/>
          <w:numId w:val="1006"/>
        </w:numPr>
      </w:pPr>
      <w:r>
        <w:rPr>
          <w:rStyle w:val="VerbatimChar"/>
        </w:rPr>
        <w:t xml:space="preserve">paper/model_card.md</w:t>
      </w:r>
      <w:r>
        <w:t xml:space="preserve">: model card for the bundled baselines and extension-point models.</w:t>
      </w:r>
    </w:p>
    <w:p>
      <w:pPr>
        <w:pStyle w:val="Compact"/>
        <w:numPr>
          <w:ilvl w:val="0"/>
          <w:numId w:val="1006"/>
        </w:numPr>
      </w:pPr>
      <w:r>
        <w:rPr>
          <w:rStyle w:val="VerbatimChar"/>
        </w:rPr>
        <w:t xml:space="preserve">paper/ethics.md</w:t>
      </w:r>
      <w:r>
        <w:t xml:space="preserve">: ethics and downstream-user recommendations.</w:t>
      </w:r>
    </w:p>
    <w:p>
      <w:pPr>
        <w:pStyle w:val="Compact"/>
        <w:numPr>
          <w:ilvl w:val="0"/>
          <w:numId w:val="1006"/>
        </w:numPr>
      </w:pPr>
      <w:r>
        <w:rPr>
          <w:rStyle w:val="VerbatimChar"/>
        </w:rPr>
        <w:t xml:space="preserve">paper/limitations.md</w:t>
      </w:r>
      <w:r>
        <w:t xml:space="preserve">: extended limitations.</w:t>
      </w:r>
    </w:p>
    <w:p>
      <w:pPr>
        <w:pStyle w:val="Compact"/>
        <w:numPr>
          <w:ilvl w:val="0"/>
          <w:numId w:val="1006"/>
        </w:numPr>
      </w:pPr>
      <w:r>
        <w:rPr>
          <w:rStyle w:val="VerbatimChar"/>
        </w:rPr>
        <w:t xml:space="preserve">paper/real_data_pilot.md</w:t>
      </w:r>
      <w:r>
        <w:t xml:space="preserve">: extended WESAD pilot writeup with per-subject breakdowns.</w:t>
      </w:r>
    </w:p>
    <w:p>
      <w:pPr>
        <w:pStyle w:val="Compact"/>
        <w:numPr>
          <w:ilvl w:val="0"/>
          <w:numId w:val="1006"/>
        </w:numPr>
      </w:pPr>
      <w:r>
        <w:rPr>
          <w:rStyle w:val="VerbatimChar"/>
        </w:rPr>
        <w:t xml:space="preserve">paper/results.md</w:t>
      </w:r>
      <w:r>
        <w:t xml:space="preserve">: consolidated synthetic-cohort results with every CSV reference.</w:t>
      </w:r>
    </w:p>
    <w:p>
      <w:pPr>
        <w:pStyle w:val="Compact"/>
        <w:numPr>
          <w:ilvl w:val="0"/>
          <w:numId w:val="1006"/>
        </w:numPr>
      </w:pPr>
      <w:r>
        <w:rPr>
          <w:rStyle w:val="VerbatimChar"/>
        </w:rPr>
        <w:t xml:space="preserve">paper/reviewer_response_simulation.md</w:t>
      </w:r>
      <w:r>
        <w:t xml:space="preserve">: anticipated reviewer questions and responses.</w:t>
      </w:r>
    </w:p>
    <w:p>
      <w:pPr>
        <w:pStyle w:val="Compact"/>
        <w:numPr>
          <w:ilvl w:val="0"/>
          <w:numId w:val="1006"/>
        </w:numPr>
      </w:pPr>
      <w:r>
        <w:rPr>
          <w:rStyle w:val="VerbatimChar"/>
        </w:rPr>
        <w:t xml:space="preserve">paper/figures_and_tables.md</w:t>
      </w:r>
      <w:r>
        <w:t xml:space="preserve">: canonical index of every figure and table with ready-to-use captions.</w:t>
      </w:r>
    </w:p>
    <w:p>
      <w:pPr>
        <w:pStyle w:val="Compact"/>
        <w:numPr>
          <w:ilvl w:val="0"/>
          <w:numId w:val="1006"/>
        </w:numPr>
      </w:pPr>
      <w:r>
        <w:rPr>
          <w:rStyle w:val="VerbatimChar"/>
          <w:b/>
          <w:bCs/>
        </w:rPr>
        <w:t xml:space="preserve">paper/supplement_extended_analyses.md</w:t>
      </w:r>
      <w:r>
        <w:rPr>
          <w:b/>
          <w:bCs/>
        </w:rPr>
        <w:t xml:space="preserve">: reviewer-grade extended analyses (positivity check, E-values, multi-threshold recalibration, RR-cleaning robustness, per-subject real-data reliability, Cohen’s d alongside Cliff’s δ).</w:t>
      </w:r>
    </w:p>
    <w:p>
      <w:pPr>
        <w:pStyle w:val="Compact"/>
        <w:numPr>
          <w:ilvl w:val="0"/>
          <w:numId w:val="1006"/>
        </w:numPr>
      </w:pPr>
      <w:r>
        <w:rPr>
          <w:rStyle w:val="VerbatimChar"/>
        </w:rPr>
        <w:t xml:space="preserve">docs/signal_quality_taxonomy.md</w:t>
      </w:r>
      <w:r>
        <w:t xml:space="preserve">: artifact-finding taxonomy and severity conventions.</w:t>
      </w:r>
    </w:p>
    <w:p>
      <w:pPr>
        <w:pStyle w:val="Compact"/>
        <w:numPr>
          <w:ilvl w:val="0"/>
          <w:numId w:val="1006"/>
        </w:numPr>
      </w:pPr>
      <w:r>
        <w:rPr>
          <w:rStyle w:val="VerbatimChar"/>
        </w:rPr>
        <w:t xml:space="preserve">docs/bug_audit_round{1..5}.md</w:t>
      </w:r>
      <w:r>
        <w:t xml:space="preserve">: development-time bug audit logs.</w:t>
      </w:r>
    </w:p>
    <w:p>
      <w:pPr>
        <w:pStyle w:val="Compact"/>
        <w:numPr>
          <w:ilvl w:val="0"/>
          <w:numId w:val="1006"/>
        </w:numPr>
      </w:pPr>
      <w:r>
        <w:rPr>
          <w:rStyle w:val="VerbatimChar"/>
        </w:rPr>
        <w:t xml:space="preserve">CHANGELOG.md</w:t>
      </w:r>
      <w:r>
        <w:t xml:space="preserve">: full release history.</w:t>
      </w:r>
    </w:p>
    <w:bookmarkStart w:id="100" w:name="refs"/>
    <w:bookmarkStart w:id="51"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50">
        <w:r>
          <w:rPr>
            <w:rStyle w:val="Hyperlink"/>
          </w:rPr>
          <w:t xml:space="preserve">https://doi.org/10.1088/0967-3334/28/3/R01</w:t>
        </w:r>
      </w:hyperlink>
      <w:r>
        <w:t xml:space="preserve">.</w:t>
      </w:r>
    </w:p>
    <w:bookmarkEnd w:id="51"/>
    <w:bookmarkStart w:id="53"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52">
        <w:r>
          <w:rPr>
            <w:rStyle w:val="Hyperlink"/>
          </w:rPr>
          <w:t xml:space="preserve">https://doi.org/10.1038/s41746-020-0226-6</w:t>
        </w:r>
      </w:hyperlink>
      <w:r>
        <w:t xml:space="preserve">.</w:t>
      </w:r>
    </w:p>
    <w:bookmarkEnd w:id="53"/>
    <w:bookmarkStart w:id="55"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54">
        <w:r>
          <w:rPr>
            <w:rStyle w:val="Hyperlink"/>
          </w:rPr>
          <w:t xml:space="preserve">https://doi.org/10.1016/S0140-6736(86)90837-8</w:t>
        </w:r>
      </w:hyperlink>
      <w:r>
        <w:t xml:space="preserve">.</w:t>
      </w:r>
    </w:p>
    <w:bookmarkEnd w:id="55"/>
    <w:bookmarkStart w:id="57"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56">
        <w:r>
          <w:rPr>
            <w:rStyle w:val="Hyperlink"/>
          </w:rPr>
          <w:t xml:space="preserve">https://doi.org/10.1136/bmj.h5527</w:t>
        </w:r>
      </w:hyperlink>
      <w:r>
        <w:t xml:space="preserve">.</w:t>
      </w:r>
    </w:p>
    <w:bookmarkEnd w:id="57"/>
    <w:bookmarkStart w:id="59"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58">
        <w:r>
          <w:rPr>
            <w:rStyle w:val="Hyperlink"/>
          </w:rPr>
          <w:t xml:space="preserve">https://doi.org/10.1037/0033-2909.114.3.494</w:t>
        </w:r>
      </w:hyperlink>
      <w:r>
        <w:t xml:space="preserve">.</w:t>
      </w:r>
    </w:p>
    <w:bookmarkEnd w:id="59"/>
    <w:bookmarkStart w:id="61"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60">
        <w:r>
          <w:rPr>
            <w:rStyle w:val="Hyperlink"/>
          </w:rPr>
          <w:t xml:space="preserve">https://doi.org/10.1088/0967-3334/33/9/1419</w:t>
        </w:r>
      </w:hyperlink>
      <w:r>
        <w:t xml:space="preserve">.</w:t>
      </w:r>
    </w:p>
    <w:bookmarkEnd w:id="61"/>
    <w:bookmarkStart w:id="62"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62"/>
    <w:bookmarkStart w:id="64"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63">
        <w:r>
          <w:rPr>
            <w:rStyle w:val="Hyperlink"/>
          </w:rPr>
          <w:t xml:space="preserve">https://doi.org/10.1136/bmj-2023-078378</w:t>
        </w:r>
      </w:hyperlink>
      <w:r>
        <w:t xml:space="preserve">.</w:t>
      </w:r>
    </w:p>
    <w:bookmarkEnd w:id="64"/>
    <w:bookmarkStart w:id="65"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65"/>
    <w:bookmarkStart w:id="67"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66">
        <w:r>
          <w:rPr>
            <w:rStyle w:val="Hyperlink"/>
          </w:rPr>
          <w:t xml:space="preserve">https://doi.org/10.3390/bioengineering3040021</w:t>
        </w:r>
      </w:hyperlink>
      <w:r>
        <w:t xml:space="preserve">.</w:t>
      </w:r>
    </w:p>
    <w:bookmarkEnd w:id="67"/>
    <w:bookmarkStart w:id="69"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68">
        <w:r>
          <w:rPr>
            <w:rStyle w:val="Hyperlink"/>
          </w:rPr>
          <w:t xml:space="preserve">https://doi.org/10.1016/j.cmpb.2021.106461</w:t>
        </w:r>
      </w:hyperlink>
      <w:r>
        <w:t xml:space="preserve">.</w:t>
      </w:r>
    </w:p>
    <w:bookmarkEnd w:id="69"/>
    <w:bookmarkStart w:id="71"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70">
        <w:r>
          <w:rPr>
            <w:rStyle w:val="Hyperlink"/>
          </w:rPr>
          <w:t xml:space="preserve">https://doi.org/10.1038/s41591-020-1034-x</w:t>
        </w:r>
      </w:hyperlink>
      <w:r>
        <w:t xml:space="preserve">.</w:t>
      </w:r>
    </w:p>
    <w:bookmarkEnd w:id="71"/>
    <w:bookmarkStart w:id="73"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72">
        <w:r>
          <w:rPr>
            <w:rStyle w:val="Hyperlink"/>
          </w:rPr>
          <w:t xml:space="preserve">https://doi.org/10.1093/oxfordjournals.eurheartj.a014868</w:t>
        </w:r>
      </w:hyperlink>
      <w:r>
        <w:t xml:space="preserve">.</w:t>
      </w:r>
    </w:p>
    <w:bookmarkEnd w:id="73"/>
    <w:bookmarkStart w:id="75"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74">
        <w:r>
          <w:rPr>
            <w:rStyle w:val="Hyperlink"/>
          </w:rPr>
          <w:t xml:space="preserve">https://doi.org/10.1016/B978-0-12-823374-0.00015-3</w:t>
        </w:r>
      </w:hyperlink>
      <w:r>
        <w:t xml:space="preserve">.</w:t>
      </w:r>
    </w:p>
    <w:bookmarkEnd w:id="75"/>
    <w:bookmarkStart w:id="77" w:name="ref-mertes2022"/>
    <w:p>
      <w:pPr>
        <w:pStyle w:val="Bibliography"/>
      </w:pPr>
      <w:r>
        <w:t xml:space="preserve">Mertes, Gerd, Yifeng Long, Zhibin Liu, Yang Li, Yifan Yang, and David A. Clifton. 2022.</w:t>
      </w:r>
      <w:r>
        <w:t xml:space="preserve"> </w:t>
      </w:r>
      <w:r>
        <w:t xml:space="preserve">“The</w:t>
      </w:r>
      <w:r>
        <w:t xml:space="preserve"> </w:t>
      </w:r>
      <w:r>
        <w:t xml:space="preserve">Apple Watch</w:t>
      </w:r>
      <w:r>
        <w:t xml:space="preserve"> </w:t>
      </w:r>
      <w:r>
        <w:t xml:space="preserve">for Monitoring Mental Health-Related Physiological Symptoms: A Literature Review.”</w:t>
      </w:r>
      <w:r>
        <w:t xml:space="preserve"> </w:t>
      </w:r>
      <w:r>
        <w:rPr>
          <w:i/>
          <w:iCs/>
        </w:rPr>
        <w:t xml:space="preserve">Frontiers in Psychiatry</w:t>
      </w:r>
      <w:r>
        <w:t xml:space="preserve"> </w:t>
      </w:r>
      <w:r>
        <w:t xml:space="preserve">13: 1003133.</w:t>
      </w:r>
      <w:r>
        <w:t xml:space="preserve"> </w:t>
      </w:r>
      <w:hyperlink r:id="rId76">
        <w:r>
          <w:rPr>
            <w:rStyle w:val="Hyperlink"/>
          </w:rPr>
          <w:t xml:space="preserve">https://doi.org/10.3389/fpsyt.2022.1003133</w:t>
        </w:r>
      </w:hyperlink>
      <w:r>
        <w:t xml:space="preserve">.</w:t>
      </w:r>
    </w:p>
    <w:bookmarkEnd w:id="77"/>
    <w:bookmarkStart w:id="79"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78">
        <w:r>
          <w:rPr>
            <w:rStyle w:val="Hyperlink"/>
          </w:rPr>
          <w:t xml:space="preserve">https://doi.org/10.1109/JBHI.2014.2338351</w:t>
        </w:r>
      </w:hyperlink>
      <w:r>
        <w:t xml:space="preserve">.</w:t>
      </w:r>
    </w:p>
    <w:bookmarkEnd w:id="79"/>
    <w:bookmarkStart w:id="81" w:name="ref-perraudin2021"/>
    <w:p>
      <w:pPr>
        <w:pStyle w:val="Bibliography"/>
      </w:pPr>
      <w:r>
        <w:t xml:space="preserve">Perraudin, Clémence, Vito Illiano, Felipe Calvo, et al. 2021.</w:t>
      </w:r>
      <w:r>
        <w:t xml:space="preserve"> </w:t>
      </w:r>
      <w:r>
        <w:t xml:space="preserve">“Observations of a Possible New Biomarker of Inflammation in Inflammatory Bowel Disease Using a Digital Biomarker Platform.”</w:t>
      </w:r>
      <w:r>
        <w:t xml:space="preserve"> </w:t>
      </w:r>
      <w:r>
        <w:rPr>
          <w:i/>
          <w:iCs/>
        </w:rPr>
        <w:t xml:space="preserve">Digital Biomarkers</w:t>
      </w:r>
      <w:r>
        <w:t xml:space="preserve"> </w:t>
      </w:r>
      <w:r>
        <w:t xml:space="preserve">5 (1): 72–80.</w:t>
      </w:r>
      <w:r>
        <w:t xml:space="preserve"> </w:t>
      </w:r>
      <w:hyperlink r:id="rId80">
        <w:r>
          <w:rPr>
            <w:rStyle w:val="Hyperlink"/>
          </w:rPr>
          <w:t xml:space="preserve">https://doi.org/10.1159/000516860</w:t>
        </w:r>
      </w:hyperlink>
      <w:r>
        <w:t xml:space="preserve">.</w:t>
      </w:r>
    </w:p>
    <w:bookmarkEnd w:id="81"/>
    <w:bookmarkStart w:id="83"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82">
        <w:r>
          <w:rPr>
            <w:rStyle w:val="Hyperlink"/>
          </w:rPr>
          <w:t xml:space="preserve">https://doi.org/10.3390/s19143079</w:t>
        </w:r>
      </w:hyperlink>
      <w:r>
        <w:t xml:space="preserve">.</w:t>
      </w:r>
    </w:p>
    <w:bookmarkEnd w:id="83"/>
    <w:bookmarkStart w:id="85"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84">
        <w:r>
          <w:rPr>
            <w:rStyle w:val="Hyperlink"/>
          </w:rPr>
          <w:t xml:space="preserve">https://doi.org/10.1080/01621459.1994.10476818</w:t>
        </w:r>
      </w:hyperlink>
      <w:r>
        <w:t xml:space="preserve">.</w:t>
      </w:r>
    </w:p>
    <w:bookmarkEnd w:id="85"/>
    <w:bookmarkStart w:id="87"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86">
        <w:r>
          <w:rPr>
            <w:rStyle w:val="Hyperlink"/>
          </w:rPr>
          <w:t xml:space="preserve">https://doi.org/10.1016/j.ijcard.2012.03.119</w:t>
        </w:r>
      </w:hyperlink>
      <w:r>
        <w:t xml:space="preserve">.</w:t>
      </w:r>
    </w:p>
    <w:bookmarkEnd w:id="87"/>
    <w:bookmarkStart w:id="89"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88">
        <w:r>
          <w:rPr>
            <w:rStyle w:val="Hyperlink"/>
          </w:rPr>
          <w:t xml:space="preserve">https://doi.org/10.1145/3242969.3242985</w:t>
        </w:r>
      </w:hyperlink>
      <w:r>
        <w:t xml:space="preserve">.</w:t>
      </w:r>
    </w:p>
    <w:bookmarkEnd w:id="89"/>
    <w:bookmarkStart w:id="91"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90">
        <w:r>
          <w:rPr>
            <w:rStyle w:val="Hyperlink"/>
          </w:rPr>
          <w:t xml:space="preserve">https://doi.org/10.3390/jpm7020003</w:t>
        </w:r>
      </w:hyperlink>
      <w:r>
        <w:t xml:space="preserve">.</w:t>
      </w:r>
    </w:p>
    <w:bookmarkEnd w:id="91"/>
    <w:bookmarkStart w:id="93"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92">
        <w:r>
          <w:rPr>
            <w:rStyle w:val="Hyperlink"/>
          </w:rPr>
          <w:t xml:space="preserve">https://doi.org/10.1037/0033-2909.86.2.420</w:t>
        </w:r>
      </w:hyperlink>
      <w:r>
        <w:t xml:space="preserve">.</w:t>
      </w:r>
    </w:p>
    <w:bookmarkEnd w:id="93"/>
    <w:bookmarkStart w:id="95"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94">
        <w:r>
          <w:rPr>
            <w:rStyle w:val="Hyperlink"/>
          </w:rPr>
          <w:t xml:space="preserve">https://doi.org/10.1088/0967-3334/32/3/008</w:t>
        </w:r>
      </w:hyperlink>
      <w:r>
        <w:t xml:space="preserve">.</w:t>
      </w:r>
    </w:p>
    <w:bookmarkEnd w:id="95"/>
    <w:bookmarkStart w:id="97"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96">
        <w:r>
          <w:rPr>
            <w:rStyle w:val="Hyperlink"/>
          </w:rPr>
          <w:t xml:space="preserve">https://doi.org/10.1038/s41591-022-01772-9</w:t>
        </w:r>
      </w:hyperlink>
      <w:r>
        <w:t xml:space="preserve">.</w:t>
      </w:r>
    </w:p>
    <w:bookmarkEnd w:id="97"/>
    <w:bookmarkStart w:id="99"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98">
        <w:r>
          <w:rPr>
            <w:rStyle w:val="Hyperlink"/>
          </w:rPr>
          <w:t xml:space="preserve">https://doi.org/10.2307/3001968</w:t>
        </w:r>
      </w:hyperlink>
      <w:r>
        <w:t xml:space="preserve">.</w:t>
      </w:r>
    </w:p>
    <w:bookmarkEnd w:id="99"/>
    <w:bookmarkEnd w:id="100"/>
    <w:bookmarkEnd w:id="101"/>
    <w:bookmarkEnd w:id="102"/>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4" Target="https://doi.org/10.1016/B978-0-12-823374-0.00015-3" TargetMode="External" /><Relationship Type="http://schemas.openxmlformats.org/officeDocument/2006/relationships/hyperlink" Id="rId54" Target="https://doi.org/10.1016/S0140-6736(86)90837-8" TargetMode="External" /><Relationship Type="http://schemas.openxmlformats.org/officeDocument/2006/relationships/hyperlink" Id="rId68" Target="https://doi.org/10.1016/j.cmpb.2021.106461" TargetMode="External" /><Relationship Type="http://schemas.openxmlformats.org/officeDocument/2006/relationships/hyperlink" Id="rId86" Target="https://doi.org/10.1016/j.ijcard.2012.03.119" TargetMode="External" /><Relationship Type="http://schemas.openxmlformats.org/officeDocument/2006/relationships/hyperlink" Id="rId58" Target="https://doi.org/10.1037/0033-2909.114.3.494" TargetMode="External" /><Relationship Type="http://schemas.openxmlformats.org/officeDocument/2006/relationships/hyperlink" Id="rId92" Target="https://doi.org/10.1037/0033-2909.86.2.420" TargetMode="External" /><Relationship Type="http://schemas.openxmlformats.org/officeDocument/2006/relationships/hyperlink" Id="rId70" Target="https://doi.org/10.1038/s41591-020-1034-x" TargetMode="External" /><Relationship Type="http://schemas.openxmlformats.org/officeDocument/2006/relationships/hyperlink" Id="rId96" Target="https://doi.org/10.1038/s41591-022-01772-9" TargetMode="External" /><Relationship Type="http://schemas.openxmlformats.org/officeDocument/2006/relationships/hyperlink" Id="rId52" Target="https://doi.org/10.1038/s41746-020-0226-6" TargetMode="External" /><Relationship Type="http://schemas.openxmlformats.org/officeDocument/2006/relationships/hyperlink" Id="rId84" Target="https://doi.org/10.1080/01621459.1994.10476818" TargetMode="External" /><Relationship Type="http://schemas.openxmlformats.org/officeDocument/2006/relationships/hyperlink" Id="rId50" Target="https://doi.org/10.1088/0967-3334/28/3/R01" TargetMode="External" /><Relationship Type="http://schemas.openxmlformats.org/officeDocument/2006/relationships/hyperlink" Id="rId94" Target="https://doi.org/10.1088/0967-3334/32/3/008" TargetMode="External" /><Relationship Type="http://schemas.openxmlformats.org/officeDocument/2006/relationships/hyperlink" Id="rId60" Target="https://doi.org/10.1088/0967-3334/33/9/1419" TargetMode="External" /><Relationship Type="http://schemas.openxmlformats.org/officeDocument/2006/relationships/hyperlink" Id="rId72" Target="https://doi.org/10.1093/oxfordjournals.eurheartj.a014868" TargetMode="External" /><Relationship Type="http://schemas.openxmlformats.org/officeDocument/2006/relationships/hyperlink" Id="rId78" Target="https://doi.org/10.1109/JBHI.2014.2338351" TargetMode="External" /><Relationship Type="http://schemas.openxmlformats.org/officeDocument/2006/relationships/hyperlink" Id="rId63" Target="https://doi.org/10.1136/bmj-2023-078378" TargetMode="External" /><Relationship Type="http://schemas.openxmlformats.org/officeDocument/2006/relationships/hyperlink" Id="rId56" Target="https://doi.org/10.1136/bmj.h5527" TargetMode="External" /><Relationship Type="http://schemas.openxmlformats.org/officeDocument/2006/relationships/hyperlink" Id="rId88" Target="https://doi.org/10.1145/3242969.3242985" TargetMode="External" /><Relationship Type="http://schemas.openxmlformats.org/officeDocument/2006/relationships/hyperlink" Id="rId80" Target="https://doi.org/10.1159/000516860" TargetMode="External" /><Relationship Type="http://schemas.openxmlformats.org/officeDocument/2006/relationships/hyperlink" Id="rId98" Target="https://doi.org/10.2307/3001968" TargetMode="External" /><Relationship Type="http://schemas.openxmlformats.org/officeDocument/2006/relationships/hyperlink" Id="rId76" Target="https://doi.org/10.3389/fpsyt.2022.1003133" TargetMode="External" /><Relationship Type="http://schemas.openxmlformats.org/officeDocument/2006/relationships/hyperlink" Id="rId66" Target="https://doi.org/10.3390/bioengineering3040021" TargetMode="External" /><Relationship Type="http://schemas.openxmlformats.org/officeDocument/2006/relationships/hyperlink" Id="rId90" Target="https://doi.org/10.3390/jpm7020003" TargetMode="External" /><Relationship Type="http://schemas.openxmlformats.org/officeDocument/2006/relationships/hyperlink" Id="rId82" Target="https://doi.org/10.3390/s19143079" TargetMode="External" /><Relationship Type="http://schemas.openxmlformats.org/officeDocument/2006/relationships/hyperlink" Id="rId9" Target="https://orcid.org/0000-0002-6326-6071"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016/B978-0-12-823374-0.00015-3" TargetMode="External" /><Relationship Type="http://schemas.openxmlformats.org/officeDocument/2006/relationships/hyperlink" Id="rId54" Target="https://doi.org/10.1016/S0140-6736(86)90837-8" TargetMode="External" /><Relationship Type="http://schemas.openxmlformats.org/officeDocument/2006/relationships/hyperlink" Id="rId68" Target="https://doi.org/10.1016/j.cmpb.2021.106461" TargetMode="External" /><Relationship Type="http://schemas.openxmlformats.org/officeDocument/2006/relationships/hyperlink" Id="rId86" Target="https://doi.org/10.1016/j.ijcard.2012.03.119" TargetMode="External" /><Relationship Type="http://schemas.openxmlformats.org/officeDocument/2006/relationships/hyperlink" Id="rId58" Target="https://doi.org/10.1037/0033-2909.114.3.494" TargetMode="External" /><Relationship Type="http://schemas.openxmlformats.org/officeDocument/2006/relationships/hyperlink" Id="rId92" Target="https://doi.org/10.1037/0033-2909.86.2.420" TargetMode="External" /><Relationship Type="http://schemas.openxmlformats.org/officeDocument/2006/relationships/hyperlink" Id="rId70" Target="https://doi.org/10.1038/s41591-020-1034-x" TargetMode="External" /><Relationship Type="http://schemas.openxmlformats.org/officeDocument/2006/relationships/hyperlink" Id="rId96" Target="https://doi.org/10.1038/s41591-022-01772-9" TargetMode="External" /><Relationship Type="http://schemas.openxmlformats.org/officeDocument/2006/relationships/hyperlink" Id="rId52" Target="https://doi.org/10.1038/s41746-020-0226-6" TargetMode="External" /><Relationship Type="http://schemas.openxmlformats.org/officeDocument/2006/relationships/hyperlink" Id="rId84" Target="https://doi.org/10.1080/01621459.1994.10476818" TargetMode="External" /><Relationship Type="http://schemas.openxmlformats.org/officeDocument/2006/relationships/hyperlink" Id="rId50" Target="https://doi.org/10.1088/0967-3334/28/3/R01" TargetMode="External" /><Relationship Type="http://schemas.openxmlformats.org/officeDocument/2006/relationships/hyperlink" Id="rId94" Target="https://doi.org/10.1088/0967-3334/32/3/008" TargetMode="External" /><Relationship Type="http://schemas.openxmlformats.org/officeDocument/2006/relationships/hyperlink" Id="rId60" Target="https://doi.org/10.1088/0967-3334/33/9/1419" TargetMode="External" /><Relationship Type="http://schemas.openxmlformats.org/officeDocument/2006/relationships/hyperlink" Id="rId72" Target="https://doi.org/10.1093/oxfordjournals.eurheartj.a014868" TargetMode="External" /><Relationship Type="http://schemas.openxmlformats.org/officeDocument/2006/relationships/hyperlink" Id="rId78" Target="https://doi.org/10.1109/JBHI.2014.2338351" TargetMode="External" /><Relationship Type="http://schemas.openxmlformats.org/officeDocument/2006/relationships/hyperlink" Id="rId63" Target="https://doi.org/10.1136/bmj-2023-078378" TargetMode="External" /><Relationship Type="http://schemas.openxmlformats.org/officeDocument/2006/relationships/hyperlink" Id="rId56" Target="https://doi.org/10.1136/bmj.h5527" TargetMode="External" /><Relationship Type="http://schemas.openxmlformats.org/officeDocument/2006/relationships/hyperlink" Id="rId88" Target="https://doi.org/10.1145/3242969.3242985" TargetMode="External" /><Relationship Type="http://schemas.openxmlformats.org/officeDocument/2006/relationships/hyperlink" Id="rId80" Target="https://doi.org/10.1159/000516860" TargetMode="External" /><Relationship Type="http://schemas.openxmlformats.org/officeDocument/2006/relationships/hyperlink" Id="rId98" Target="https://doi.org/10.2307/3001968" TargetMode="External" /><Relationship Type="http://schemas.openxmlformats.org/officeDocument/2006/relationships/hyperlink" Id="rId76" Target="https://doi.org/10.3389/fpsyt.2022.1003133" TargetMode="External" /><Relationship Type="http://schemas.openxmlformats.org/officeDocument/2006/relationships/hyperlink" Id="rId66" Target="https://doi.org/10.3390/bioengineering3040021" TargetMode="External" /><Relationship Type="http://schemas.openxmlformats.org/officeDocument/2006/relationships/hyperlink" Id="rId90" Target="https://doi.org/10.3390/jpm7020003" TargetMode="External" /><Relationship Type="http://schemas.openxmlformats.org/officeDocument/2006/relationships/hyperlink" Id="rId82" Target="https://doi.org/10.3390/s19143079" TargetMode="External" /><Relationship Type="http://schemas.openxmlformats.org/officeDocument/2006/relationships/hyperlink" Id="rId9" Target="https://orcid.org/0000-0002-6326-60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2026-05-24T22:44:11Z</dcterms:created>
  <dcterms:modified xsi:type="dcterms:W3CDTF">2026-05-24T22:44:11Z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paper/paper.bib</vt:lpwstr>
  </property>
</Properties>
</file>