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508760" cy="1852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yn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85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0" w:after="160"/>
        <w:jc w:val="center"/>
      </w:pPr>
      <w:r>
        <w:rPr>
          <w:rFonts w:ascii="Segoe UI" w:hAnsi="Segoe UI"/>
          <w:b/>
          <w:color w:val="162D5F"/>
          <w:sz w:val="76"/>
        </w:rPr>
        <w:t>blynt</w:t>
      </w:r>
    </w:p>
    <w:p>
      <w:pPr>
        <w:spacing w:after="240"/>
        <w:jc w:val="center"/>
      </w:pPr>
      <w:r>
        <w:rPr>
          <w:rFonts w:ascii="Segoe UI" w:hAnsi="Segoe UI"/>
          <w:b/>
          <w:color w:val="162D5F"/>
          <w:sz w:val="36"/>
        </w:rPr>
        <w:t>COMPLETE SOURCE CODE EXPLAINER MANUAL</w:t>
      </w:r>
    </w:p>
    <w:p>
      <w:pPr>
        <w:spacing w:after="400"/>
        <w:jc w:val="center"/>
      </w:pPr>
      <w:r>
        <w:rPr>
          <w:rFonts w:ascii="Segoe UI" w:hAnsi="Segoe UI"/>
          <w:color w:val="FF7F6C"/>
          <w:sz w:val="22"/>
        </w:rPr>
        <w:t>Architectural Deep-Dive • NestJS 11 Backend Services • Prisma Schema • Next.js 15 Web Client</w:t>
        <w:br/>
        <w:t>Authoritative Engineering Reference •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2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62D5F"/>
                <w:sz w:val="24"/>
              </w:rPr>
              <w:t>Standalone Engineering Document</w:t>
              <w:br/>
            </w:r>
            <w:r>
              <w:rPr>
                <w:rFonts w:ascii="Segoe UI" w:hAnsi="Segoe UI"/>
                <w:i/>
                <w:color w:val="475569"/>
                <w:sz w:val="20"/>
              </w:rPr>
              <w:t>This standalone manual provides exhaustive, line-by-line explanations of every service, database constraint, API handler, security guard, calculation algorithm, and UI component across the blynt platform. It is completely independent from the master specification.</w:t>
            </w:r>
          </w:p>
        </w:tc>
      </w:tr>
    </w:tbl>
    <w:p>
      <w:pPr>
        <w:spacing w:before="600"/>
        <w:jc w:val="center"/>
      </w:pPr>
      <w:r>
        <w:rPr>
          <w:rFonts w:ascii="Segoe UI" w:hAnsi="Segoe UI"/>
          <w:b/>
          <w:color w:val="162D5F"/>
          <w:sz w:val="19"/>
        </w:rPr>
        <w:t xml:space="preserve">Document Ref: </w:t>
      </w:r>
      <w:r>
        <w:rPr>
          <w:rFonts w:ascii="Segoe UI" w:hAnsi="Segoe UI"/>
          <w:color w:val="1E293B"/>
          <w:sz w:val="19"/>
        </w:rPr>
        <w:t>BLYNT-ENG-CODE-EXPLAINER-V1</w:t>
        <w:br/>
      </w:r>
      <w:r>
        <w:rPr>
          <w:rFonts w:ascii="Segoe UI" w:hAnsi="Segoe UI"/>
          <w:b/>
          <w:color w:val="162D5F"/>
          <w:sz w:val="19"/>
        </w:rPr>
        <w:t xml:space="preserve">System Name: </w:t>
      </w:r>
      <w:r>
        <w:rPr>
          <w:rFonts w:ascii="Segoe UI" w:hAnsi="Segoe UI"/>
          <w:color w:val="1E293B"/>
          <w:sz w:val="19"/>
        </w:rPr>
        <w:t>blynt (Internal Code: Ledgerline)</w:t>
        <w:br/>
      </w:r>
      <w:r>
        <w:rPr>
          <w:rFonts w:ascii="Segoe UI" w:hAnsi="Segoe UI"/>
          <w:b/>
          <w:color w:val="162D5F"/>
          <w:sz w:val="19"/>
        </w:rPr>
        <w:t xml:space="preserve">Verified Test Suites: </w:t>
      </w:r>
      <w:r>
        <w:rPr>
          <w:rFonts w:ascii="Segoe UI" w:hAnsi="Segoe UI"/>
          <w:color w:val="1E293B"/>
          <w:sz w:val="19"/>
        </w:rPr>
        <w:t>26/26 Suites PASS (127/127 Active Unit &amp; Service Tests)</w:t>
        <w:br/>
      </w:r>
      <w:r>
        <w:rPr>
          <w:rFonts w:ascii="Segoe UI" w:hAnsi="Segoe UI"/>
          <w:b/>
          <w:color w:val="162D5F"/>
          <w:sz w:val="19"/>
        </w:rPr>
        <w:t xml:space="preserve">Backend Framework: </w:t>
      </w:r>
      <w:r>
        <w:rPr>
          <w:rFonts w:ascii="Segoe UI" w:hAnsi="Segoe UI"/>
          <w:color w:val="1E293B"/>
          <w:sz w:val="19"/>
        </w:rPr>
        <w:t>NestJS 11 + TypeScript 5 (apps/api)</w:t>
        <w:br/>
      </w:r>
      <w:r>
        <w:rPr>
          <w:rFonts w:ascii="Segoe UI" w:hAnsi="Segoe UI"/>
          <w:b/>
          <w:color w:val="162D5F"/>
          <w:sz w:val="19"/>
        </w:rPr>
        <w:t xml:space="preserve">Database Layer: </w:t>
      </w:r>
      <w:r>
        <w:rPr>
          <w:rFonts w:ascii="Segoe UI" w:hAnsi="Segoe UI"/>
          <w:color w:val="1E293B"/>
          <w:sz w:val="19"/>
        </w:rPr>
        <w:t>PostgreSQL 16 + Prisma ORM (Prisma Client 6)</w:t>
        <w:br/>
      </w:r>
      <w:r>
        <w:rPr>
          <w:rFonts w:ascii="Segoe UI" w:hAnsi="Segoe UI"/>
          <w:b/>
          <w:color w:val="162D5F"/>
          <w:sz w:val="19"/>
        </w:rPr>
        <w:t xml:space="preserve">Frontend Framework: </w:t>
      </w:r>
      <w:r>
        <w:rPr>
          <w:rFonts w:ascii="Segoe UI" w:hAnsi="Segoe UI"/>
          <w:color w:val="1E293B"/>
          <w:sz w:val="19"/>
        </w:rPr>
        <w:t>Next.js 15 (Turbopack, React 19) (apps/web)</w:t>
        <w:br/>
      </w:r>
      <w:r>
        <w:rPr>
          <w:rFonts w:ascii="Segoe UI" w:hAnsi="Segoe UI"/>
          <w:b/>
          <w:color w:val="162D5F"/>
          <w:sz w:val="19"/>
        </w:rPr>
        <w:t xml:space="preserve">Document Scope: </w:t>
      </w:r>
      <w:r>
        <w:rPr>
          <w:rFonts w:ascii="Segoe UI" w:hAnsi="Segoe UI"/>
          <w:color w:val="1E293B"/>
          <w:sz w:val="19"/>
        </w:rPr>
        <w:t>Independent Standalone Code-Level Explainer</w:t>
        <w:br/>
      </w:r>
      <w:r>
        <w:rPr>
          <w:rFonts w:ascii="Segoe UI" w:hAnsi="Segoe UI"/>
          <w:b/>
          <w:color w:val="162D5F"/>
          <w:sz w:val="19"/>
        </w:rPr>
        <w:t xml:space="preserve">Classification: </w:t>
      </w:r>
      <w:r>
        <w:rPr>
          <w:rFonts w:ascii="Segoe UI" w:hAnsi="Segoe UI"/>
          <w:color w:val="1E293B"/>
          <w:sz w:val="19"/>
        </w:rPr>
        <w:t>Confidential Engineering Knowledge Reference</w:t>
        <w:br/>
      </w: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blynt — Complete Source Code Explainer Manual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Document Classification:</w:t>
      </w:r>
      <w:r>
        <w:rPr>
          <w:rFonts w:ascii="Segoe UI" w:hAnsi="Segoe UI"/>
        </w:rPr>
        <w:t xml:space="preserve"> Engineering Architecture &amp; Code-Level Specification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Version:</w:t>
      </w:r>
      <w:r>
        <w:rPr>
          <w:rFonts w:ascii="Segoe UI" w:hAnsi="Segoe UI"/>
        </w:rPr>
        <w:t xml:space="preserve"> 1.0 Production Readiness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Target Applications: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apps/api</w:t>
      </w:r>
      <w:r>
        <w:rPr>
          <w:rFonts w:ascii="Segoe UI" w:hAnsi="Segoe UI"/>
        </w:rPr>
        <w:t xml:space="preserve"> (NestJS 11 Backend) • </w:t>
      </w:r>
      <w:r>
        <w:rPr>
          <w:rFonts w:ascii="Consolas" w:hAnsi="Consolas"/>
          <w:color w:val="B42828"/>
          <w:sz w:val="19"/>
        </w:rPr>
        <w:t>apps/web</w:t>
      </w:r>
      <w:r>
        <w:rPr>
          <w:rFonts w:ascii="Segoe UI" w:hAnsi="Segoe UI"/>
        </w:rPr>
        <w:t xml:space="preserve"> (Next.js 15 Frontend) • </w:t>
      </w:r>
      <w:r>
        <w:rPr>
          <w:rFonts w:ascii="Consolas" w:hAnsi="Consolas"/>
          <w:color w:val="B42828"/>
          <w:sz w:val="19"/>
        </w:rPr>
        <w:t>prisma/schema.prisma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Standalone Manual:</w:t>
      </w:r>
      <w:r>
        <w:rPr>
          <w:rFonts w:ascii="Segoe UI" w:hAnsi="Segoe UI"/>
        </w:rPr>
        <w:t xml:space="preserve"> This is an independent, dedicated source code reference document. It does not replace or merge with the master business and technical specification.</w:t>
      </w: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Table of Contents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1. Architectural Overview &amp; Request Pipeline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2. Database Schema &amp; Prisma ORM Deep-Dive (`schema.prisma`)</w:t>
      </w:r>
    </w:p>
    <w:p>
      <w:pPr>
        <w:pStyle w:val="ListBullet"/>
        <w:spacing w:before="20" w:after="40"/>
      </w:pPr>
      <w:r>
        <w:rPr>
          <w:rFonts w:ascii="Segoe UI" w:hAnsi="Segoe UI"/>
        </w:rPr>
        <w:t>2.1 Enums and Tenant Boundary Architecture</w:t>
      </w:r>
    </w:p>
    <w:p>
      <w:pPr>
        <w:pStyle w:val="ListBullet"/>
        <w:spacing w:before="20" w:after="40"/>
      </w:pPr>
      <w:r>
        <w:rPr>
          <w:rFonts w:ascii="Segoe UI" w:hAnsi="Segoe UI"/>
        </w:rPr>
        <w:t>2.2 Organizations &amp; Membership Models</w:t>
      </w:r>
    </w:p>
    <w:p>
      <w:pPr>
        <w:pStyle w:val="ListBullet"/>
        <w:spacing w:before="20" w:after="40"/>
      </w:pPr>
      <w:r>
        <w:rPr>
          <w:rFonts w:ascii="Segoe UI" w:hAnsi="Segoe UI"/>
        </w:rPr>
        <w:t>2.3 Chart of Accounts Nominal Model</w:t>
      </w:r>
    </w:p>
    <w:p>
      <w:pPr>
        <w:pStyle w:val="ListBullet"/>
        <w:spacing w:before="20" w:after="40"/>
      </w:pPr>
      <w:r>
        <w:rPr>
          <w:rFonts w:ascii="Segoe UI" w:hAnsi="Segoe UI"/>
        </w:rPr>
        <w:t>2.4 Financial Years &amp; Accounting Periods (btree_gist Constraints)</w:t>
      </w:r>
    </w:p>
    <w:p>
      <w:pPr>
        <w:pStyle w:val="ListBullet"/>
        <w:spacing w:before="20" w:after="40"/>
      </w:pPr>
      <w:r>
        <w:rPr>
          <w:rFonts w:ascii="Segoe UI" w:hAnsi="Segoe UI"/>
        </w:rPr>
        <w:t>2.5 Double-Entry Journal Core &amp; Database-Level Constraints</w:t>
      </w:r>
    </w:p>
    <w:p>
      <w:pPr>
        <w:pStyle w:val="ListBullet"/>
        <w:spacing w:before="20" w:after="40"/>
      </w:pPr>
      <w:r>
        <w:rPr>
          <w:rFonts w:ascii="Segoe UI" w:hAnsi="Segoe UI"/>
        </w:rPr>
        <w:t>2.6 Subledger Models: Contacts &amp; Contact People</w:t>
      </w:r>
    </w:p>
    <w:p>
      <w:pPr>
        <w:pStyle w:val="ListBullet"/>
        <w:spacing w:before="20" w:after="40"/>
      </w:pPr>
      <w:r>
        <w:rPr>
          <w:rFonts w:ascii="Segoe UI" w:hAnsi="Segoe UI"/>
        </w:rPr>
        <w:t>2.7 Invoices &amp; Billing Models</w:t>
      </w:r>
    </w:p>
    <w:p>
      <w:pPr>
        <w:pStyle w:val="ListBullet"/>
        <w:spacing w:before="20" w:after="40"/>
      </w:pPr>
      <w:r>
        <w:rPr>
          <w:rFonts w:ascii="Segoe UI" w:hAnsi="Segoe UI"/>
        </w:rPr>
        <w:t>2.8 Append-Only Audit Logging &amp; Database Trigger Functions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3. The Double-Entry Accounting Engine (`src/accounting-engine/`)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3.1 </w:t>
      </w:r>
      <w:r>
        <w:rPr>
          <w:rFonts w:ascii="Consolas" w:hAnsi="Consolas"/>
          <w:color w:val="B42828"/>
          <w:sz w:val="19"/>
        </w:rPr>
        <w:t>MoneyService</w:t>
      </w:r>
      <w:r>
        <w:rPr>
          <w:rFonts w:ascii="Segoe UI" w:hAnsi="Segoe UI"/>
        </w:rPr>
        <w:t>: Decimal.js and Zero-Drift Fixed-Point Math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3.2 </w:t>
      </w:r>
      <w:r>
        <w:rPr>
          <w:rFonts w:ascii="Consolas" w:hAnsi="Consolas"/>
          <w:color w:val="B42828"/>
          <w:sz w:val="19"/>
        </w:rPr>
        <w:t>JournalValidationService</w:t>
      </w:r>
      <w:r>
        <w:rPr>
          <w:rFonts w:ascii="Segoe UI" w:hAnsi="Segoe UI"/>
        </w:rPr>
        <w:t>: Complete Walkthrough of the 15 Invariants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3.3 </w:t>
      </w:r>
      <w:r>
        <w:rPr>
          <w:rFonts w:ascii="Consolas" w:hAnsi="Consolas"/>
          <w:color w:val="B42828"/>
          <w:sz w:val="19"/>
        </w:rPr>
        <w:t>JournalPostingService</w:t>
      </w:r>
      <w:r>
        <w:rPr>
          <w:rFonts w:ascii="Segoe UI" w:hAnsi="Segoe UI"/>
        </w:rPr>
        <w:t>: Atomic Sequences and State Transitions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3.4 </w:t>
      </w:r>
      <w:r>
        <w:rPr>
          <w:rFonts w:ascii="Consolas" w:hAnsi="Consolas"/>
          <w:color w:val="B42828"/>
          <w:sz w:val="19"/>
        </w:rPr>
        <w:t>JournalReversalService</w:t>
      </w:r>
      <w:r>
        <w:rPr>
          <w:rFonts w:ascii="Segoe UI" w:hAnsi="Segoe UI"/>
        </w:rPr>
        <w:t>: Non-Destructive GAAP Balancing Entries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3.5 </w:t>
      </w:r>
      <w:r>
        <w:rPr>
          <w:rFonts w:ascii="Consolas" w:hAnsi="Consolas"/>
          <w:color w:val="B42828"/>
          <w:sz w:val="19"/>
        </w:rPr>
        <w:t>AccountingIntegrityService</w:t>
      </w:r>
      <w:r>
        <w:rPr>
          <w:rFonts w:ascii="Segoe UI" w:hAnsi="Segoe UI"/>
        </w:rPr>
        <w:t>: Trial Balance and Equation Equilibrium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4. Chart of Accounts &amp; General Ledger (`src/accounts/` &amp; `src/ledger/`)</w:t>
      </w:r>
    </w:p>
    <w:p>
      <w:pPr>
        <w:pStyle w:val="ListBullet"/>
        <w:spacing w:before="20" w:after="40"/>
      </w:pPr>
      <w:r>
        <w:rPr>
          <w:rFonts w:ascii="Segoe UI" w:hAnsi="Segoe UI"/>
        </w:rPr>
        <w:t>4.1 Nominal Code Hierarchy (1000–8999) &amp; Standard Seeding</w:t>
      </w:r>
    </w:p>
    <w:p>
      <w:pPr>
        <w:pStyle w:val="ListBullet"/>
        <w:spacing w:before="20" w:after="40"/>
      </w:pPr>
      <w:r>
        <w:rPr>
          <w:rFonts w:ascii="Segoe UI" w:hAnsi="Segoe UI"/>
        </w:rPr>
        <w:t>4.2 Control Account Protection Mechanics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4.3 </w:t>
      </w:r>
      <w:r>
        <w:rPr>
          <w:rFonts w:ascii="Consolas" w:hAnsi="Consolas"/>
          <w:color w:val="B42828"/>
          <w:sz w:val="19"/>
        </w:rPr>
        <w:t>AccountsService</w:t>
      </w:r>
      <w:r>
        <w:rPr>
          <w:rFonts w:ascii="Segoe UI" w:hAnsi="Segoe UI"/>
        </w:rPr>
        <w:t>: Hierarchical Trees &amp; Validation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4.4 </w:t>
      </w:r>
      <w:r>
        <w:rPr>
          <w:rFonts w:ascii="Consolas" w:hAnsi="Consolas"/>
          <w:color w:val="B42828"/>
          <w:sz w:val="19"/>
        </w:rPr>
        <w:t>LedgerService</w:t>
      </w:r>
      <w:r>
        <w:rPr>
          <w:rFonts w:ascii="Segoe UI" w:hAnsi="Segoe UI"/>
        </w:rPr>
        <w:t>: General Ledger Running Balances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5. Financial Periods &amp; Year-End Closure (`src/financial-years/`, `src/accounting-periods/`)</w:t>
      </w:r>
    </w:p>
    <w:p>
      <w:pPr>
        <w:pStyle w:val="ListBullet"/>
        <w:spacing w:before="20" w:after="40"/>
      </w:pPr>
      <w:r>
        <w:rPr>
          <w:rFonts w:ascii="Segoe UI" w:hAnsi="Segoe UI"/>
        </w:rPr>
        <w:t>5.1 Automated 12-Month Calendar Generation</w:t>
      </w:r>
    </w:p>
    <w:p>
      <w:pPr>
        <w:pStyle w:val="ListBullet"/>
        <w:spacing w:before="20" w:after="40"/>
      </w:pPr>
      <w:r>
        <w:rPr>
          <w:rFonts w:ascii="Segoe UI" w:hAnsi="Segoe UI"/>
        </w:rPr>
        <w:t>5.2 Three-Tier Period Lockdown State Machine (</w:t>
      </w:r>
      <w:r>
        <w:rPr>
          <w:rFonts w:ascii="Consolas" w:hAnsi="Consolas"/>
          <w:color w:val="B42828"/>
          <w:sz w:val="19"/>
        </w:rPr>
        <w:t>OPEN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SOFT_LOCKED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HARD_LOCKED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5.3 Overlap Prevention Algorithms &amp; Error Codes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6. Contacts &amp; Commercial Subledgers (`src/contacts/`)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6.1 </w:t>
      </w:r>
      <w:r>
        <w:rPr>
          <w:rFonts w:ascii="Consolas" w:hAnsi="Consolas"/>
          <w:color w:val="B42828"/>
          <w:sz w:val="19"/>
        </w:rPr>
        <w:t>ContactsService</w:t>
      </w:r>
      <w:r>
        <w:rPr>
          <w:rFonts w:ascii="Segoe UI" w:hAnsi="Segoe UI"/>
        </w:rPr>
        <w:t>: Customer/Supplier Directory &amp; Master Data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6.2 </w:t>
      </w:r>
      <w:r>
        <w:rPr>
          <w:rFonts w:ascii="Consolas" w:hAnsi="Consolas"/>
          <w:color w:val="B42828"/>
          <w:sz w:val="19"/>
        </w:rPr>
        <w:t>ContactSubledgerService</w:t>
      </w:r>
      <w:r>
        <w:rPr>
          <w:rFonts w:ascii="Segoe UI" w:hAnsi="Segoe UI"/>
        </w:rPr>
        <w:t>: Dynamic AR/AP Derivation &amp; Zero Cache Drift</w:t>
      </w:r>
    </w:p>
    <w:p>
      <w:pPr>
        <w:pStyle w:val="ListBullet"/>
        <w:spacing w:before="20" w:after="40"/>
      </w:pPr>
      <w:r>
        <w:rPr>
          <w:rFonts w:ascii="Segoe UI" w:hAnsi="Segoe UI"/>
        </w:rPr>
        <w:t>6.3 Customer &amp; Supplier Statement Generation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7. Sales Invoicing &amp; Commercial Billing (`src/invoices/`)</w:t>
      </w:r>
    </w:p>
    <w:p>
      <w:pPr>
        <w:pStyle w:val="ListBullet"/>
        <w:spacing w:before="20" w:after="40"/>
      </w:pPr>
      <w:r>
        <w:rPr>
          <w:rFonts w:ascii="Segoe UI" w:hAnsi="Segoe UI"/>
        </w:rPr>
        <w:t>7.1 Invoice Creation, Line Pricing, and UK VAT Calculation</w:t>
      </w:r>
    </w:p>
    <w:p>
      <w:pPr>
        <w:pStyle w:val="ListBullet"/>
        <w:spacing w:before="20" w:after="40"/>
      </w:pPr>
      <w:r>
        <w:rPr>
          <w:rFonts w:ascii="Segoe UI" w:hAnsi="Segoe UI"/>
        </w:rPr>
        <w:t>7.2 The Automated General Ledger Posting Pipeline (</w:t>
      </w:r>
      <w:r>
        <w:rPr>
          <w:rFonts w:ascii="Consolas" w:hAnsi="Consolas"/>
          <w:color w:val="B42828"/>
          <w:sz w:val="19"/>
        </w:rPr>
        <w:t>postInvoice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7.3 Invoice Voiding and Reversal Alignment (</w:t>
      </w:r>
      <w:r>
        <w:rPr>
          <w:rFonts w:ascii="Consolas" w:hAnsi="Consolas"/>
          <w:color w:val="B42828"/>
          <w:sz w:val="19"/>
        </w:rPr>
        <w:t>voidInvoice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8. Financial Reporting Engine (`src/reports/`)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8.1 </w:t>
      </w:r>
      <w:r>
        <w:rPr>
          <w:rFonts w:ascii="Consolas" w:hAnsi="Consolas"/>
          <w:color w:val="B42828"/>
          <w:sz w:val="19"/>
        </w:rPr>
        <w:t>TrialBalanceService</w:t>
      </w:r>
      <w:r>
        <w:rPr>
          <w:rFonts w:ascii="Segoe UI" w:hAnsi="Segoe UI"/>
        </w:rPr>
        <w:t>: Real-Time Nominal Aggregation &amp; Export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8.2 </w:t>
      </w:r>
      <w:r>
        <w:rPr>
          <w:rFonts w:ascii="Consolas" w:hAnsi="Consolas"/>
          <w:color w:val="B42828"/>
          <w:sz w:val="19"/>
        </w:rPr>
        <w:t>ProfitAndLossService</w:t>
      </w:r>
      <w:r>
        <w:rPr>
          <w:rFonts w:ascii="Segoe UI" w:hAnsi="Segoe UI"/>
        </w:rPr>
        <w:t>: Revenue &amp; Expense Classification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8.3 </w:t>
      </w:r>
      <w:r>
        <w:rPr>
          <w:rFonts w:ascii="Consolas" w:hAnsi="Consolas"/>
          <w:color w:val="B42828"/>
          <w:sz w:val="19"/>
        </w:rPr>
        <w:t>BalanceSheetService</w:t>
      </w:r>
      <w:r>
        <w:rPr>
          <w:rFonts w:ascii="Segoe UI" w:hAnsi="Segoe UI"/>
        </w:rPr>
        <w:t>: Assets, Liabilities, and Equity Verification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9. Security, Authentication &amp; Multi-Tenancy (`src/auth/`, `src/roles/`, `src/organizations/`, `src/audit/`)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9.1 </w:t>
      </w:r>
      <w:r>
        <w:rPr>
          <w:rFonts w:ascii="Consolas" w:hAnsi="Consolas"/>
          <w:color w:val="B42828"/>
          <w:sz w:val="19"/>
        </w:rPr>
        <w:t>PasswordService</w:t>
      </w:r>
      <w:r>
        <w:rPr>
          <w:rFonts w:ascii="Segoe UI" w:hAnsi="Segoe UI"/>
        </w:rPr>
        <w:t>: scrypt Hashing &amp; Constant-Time Verification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9.2 </w:t>
      </w:r>
      <w:r>
        <w:rPr>
          <w:rFonts w:ascii="Consolas" w:hAnsi="Consolas"/>
          <w:color w:val="B42828"/>
          <w:sz w:val="19"/>
        </w:rPr>
        <w:t>AuthGuard</w:t>
      </w:r>
      <w:r>
        <w:rPr>
          <w:rFonts w:ascii="Segoe UI" w:hAnsi="Segoe UI"/>
        </w:rPr>
        <w:t>: Bearer Token Extraction &amp; Session Validation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9.3 </w:t>
      </w:r>
      <w:r>
        <w:rPr>
          <w:rFonts w:ascii="Consolas" w:hAnsi="Consolas"/>
          <w:color w:val="B42828"/>
          <w:sz w:val="19"/>
        </w:rPr>
        <w:t>RolesGuard</w:t>
      </w:r>
      <w:r>
        <w:rPr>
          <w:rFonts w:ascii="Segoe UI" w:hAnsi="Segoe UI"/>
        </w:rPr>
        <w:t>: Role-Based Access Control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9.4 </w:t>
      </w:r>
      <w:r>
        <w:rPr>
          <w:rFonts w:ascii="Consolas" w:hAnsi="Consolas"/>
          <w:color w:val="B42828"/>
          <w:sz w:val="19"/>
        </w:rPr>
        <w:t>AuditService</w:t>
      </w:r>
      <w:r>
        <w:rPr>
          <w:rFonts w:ascii="Segoe UI" w:hAnsi="Segoe UI"/>
        </w:rPr>
        <w:t>: Structured Immutable Logging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10. AI Document Intelligence &amp; Safety Guardrails (`src/ai/`)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10.1 </w:t>
      </w:r>
      <w:r>
        <w:rPr>
          <w:rFonts w:ascii="Consolas" w:hAnsi="Consolas"/>
          <w:color w:val="B42828"/>
          <w:sz w:val="19"/>
        </w:rPr>
        <w:t>AccountingClassificationService</w:t>
      </w:r>
      <w:r>
        <w:rPr>
          <w:rFonts w:ascii="Segoe UI" w:hAnsi="Segoe UI"/>
        </w:rPr>
        <w:t>: Document Code Mapping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10.2 </w:t>
      </w:r>
      <w:r>
        <w:rPr>
          <w:rFonts w:ascii="Consolas" w:hAnsi="Consolas"/>
          <w:color w:val="B42828"/>
          <w:sz w:val="19"/>
        </w:rPr>
        <w:t>TransactionDirectionService</w:t>
      </w:r>
      <w:r>
        <w:rPr>
          <w:rFonts w:ascii="Segoe UI" w:hAnsi="Segoe UI"/>
        </w:rPr>
        <w:t>: Debit/Credit Prediction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10.3 </w:t>
      </w:r>
      <w:r>
        <w:rPr>
          <w:rFonts w:ascii="Consolas" w:hAnsi="Consolas"/>
          <w:color w:val="B42828"/>
          <w:sz w:val="19"/>
        </w:rPr>
        <w:t>AccountingSafetyService</w:t>
      </w:r>
      <w:r>
        <w:rPr>
          <w:rFonts w:ascii="Segoe UI" w:hAnsi="Segoe UI"/>
        </w:rPr>
        <w:t>: Validation Guardrails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11. Common Infrastructure, Filters, Pipes &amp; Logger (`src/common/`)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11.1 </w:t>
      </w:r>
      <w:r>
        <w:rPr>
          <w:rFonts w:ascii="Consolas" w:hAnsi="Consolas"/>
          <w:color w:val="B42828"/>
          <w:sz w:val="19"/>
        </w:rPr>
        <w:t>AllExceptionsFilter</w:t>
      </w:r>
      <w:r>
        <w:rPr>
          <w:rFonts w:ascii="Segoe UI" w:hAnsi="Segoe UI"/>
        </w:rPr>
        <w:t>: Centralized Domain Error Envelope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11.2 </w:t>
      </w:r>
      <w:r>
        <w:rPr>
          <w:rFonts w:ascii="Consolas" w:hAnsi="Consolas"/>
          <w:color w:val="B42828"/>
          <w:sz w:val="19"/>
        </w:rPr>
        <w:t>DomainException</w:t>
      </w:r>
      <w:r>
        <w:rPr>
          <w:rFonts w:ascii="Segoe UI" w:hAnsi="Segoe UI"/>
        </w:rPr>
        <w:t>: Standardized Error Structure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11.3 </w:t>
      </w:r>
      <w:r>
        <w:rPr>
          <w:rFonts w:ascii="Consolas" w:hAnsi="Consolas"/>
          <w:color w:val="B42828"/>
          <w:sz w:val="19"/>
        </w:rPr>
        <w:t>ValidationPipe</w:t>
      </w:r>
      <w:r>
        <w:rPr>
          <w:rFonts w:ascii="Segoe UI" w:hAnsi="Segoe UI"/>
        </w:rPr>
        <w:t>: Class-Validator Sanitization</w:t>
      </w:r>
    </w:p>
    <w:p>
      <w:pPr>
        <w:pStyle w:val="ListBullet"/>
        <w:spacing w:before="20" w:after="40"/>
      </w:pPr>
      <w:r>
        <w:rPr>
          <w:rFonts w:ascii="Segoe UI" w:hAnsi="Segoe UI"/>
        </w:rPr>
        <w:t>11.4 Correlation IDs and Structured JSON Logging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12. Web Client Architecture (`apps/web/src/`)</w:t>
      </w:r>
    </w:p>
    <w:p>
      <w:pPr>
        <w:pStyle w:val="ListBullet"/>
        <w:spacing w:before="20" w:after="40"/>
      </w:pPr>
      <w:r>
        <w:rPr>
          <w:rFonts w:ascii="Segoe UI" w:hAnsi="Segoe UI"/>
        </w:rPr>
        <w:t>12.1 App Router Layout &amp; Authentication Context</w:t>
      </w:r>
    </w:p>
    <w:p>
      <w:pPr>
        <w:pStyle w:val="ListBullet"/>
        <w:spacing w:before="20" w:after="40"/>
      </w:pPr>
      <w:r>
        <w:rPr>
          <w:rFonts w:ascii="Segoe UI" w:hAnsi="Segoe UI"/>
        </w:rPr>
        <w:t>12.2 Tenant-Scoped API Client (</w:t>
      </w:r>
      <w:r>
        <w:rPr>
          <w:rFonts w:ascii="Consolas" w:hAnsi="Consolas"/>
          <w:color w:val="B42828"/>
          <w:sz w:val="19"/>
        </w:rPr>
        <w:t>api.ts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12.3 Dashboard Real-Time KPI Cards</w:t>
      </w:r>
    </w:p>
    <w:p>
      <w:pPr>
        <w:pStyle w:val="ListBullet"/>
        <w:spacing w:before="20" w:after="40"/>
      </w:pPr>
      <w:r>
        <w:rPr>
          <w:rFonts w:ascii="Segoe UI" w:hAnsi="Segoe UI"/>
        </w:rPr>
        <w:t>12.4 Journal Entry Grid &amp; Sticky Live Tally Bar</w:t>
      </w:r>
    </w:p>
    <w:p>
      <w:pPr>
        <w:pStyle w:val="ListBullet"/>
        <w:spacing w:before="20" w:after="40"/>
      </w:pPr>
      <w:r>
        <w:rPr>
          <w:rFonts w:ascii="Segoe UI" w:hAnsi="Segoe UI"/>
        </w:rPr>
        <w:t>12.5 Invoicing Interface &amp; Subledger Statement Viewers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13. Cloud Deployment &amp; CI/CD Pipeline</w:t>
      </w:r>
    </w:p>
    <w:p>
      <w:pPr>
        <w:pStyle w:val="ListBullet"/>
        <w:spacing w:before="20" w:after="40"/>
      </w:pPr>
      <w:r>
        <w:rPr>
          <w:rFonts w:ascii="Segoe UI" w:hAnsi="Segoe UI"/>
        </w:rPr>
        <w:t>13.1 AWS Dev Architecture (</w:t>
      </w:r>
      <w:r>
        <w:rPr>
          <w:rFonts w:ascii="Consolas" w:hAnsi="Consolas"/>
          <w:color w:val="B42828"/>
          <w:sz w:val="19"/>
        </w:rPr>
        <w:t>eu-west-2</w:t>
      </w:r>
      <w:r>
        <w:rPr>
          <w:rFonts w:ascii="Segoe UI" w:hAnsi="Segoe UI"/>
        </w:rPr>
        <w:t xml:space="preserve"> London)</w:t>
      </w:r>
    </w:p>
    <w:p>
      <w:pPr>
        <w:pStyle w:val="ListBullet"/>
        <w:spacing w:before="20" w:after="40"/>
      </w:pPr>
      <w:r>
        <w:rPr>
          <w:rFonts w:ascii="Segoe UI" w:hAnsi="Segoe UI"/>
        </w:rPr>
        <w:t>13.2 Migration &amp; Rollback Protocol</w:t>
      </w:r>
    </w:p>
    <w:p>
      <w:pPr>
        <w:pStyle w:val="ListBullet"/>
        <w:spacing w:before="20" w:after="40"/>
      </w:pPr>
      <w:r>
        <w:rPr>
          <w:rFonts w:ascii="Segoe UI" w:hAnsi="Segoe UI"/>
        </w:rPr>
        <w:t>13.3 CI/CD Quality Gate &amp; Automated Testing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1. Architectural Overview &amp; Request Pipeline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The blynt platform is structured as an institutional </w:t>
      </w:r>
      <w:r>
        <w:rPr>
          <w:rFonts w:ascii="Segoe UI" w:hAnsi="Segoe UI"/>
          <w:b/>
        </w:rPr>
        <w:t>modular monolith</w:t>
      </w:r>
      <w:r>
        <w:rPr>
          <w:rFonts w:ascii="Segoe UI" w:hAnsi="Segoe UI"/>
        </w:rPr>
        <w:t xml:space="preserve"> engineered for mathematical precision, tenant isolation, and audit immutability: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163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1 - High-level blynt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[ Next.js 15 Client (Turbopack) ]</w:t>
              <w:br/>
              <w:t xml:space="preserve">        │ (HTTP/REST via fetch with Bearer Token)</w:t>
              <w:br/>
              <w:t xml:space="preserve">        ▼</w:t>
              <w:br/>
              <w:t>[ NestJS 11 Application Gateway ]</w:t>
              <w:br/>
              <w:t xml:space="preserve">  ├── Common Middleware (Correlation IDs: x-request-id)</w:t>
              <w:br/>
              <w:t xml:space="preserve">  ├── Security Guards (AuthGuard -&gt; RolesGuard -&gt; OrgGuard)</w:t>
              <w:br/>
              <w:t xml:space="preserve">  ├── Controllers (Routing, DTO transformation)</w:t>
              <w:br/>
              <w:t xml:space="preserve">  ├── Domain Services (Accounting, Invoicing, Subledgers)</w:t>
              <w:br/>
              <w:t xml:space="preserve">  └── Central Posting Engine (Validation &amp; Integrity Invariants)</w:t>
              <w:br/>
              <w:t xml:space="preserve">        │ (Prisma Client with Transaction Pool)</w:t>
              <w:br/>
              <w:t xml:space="preserve">        ▼</w:t>
              <w:br/>
              <w:t>[ PostgreSQL 16+ Engine ]</w:t>
              <w:br/>
              <w:t xml:space="preserve">  ├── Composite Foreign Keys (Tenant Boundaries)</w:t>
              <w:br/>
              <w:t xml:space="preserve">  ├── Temporal Exclusion (btree_gist Non-overlapping dates)</w:t>
              <w:br/>
              <w:t xml:space="preserve">  ├── Check Constraints (debit &gt;= 0, credit &gt;= 0)</w:t>
              <w:br/>
              <w:t xml:space="preserve">  └── Triggers (Append-Only audit_logs immutability)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Execution Lifecycle of an Inbound Request: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Network Ingress &amp; Reverse Proxy:</w:t>
      </w:r>
      <w:r>
        <w:rPr>
          <w:rFonts w:ascii="Segoe UI" w:hAnsi="Segoe UI"/>
        </w:rPr>
        <w:t xml:space="preserve"> Request enters port 4000. Middleware intercepts incoming HTTP headers, generating a unique </w:t>
      </w:r>
      <w:r>
        <w:rPr>
          <w:rFonts w:ascii="Consolas" w:hAnsi="Consolas"/>
          <w:color w:val="B42828"/>
          <w:sz w:val="19"/>
        </w:rPr>
        <w:t>x-request-id</w:t>
      </w:r>
      <w:r>
        <w:rPr>
          <w:rFonts w:ascii="Segoe UI" w:hAnsi="Segoe UI"/>
        </w:rPr>
        <w:t xml:space="preserve"> UUIDv4 if omitted, which is attached to the request context.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Global Validation Pipe: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ValidationPipe</w:t>
      </w:r>
      <w:r>
        <w:rPr>
          <w:rFonts w:ascii="Segoe UI" w:hAnsi="Segoe UI"/>
        </w:rPr>
        <w:t xml:space="preserve"> parses and validates inbound request payloads against class-validator decorators, rejecting undeclared properties (</w:t>
      </w:r>
      <w:r>
        <w:rPr>
          <w:rFonts w:ascii="Consolas" w:hAnsi="Consolas"/>
          <w:color w:val="B42828"/>
          <w:sz w:val="19"/>
        </w:rPr>
        <w:t>whitelist: true</w:t>
      </w:r>
      <w:r>
        <w:rPr>
          <w:rFonts w:ascii="Segoe UI" w:hAnsi="Segoe UI"/>
        </w:rPr>
        <w:t>) and transforming types.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Authentication Layer (`AuthGuard`):</w:t>
      </w:r>
      <w:r>
        <w:rPr>
          <w:rFonts w:ascii="Segoe UI" w:hAnsi="Segoe UI"/>
        </w:rPr>
        <w:t xml:space="preserve"> Extracts </w:t>
      </w:r>
      <w:r>
        <w:rPr>
          <w:rFonts w:ascii="Consolas" w:hAnsi="Consolas"/>
          <w:color w:val="B42828"/>
          <w:sz w:val="19"/>
        </w:rPr>
        <w:t>Authorization: Bearer &lt;token&gt;</w:t>
      </w:r>
      <w:r>
        <w:rPr>
          <w:rFonts w:ascii="Segoe UI" w:hAnsi="Segoe UI"/>
        </w:rPr>
        <w:t xml:space="preserve">, validates session token against </w:t>
      </w:r>
      <w:r>
        <w:rPr>
          <w:rFonts w:ascii="Consolas" w:hAnsi="Consolas"/>
          <w:color w:val="B42828"/>
          <w:sz w:val="19"/>
        </w:rPr>
        <w:t>user_sessions</w:t>
      </w:r>
      <w:r>
        <w:rPr>
          <w:rFonts w:ascii="Segoe UI" w:hAnsi="Segoe UI"/>
        </w:rPr>
        <w:t xml:space="preserve"> in PostgreSQL, verifies token expiry, and resolves user context.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</w:t>
      </w:r>
      <w:r>
        <w:rPr>
          <w:rFonts w:ascii="Segoe UI" w:hAnsi="Segoe UI"/>
          <w:b/>
        </w:rPr>
        <w:t>Tenant Verification &amp; Role Authorisation (`RolesGuard`):</w:t>
      </w:r>
      <w:r>
        <w:rPr>
          <w:rFonts w:ascii="Segoe UI" w:hAnsi="Segoe UI"/>
        </w:rPr>
        <w:t xml:space="preserve"> Resolves active </w:t>
      </w:r>
      <w:r>
        <w:rPr>
          <w:rFonts w:ascii="Consolas" w:hAnsi="Consolas"/>
          <w:color w:val="B42828"/>
          <w:sz w:val="19"/>
        </w:rPr>
        <w:t>organizationId</w:t>
      </w:r>
      <w:r>
        <w:rPr>
          <w:rFonts w:ascii="Segoe UI" w:hAnsi="Segoe UI"/>
        </w:rPr>
        <w:t xml:space="preserve"> from URL route params (</w:t>
      </w:r>
      <w:r>
        <w:rPr>
          <w:rFonts w:ascii="Consolas" w:hAnsi="Consolas"/>
          <w:color w:val="B42828"/>
          <w:sz w:val="19"/>
        </w:rPr>
        <w:t>/organizations/:orgId/...</w:t>
      </w:r>
      <w:r>
        <w:rPr>
          <w:rFonts w:ascii="Segoe UI" w:hAnsi="Segoe UI"/>
        </w:rPr>
        <w:t xml:space="preserve">) or headers, validates active membership in </w:t>
      </w:r>
      <w:r>
        <w:rPr>
          <w:rFonts w:ascii="Consolas" w:hAnsi="Consolas"/>
          <w:color w:val="B42828"/>
          <w:sz w:val="19"/>
        </w:rPr>
        <w:t>organization_members</w:t>
      </w:r>
      <w:r>
        <w:rPr>
          <w:rFonts w:ascii="Segoe UI" w:hAnsi="Segoe UI"/>
        </w:rPr>
        <w:t xml:space="preserve">, and verifies the caller's role against </w:t>
      </w:r>
      <w:r>
        <w:rPr>
          <w:rFonts w:ascii="Consolas" w:hAnsi="Consolas"/>
          <w:color w:val="B42828"/>
          <w:sz w:val="19"/>
        </w:rPr>
        <w:t>@Roles(...)</w:t>
      </w:r>
      <w:r>
        <w:rPr>
          <w:rFonts w:ascii="Segoe UI" w:hAnsi="Segoe UI"/>
        </w:rPr>
        <w:t xml:space="preserve"> metadata.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5. </w:t>
      </w:r>
      <w:r>
        <w:rPr>
          <w:rFonts w:ascii="Segoe UI" w:hAnsi="Segoe UI"/>
          <w:b/>
        </w:rPr>
        <w:t>Controller Dispatch:</w:t>
      </w:r>
      <w:r>
        <w:rPr>
          <w:rFonts w:ascii="Segoe UI" w:hAnsi="Segoe UI"/>
        </w:rPr>
        <w:t xml:space="preserve"> Invokes the corresponding NestJS controller method, providing typed DTOs and verified request actors.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6. </w:t>
      </w:r>
      <w:r>
        <w:rPr>
          <w:rFonts w:ascii="Segoe UI" w:hAnsi="Segoe UI"/>
          <w:b/>
        </w:rPr>
        <w:t>Domain Service Execution &amp; Database Transaction:</w:t>
      </w:r>
      <w:r>
        <w:rPr>
          <w:rFonts w:ascii="Segoe UI" w:hAnsi="Segoe UI"/>
        </w:rPr>
        <w:t xml:space="preserve"> Executes accounting domain logic. Critical financial writes execute within </w:t>
      </w:r>
      <w:r>
        <w:rPr>
          <w:rFonts w:ascii="Consolas" w:hAnsi="Consolas"/>
          <w:color w:val="B42828"/>
          <w:sz w:val="19"/>
        </w:rPr>
        <w:t>prisma.transaction(async (tx) =&gt; { ... })</w:t>
      </w:r>
      <w:r>
        <w:rPr>
          <w:rFonts w:ascii="Segoe UI" w:hAnsi="Segoe UI"/>
        </w:rPr>
        <w:t xml:space="preserve"> with row-level locks.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7. </w:t>
      </w:r>
      <w:r>
        <w:rPr>
          <w:rFonts w:ascii="Segoe UI" w:hAnsi="Segoe UI"/>
          <w:b/>
        </w:rPr>
        <w:t>Audit Logging &amp; Response Interception:</w:t>
      </w:r>
      <w:r>
        <w:rPr>
          <w:rFonts w:ascii="Segoe UI" w:hAnsi="Segoe UI"/>
        </w:rPr>
        <w:t xml:space="preserve"> Structured audit records are saved directly into </w:t>
      </w:r>
      <w:r>
        <w:rPr>
          <w:rFonts w:ascii="Consolas" w:hAnsi="Consolas"/>
          <w:color w:val="B42828"/>
          <w:sz w:val="19"/>
        </w:rPr>
        <w:t>audit_logs</w:t>
      </w:r>
      <w:r>
        <w:rPr>
          <w:rFonts w:ascii="Segoe UI" w:hAnsi="Segoe UI"/>
        </w:rPr>
        <w:t>. The response payload is wrapped into the standard API envelope.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2. Database Schema &amp; Prisma ORM Deep-Dive (`schema.prisma`)</w:t>
      </w:r>
    </w:p>
    <w:p>
      <w:pPr>
        <w:spacing w:before="40" w:after="80" w:line="276" w:lineRule="auto"/>
      </w:pPr>
      <w:r>
        <w:rPr>
          <w:rFonts w:ascii="Segoe UI" w:hAnsi="Segoe UI"/>
        </w:rPr>
        <w:t>The database schema (</w:t>
      </w:r>
      <w:r>
        <w:rPr>
          <w:rFonts w:ascii="Consolas" w:hAnsi="Consolas"/>
          <w:color w:val="B42828"/>
          <w:sz w:val="19"/>
        </w:rPr>
        <w:t>apps/api/prisma/schema.prisma</w:t>
      </w:r>
      <w:r>
        <w:rPr>
          <w:rFonts w:ascii="Segoe UI" w:hAnsi="Segoe UI"/>
        </w:rPr>
        <w:t>) serves as the authoritative financial contract.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2.1 Enums and Tenant Boundary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enum SystemRoleKey {</w:t>
              <w:br/>
              <w:t xml:space="preserve">  OWNER</w:t>
              <w:br/>
              <w:t xml:space="preserve">  ADMINISTRATOR</w:t>
              <w:br/>
              <w:t xml:space="preserve">  ACCOUNTANT</w:t>
              <w:br/>
              <w:t xml:space="preserve">  BOOKKEEPER</w:t>
              <w:br/>
              <w:t xml:space="preserve">  VIEWER</w:t>
              <w:br/>
              <w:t>}</w:t>
              <w:br/>
              <w:br/>
              <w:t>enum AccountType {</w:t>
              <w:br/>
              <w:t xml:space="preserve">  ASSET</w:t>
              <w:br/>
              <w:t xml:space="preserve">  LIABILITY</w:t>
              <w:br/>
              <w:t xml:space="preserve">  EQUITY</w:t>
              <w:br/>
              <w:t xml:space="preserve">  REVENUE</w:t>
              <w:br/>
              <w:t xml:space="preserve">  EXPENSE</w:t>
              <w:br/>
              <w:t>}</w:t>
              <w:br/>
              <w:br/>
              <w:t>enum BalanceType {</w:t>
              <w:br/>
              <w:t xml:space="preserve">  DEBIT</w:t>
              <w:br/>
              <w:t xml:space="preserve">  CREDIT</w:t>
              <w:br/>
              <w:t>}</w:t>
              <w:br/>
              <w:br/>
              <w:t>enum JournalStatus {</w:t>
              <w:br/>
              <w:t xml:space="preserve">  DRAFT</w:t>
              <w:br/>
              <w:t xml:space="preserve">  VALIDATED</w:t>
              <w:br/>
              <w:t xml:space="preserve">  POSTED</w:t>
              <w:br/>
              <w:t xml:space="preserve">  REVERSED</w:t>
              <w:br/>
              <w:t>}</w:t>
              <w:br/>
              <w:br/>
              <w:t>enum PeriodStatus {</w:t>
              <w:br/>
              <w:t xml:space="preserve">  OPEN</w:t>
              <w:br/>
              <w:t xml:space="preserve">  SOFT_LOCKED</w:t>
              <w:br/>
              <w:t xml:space="preserve">  HARD_LOCKED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>
        <w:rPr>
          <w:rFonts w:ascii="Segoe UI" w:hAnsi="Segoe UI"/>
          <w:b/>
        </w:rPr>
        <w:t>Tenant Boundary Contract:</w:t>
      </w:r>
      <w:r>
        <w:rPr>
          <w:rFonts w:ascii="Segoe UI" w:hAnsi="Segoe UI"/>
        </w:rPr>
        <w:t xml:space="preserve"> Child tables maintain composite unique references </w:t>
      </w:r>
      <w:r>
        <w:rPr>
          <w:rFonts w:ascii="Consolas" w:hAnsi="Consolas"/>
          <w:color w:val="B42828"/>
          <w:sz w:val="19"/>
        </w:rPr>
        <w:t>(organization_id, id)</w:t>
      </w:r>
      <w:r>
        <w:rPr>
          <w:rFonts w:ascii="Segoe UI" w:hAnsi="Segoe UI"/>
        </w:rPr>
        <w:t xml:space="preserve"> enabling composite foreign keys. A record in Organisation A cannot physically point to a foreign record in Organisation B.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2.2 Organizations &amp; Membership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model Organization {</w:t>
              <w:br/>
              <w:t xml:space="preserve">  id             String             @id @default(cuid())</w:t>
              <w:br/>
              <w:t xml:space="preserve">  legalName      String             @map("legal_name")</w:t>
              <w:br/>
              <w:t xml:space="preserve">  slug           String             @unique</w:t>
              <w:br/>
              <w:t xml:space="preserve">  companyNumber  String?            @map("company_number")</w:t>
              <w:br/>
              <w:t xml:space="preserve">  vatNumber      String?            @map("vat_number")</w:t>
              <w:br/>
              <w:t xml:space="preserve">  baseCurrency   String             @default("GBP") @map("base_currency")</w:t>
              <w:br/>
              <w:t xml:space="preserve">  status         OrganizationStatus @default(ACTIVE)</w:t>
              <w:br/>
              <w:t xml:space="preserve">  createdAt      DateTime           @default(now()) @map("created_at")</w:t>
              <w:br/>
              <w:t xml:space="preserve">  updatedAt      DateTime           @updatedAt @map("updated_at")</w:t>
              <w:br/>
              <w:br/>
              <w:t xml:space="preserve">  members        OrganizationMember[]</w:t>
              <w:br/>
              <w:t xml:space="preserve">  accounts       Account[]</w:t>
              <w:br/>
              <w:t xml:space="preserve">  journals       JournalEntry[]</w:t>
              <w:br/>
              <w:t xml:space="preserve">  financialYears FinancialYear[]</w:t>
              <w:br/>
              <w:t xml:space="preserve">  contacts       Contact[]</w:t>
              <w:br/>
              <w:t xml:space="preserve">  invoices       Invoice[]</w:t>
              <w:br/>
              <w:br/>
              <w:t xml:space="preserve">  @@map("organizations")</w:t>
              <w:br/>
              <w:t>}</w:t>
              <w:br/>
              <w:br/>
              <w:t>model OrganizationMember {</w:t>
              <w:br/>
              <w:t xml:space="preserve">  id             String        @id @default(cuid())</w:t>
              <w:br/>
              <w:t xml:space="preserve">  organizationId String        @map("organization_id")</w:t>
              <w:br/>
              <w:t xml:space="preserve">  userId         String        @map("user_id")</w:t>
              <w:br/>
              <w:t xml:space="preserve">  role           SystemRoleKey @default(VIEWER)</w:t>
              <w:br/>
              <w:t xml:space="preserve">  joinedAt       DateTime      @default(now()) @map("joined_at")</w:t>
              <w:br/>
              <w:br/>
              <w:t xml:space="preserve">  organization   Organization  @relation(fields: [organizationId], references: [id], onDelete: Cascade)</w:t>
              <w:br/>
              <w:t xml:space="preserve">  user           User          @relation(fields: [userId], references: [id], onDelete: Cascade)</w:t>
              <w:br/>
              <w:br/>
              <w:t xml:space="preserve">  @@unique([organizationId, userId])</w:t>
              <w:br/>
              <w:t xml:space="preserve">  @@map("organization_members")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2.3 Chart of Accounts Nominal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model Account {</w:t>
              <w:br/>
              <w:t xml:space="preserve">  id                 String          @id @default(cuid())</w:t>
              <w:br/>
              <w:t xml:space="preserve">  organizationId     String          @map("organization_id")</w:t>
              <w:br/>
              <w:t xml:space="preserve">  code               String          @db.VarChar(20)</w:t>
              <w:br/>
              <w:t xml:space="preserve">  name               String          @db.VarChar(255)</w:t>
              <w:br/>
              <w:t xml:space="preserve">  accountType        AccountType     @map("account_type")</w:t>
              <w:br/>
              <w:t xml:space="preserve">  accountSubtype     AccountSubtype  @map("account_subtype")</w:t>
              <w:br/>
              <w:t xml:space="preserve">  normalBalance      BalanceType     @map("normal_balance")</w:t>
              <w:br/>
              <w:t xml:space="preserve">  isControlAccount   Boolean         @default(false) @map("is_control_account")</w:t>
              <w:br/>
              <w:t xml:space="preserve">  allowManualPosting Boolean         @default(true) @map("allow_manual_posting")</w:t>
              <w:br/>
              <w:t xml:space="preserve">  isActive           Boolean         @default(true) @map("is_active")</w:t>
              <w:br/>
              <w:t xml:space="preserve">  parentAccountId    String?         @map("parent_account_id")</w:t>
              <w:br/>
              <w:br/>
              <w:t xml:space="preserve">  organization       Organization    @relation(fields: [organizationId], references: [id], onDelete: Cascade)</w:t>
              <w:br/>
              <w:t xml:space="preserve">  parentAccount      Account?        @relation("AccountHierarchy", fields: [parentAccountId], references: [id])</w:t>
              <w:br/>
              <w:t xml:space="preserve">  childAccounts      Account[]       @relation("AccountHierarchy")</w:t>
              <w:br/>
              <w:t xml:space="preserve">  journalLines       JournalLine[]</w:t>
              <w:br/>
              <w:br/>
              <w:t xml:space="preserve">  @@unique([organizationId, code])</w:t>
              <w:br/>
              <w:t xml:space="preserve">  @@unique([organizationId, id])</w:t>
              <w:br/>
              <w:t xml:space="preserve">  @@map("accounts")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2.4 Financial Years &amp; Accounting Periods (btree_gist Constraints)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model FinancialYear {</w:t>
              <w:br/>
              <w:t xml:space="preserve">  id             String             @id @default(cuid())</w:t>
              <w:br/>
              <w:t xml:space="preserve">  organizationId String             @map("organization_id")</w:t>
              <w:br/>
              <w:t xml:space="preserve">  name           String</w:t>
              <w:br/>
              <w:t xml:space="preserve">  startDate      DateTime           @map("start_date") @db.Date</w:t>
              <w:br/>
              <w:t xml:space="preserve">  endDate        DateTime           @map("end_date") @db.Date</w:t>
              <w:br/>
              <w:t xml:space="preserve">  status         FinancialYearStatus @default(OPEN)</w:t>
              <w:br/>
              <w:br/>
              <w:t xml:space="preserve">  periods        AccountingPeriod[]</w:t>
              <w:br/>
              <w:t xml:space="preserve">  organization   Organization       @relation(fields: [organizationId], references: [id], onDelete: Cascade)</w:t>
              <w:br/>
              <w:br/>
              <w:t xml:space="preserve">  @@unique([organizationId, id])</w:t>
              <w:br/>
              <w:t xml:space="preserve">  @@map("financial_years")</w:t>
              <w:br/>
              <w:t>}</w:t>
              <w:br/>
              <w:br/>
              <w:t>model AccountingPeriod {</w:t>
              <w:br/>
              <w:t xml:space="preserve">  id              String        @id @default(cuid())</w:t>
              <w:br/>
              <w:t xml:space="preserve">  organizationId  String        @map("organization_id")</w:t>
              <w:br/>
              <w:t xml:space="preserve">  financialYearId String        @map("financial_year_id")</w:t>
              <w:br/>
              <w:t xml:space="preserve">  periodNumber    Int           @map("period_number")</w:t>
              <w:br/>
              <w:t xml:space="preserve">  name            String</w:t>
              <w:br/>
              <w:t xml:space="preserve">  startDate       DateTime      @map("start_date") @db.Date</w:t>
              <w:br/>
              <w:t xml:space="preserve">  endDate         DateTime      @map("end_date") @db.Date</w:t>
              <w:br/>
              <w:t xml:space="preserve">  status          PeriodStatus  @default(OPEN)</w:t>
              <w:br/>
              <w:t xml:space="preserve">  lockedAt        DateTime?     @map("locked_at")</w:t>
              <w:br/>
              <w:t xml:space="preserve">  lockedById      String?       @map("locked_by_id")</w:t>
              <w:br/>
              <w:br/>
              <w:t xml:space="preserve">  financialYear   FinancialYear @relation(fields: [financialYearId], references: [id], onDelete: Cascade)</w:t>
              <w:br/>
              <w:t xml:space="preserve">  organization    Organization  @relation(fields: [organizationId], references: [id], onDelete: Cascade)</w:t>
              <w:br/>
              <w:br/>
              <w:t xml:space="preserve">  @@unique([organizationId, id])</w:t>
              <w:br/>
              <w:t xml:space="preserve">  @@map("accounting_periods")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>
        <w:rPr>
          <w:rFonts w:ascii="Segoe UI" w:hAnsi="Segoe UI"/>
          <w:b/>
        </w:rPr>
        <w:t>PostgreSQL Engine Constraint (`btree_gist`):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ALTER TABLE financial_years</w:t>
              <w:br/>
              <w:t>ADD CONSTRAINT financial_years_no_overlap</w:t>
              <w:br/>
              <w:t>EXCLUDE USING gist (</w:t>
              <w:br/>
              <w:t xml:space="preserve">  organization_id WITH =,</w:t>
              <w:br/>
              <w:t xml:space="preserve">  daterange(start_date, end_date, '[]') WITH &amp;&amp;</w:t>
              <w:br/>
              <w:t>);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2.5 Double-Entry Journal Core &amp; Database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model JournalEntry {</w:t>
              <w:br/>
              <w:t xml:space="preserve">  id                  String             @id @default(cuid())</w:t>
              <w:br/>
              <w:t xml:space="preserve">  organizationId      String             @map("organization_id")</w:t>
              <w:br/>
              <w:t xml:space="preserve">  journalNumber       String             @map("journal_number")</w:t>
              <w:br/>
              <w:t xml:space="preserve">  postingDate         DateTime           @map("posting_date") @db.Date</w:t>
              <w:br/>
              <w:t xml:space="preserve">  status              JournalStatus      @default(DRAFT)</w:t>
              <w:br/>
              <w:t xml:space="preserve">  journalType         JournalType        @default(STANDARD) @map("journal_type")</w:t>
              <w:br/>
              <w:t xml:space="preserve">  sourceType          JournalSourceType  @default(MANUAL) @map("source_type")</w:t>
              <w:br/>
              <w:t xml:space="preserve">  sourceId            String?            @map("source_id")</w:t>
              <w:br/>
              <w:t xml:space="preserve">  narration           String?            @db.Text</w:t>
              <w:br/>
              <w:t xml:space="preserve">  reversedByJournalId String?            @unique @map("reversed_by_journal_id")</w:t>
              <w:br/>
              <w:br/>
              <w:t xml:space="preserve">  lines               JournalLine[]</w:t>
              <w:br/>
              <w:t xml:space="preserve">  reversedByJournal   JournalEntry?      @relation("JournalReversal", fields: [reversedByJournalId], references: [id])</w:t>
              <w:br/>
              <w:t xml:space="preserve">  reversingJournal    JournalEntry?      @relation("JournalReversal")</w:t>
              <w:br/>
              <w:t xml:space="preserve">  organization        Organization       @relation(fields: [organizationId], references: [id], onDelete: Cascade)</w:t>
              <w:br/>
              <w:br/>
              <w:t xml:space="preserve">  @@unique([organizationId, journalNumber])</w:t>
              <w:br/>
              <w:t xml:space="preserve">  @@unique([organizationId, id])</w:t>
              <w:br/>
              <w:t xml:space="preserve">  @@map("journal_entries")</w:t>
              <w:br/>
              <w:t>}</w:t>
              <w:br/>
              <w:br/>
              <w:t>model JournalLine {</w:t>
              <w:br/>
              <w:t xml:space="preserve">  id             String          @id @default(cuid())</w:t>
              <w:br/>
              <w:t xml:space="preserve">  organizationId String          @map("organization_id")</w:t>
              <w:br/>
              <w:t xml:space="preserve">  journalEntryId String          @map("journal_entry_id")</w:t>
              <w:br/>
              <w:t xml:space="preserve">  lineNumber     Int             @map("line_number")</w:t>
              <w:br/>
              <w:t xml:space="preserve">  accountId      String          @map("account_id")</w:t>
              <w:br/>
              <w:t xml:space="preserve">  contactId      String?         @map("contact_id")</w:t>
              <w:br/>
              <w:t xml:space="preserve">  debit          Decimal         @default(0) @db.Decimal(19, 4)</w:t>
              <w:br/>
              <w:t xml:space="preserve">  credit         Decimal         @default(0) @db.Decimal(19, 4)</w:t>
              <w:br/>
              <w:t xml:space="preserve">  description    String?         @db.Text</w:t>
              <w:br/>
              <w:br/>
              <w:t xml:space="preserve">  journalEntry   JournalEntry    @relation(fields: [journalEntryId], references: [id], onDelete: Cascade)</w:t>
              <w:br/>
              <w:t xml:space="preserve">  account        Account         @relation(fields: [organizationId, accountId], references: [organizationId, id])</w:t>
              <w:br/>
              <w:t xml:space="preserve">  contact        Contact?        @relation(fields: [organizationId, contactId], references: [organizationId, id])</w:t>
              <w:br/>
              <w:br/>
              <w:t xml:space="preserve">  @@index([organizationId, accountId])</w:t>
              <w:br/>
              <w:t xml:space="preserve">  @@index([organizationId, contactId])</w:t>
              <w:br/>
              <w:t xml:space="preserve">  @@map("journal_lines")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>
        <w:rPr>
          <w:rFonts w:ascii="Segoe UI" w:hAnsi="Segoe UI"/>
          <w:b/>
        </w:rPr>
        <w:t>Relational CHECK Constraints: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ALTER TABLE journal_lines</w:t>
              <w:br/>
              <w:t>ADD CONSTRAINT chk_journal_lines_non_negative CHECK (debit &gt;= 0 AND credit &gt;= 0),</w:t>
              <w:br/>
              <w:t>ADD CONSTRAINT chk_journal_lines_not_both_zero CHECK (NOT (debit = 0 AND credit = 0)),</w:t>
              <w:br/>
              <w:t>ADD CONSTRAINT chk_journal_lines_not_both_positive CHECK (NOT (debit &gt; 0 AND credit &gt; 0));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2.6 Subledger Models: Contacts &amp; Contact People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model Contact {</w:t>
              <w:br/>
              <w:t xml:space="preserve">  id                  String        @id @default(cuid())</w:t>
              <w:br/>
              <w:t xml:space="preserve">  organizationId      String        @map("organization_id")</w:t>
              <w:br/>
              <w:t xml:space="preserve">  name                String        @db.VarChar(255)</w:t>
              <w:br/>
              <w:t xml:space="preserve">  contactType         ContactType   @map("contact_type")</w:t>
              <w:br/>
              <w:t xml:space="preserve">  companyName         String?       @map("company_name")</w:t>
              <w:br/>
              <w:t xml:space="preserve">  vatNumber           String?       @map("vat_number")</w:t>
              <w:br/>
              <w:t xml:space="preserve">  currency            String        @default("GBP")</w:t>
              <w:br/>
              <w:t xml:space="preserve">  paymentTermsDays    Int           @default(30) @map("payment_terms_days")</w:t>
              <w:br/>
              <w:t xml:space="preserve">  receivableAccountId String?       @map("receivable_account_id")</w:t>
              <w:br/>
              <w:t xml:space="preserve">  payableAccountId    String?       @map("payable_account_id")</w:t>
              <w:br/>
              <w:t xml:space="preserve">  status              ContactStatus @default(ACTIVE)</w:t>
              <w:br/>
              <w:br/>
              <w:t xml:space="preserve">  organization        Organization  @relation(fields: [organizationId], references: [id], onDelete: Cascade)</w:t>
              <w:br/>
              <w:t xml:space="preserve">  journalLines        JournalLine[]</w:t>
              <w:br/>
              <w:t xml:space="preserve">  invoices            Invoice[]</w:t>
              <w:br/>
              <w:br/>
              <w:t xml:space="preserve">  @@unique([organizationId, id])</w:t>
              <w:br/>
              <w:t xml:space="preserve">  @@map("contacts")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2.7 Invoices &amp; Billing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model Invoice {</w:t>
              <w:br/>
              <w:t xml:space="preserve">  id             String        @id @default(cuid())</w:t>
              <w:br/>
              <w:t xml:space="preserve">  organizationId String        @map("organization_id")</w:t>
              <w:br/>
              <w:t xml:space="preserve">  contactId      String        @map("contact_id")</w:t>
              <w:br/>
              <w:t xml:space="preserve">  invoiceNumber  String        @map("invoice_number")</w:t>
              <w:br/>
              <w:t xml:space="preserve">  issueDate      DateTime      @map("issue_date") @db.Date</w:t>
              <w:br/>
              <w:t xml:space="preserve">  dueDate        DateTime      @map("due_date") @db.Date</w:t>
              <w:br/>
              <w:t xml:space="preserve">  status         InvoiceStatus @default(DRAFT)</w:t>
              <w:br/>
              <w:t xml:space="preserve">  currency       String        @default("GBP")</w:t>
              <w:br/>
              <w:t xml:space="preserve">  subtotal       Decimal       @db.Decimal(19, 4)</w:t>
              <w:br/>
              <w:t xml:space="preserve">  taxTotal       Decimal       @db.Decimal(19, 4)</w:t>
              <w:br/>
              <w:t xml:space="preserve">  totalAmount    Decimal       @db.Decimal(19, 4)</w:t>
              <w:br/>
              <w:t xml:space="preserve">  journalEntryId String?       @unique @map("journal_entry_id")</w:t>
              <w:br/>
              <w:br/>
              <w:t xml:space="preserve">  contact        Contact       @relation(fields: [contactId], references: [id])</w:t>
              <w:br/>
              <w:t xml:space="preserve">  journalEntry   JournalEntry? @relation(fields: [journalEntryId], references: [id])</w:t>
              <w:br/>
              <w:t xml:space="preserve">  lines          InvoiceLine[]</w:t>
              <w:br/>
              <w:br/>
              <w:t xml:space="preserve">  @@unique([organizationId, invoiceNumber])</w:t>
              <w:br/>
              <w:t xml:space="preserve">  @@unique([organizationId, id])</w:t>
              <w:br/>
              <w:t xml:space="preserve">  @@map("invoices")</w:t>
              <w:br/>
              <w:t>}</w:t>
              <w:br/>
              <w:br/>
              <w:t>model InvoiceLine {</w:t>
              <w:br/>
              <w:t xml:space="preserve">  id             String       @id @default(cuid())</w:t>
              <w:br/>
              <w:t xml:space="preserve">  organizationId String       @map("organization_id")</w:t>
              <w:br/>
              <w:t xml:space="preserve">  invoiceId      String       @map("invoice_id")</w:t>
              <w:br/>
              <w:t xml:space="preserve">  lineNumber     Int          @map("line_number")</w:t>
              <w:br/>
              <w:t xml:space="preserve">  accountId      String       @map("account_id")</w:t>
              <w:br/>
              <w:t xml:space="preserve">  description    String       @db.Text</w:t>
              <w:br/>
              <w:t xml:space="preserve">  quantity       Decimal      @db.Decimal(19, 4)</w:t>
              <w:br/>
              <w:t xml:space="preserve">  unitPrice      Decimal      @map("unit_price") @db.Decimal(19, 4)</w:t>
              <w:br/>
              <w:t xml:space="preserve">  taxRate        Decimal      @map("tax_rate") @db.Decimal(19, 4)</w:t>
              <w:br/>
              <w:t xml:space="preserve">  taxAmount      Decimal      @map("tax_amount") @db.Decimal(19, 4)</w:t>
              <w:br/>
              <w:t xml:space="preserve">  lineTotal      Decimal      @map("line_total") @db.Decimal(19, 4)</w:t>
              <w:br/>
              <w:br/>
              <w:t xml:space="preserve">  invoice        Invoice      @relation(fields: [invoiceId], references: [id], onDelete: Cascade)</w:t>
              <w:br/>
              <w:t xml:space="preserve">  account        Account      @relation(fields: [organizationId, accountId], references: [organizationId, id])</w:t>
              <w:br/>
              <w:br/>
              <w:t xml:space="preserve">  @@map("invoice_lines")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2.8 Append-Only Audit Logging &amp; Database Trigger Functions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model AuditLog {</w:t>
              <w:br/>
              <w:t xml:space="preserve">  id             String   @id @default(cuid())</w:t>
              <w:br/>
              <w:t xml:space="preserve">  organizationId String   @map("organization_id")</w:t>
              <w:br/>
              <w:t xml:space="preserve">  userId         String?  @map("user_id")</w:t>
              <w:br/>
              <w:t xml:space="preserve">  eventType      String   @map("event_type")</w:t>
              <w:br/>
              <w:t xml:space="preserve">  entityType     String   @map("entity_type")</w:t>
              <w:br/>
              <w:t xml:space="preserve">  entityId       String   @map("entity_id")</w:t>
              <w:br/>
              <w:t xml:space="preserve">  oldValues      Json?    @map("old_values")</w:t>
              <w:br/>
              <w:t xml:space="preserve">  newValues      Json?    @map("new_values")</w:t>
              <w:br/>
              <w:t xml:space="preserve">  ipAddress      String?  @map("ip_address")</w:t>
              <w:br/>
              <w:t xml:space="preserve">  requestId      String?  @map("request_id")</w:t>
              <w:br/>
              <w:t xml:space="preserve">  createdAt      DateTime @default(now()) @map("created_at")</w:t>
              <w:br/>
              <w:br/>
              <w:t xml:space="preserve">  @@index([organizationId, entityType, entityId])</w:t>
              <w:br/>
              <w:t xml:space="preserve">  @@map("audit_logs")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Statutory Immutability Trigger: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CREATE OR REPLACE FUNCTION prevent_audit_log_mutation()</w:t>
              <w:br/>
              <w:t>RETURNS TRIGGER AS $$</w:t>
              <w:br/>
              <w:t>BEGIN</w:t>
              <w:br/>
              <w:t xml:space="preserve">  RAISE EXCEPTION 'Statutory Compliance Violation: audit_logs are immutable and cannot be updated or deleted';</w:t>
              <w:br/>
              <w:t>END;</w:t>
              <w:br/>
              <w:t>$$ LANGUAGE plpgsql;</w:t>
              <w:br/>
              <w:br/>
              <w:t>CREATE TRIGGER trg_audit_logs_immutable</w:t>
              <w:br/>
              <w:t>BEFORE UPDATE OR DELETE ON audit_logs</w:t>
              <w:br/>
              <w:t>FOR EACH ROW EXECUTE FUNCTION prevent_audit_log_mutation();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3. The Double-Entry Accounting Engine (`src/accounting-engine/`)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85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central_post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85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3 - Central accounting posting flow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9428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journal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4 - Journal entry lifecycle state machine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3.1 `MoneyService`: Decimal.js and Zero-Drift Fixed-Point Math</w:t>
      </w:r>
    </w:p>
    <w:p>
      <w:pPr>
        <w:spacing w:before="40" w:after="80" w:line="276" w:lineRule="auto"/>
      </w:pPr>
      <w:r>
        <w:rPr>
          <w:rFonts w:ascii="Segoe UI" w:hAnsi="Segoe UI"/>
        </w:rPr>
        <w:t>JavaScript native floating-point calculations (</w:t>
      </w:r>
      <w:r>
        <w:rPr>
          <w:rFonts w:ascii="Consolas" w:hAnsi="Consolas"/>
          <w:color w:val="B42828"/>
          <w:sz w:val="19"/>
        </w:rPr>
        <w:t>0.1 + 0.2 = 0.30000000000000004</w:t>
      </w:r>
      <w:r>
        <w:rPr>
          <w:rFonts w:ascii="Segoe UI" w:hAnsi="Segoe UI"/>
        </w:rPr>
        <w:t xml:space="preserve">) lead to balance sheet drift. </w:t>
      </w:r>
      <w:r>
        <w:rPr>
          <w:rFonts w:ascii="Consolas" w:hAnsi="Consolas"/>
          <w:color w:val="B42828"/>
          <w:sz w:val="19"/>
        </w:rPr>
        <w:t>MoneyService</w:t>
      </w:r>
      <w:r>
        <w:rPr>
          <w:rFonts w:ascii="Segoe UI" w:hAnsi="Segoe UI"/>
        </w:rPr>
        <w:t xml:space="preserve"> guarantees arbitrary precision fixed-point arithmetic configured to 4 decimal places matching PostgreSQL </w:t>
      </w:r>
      <w:r>
        <w:rPr>
          <w:rFonts w:ascii="Consolas" w:hAnsi="Consolas"/>
          <w:color w:val="B42828"/>
          <w:sz w:val="19"/>
        </w:rPr>
        <w:t>NUMERIC(19,4)</w:t>
      </w:r>
      <w:r>
        <w:rPr>
          <w:rFonts w:ascii="Segoe UI" w:hAnsi="Segoe U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@Injectable()</w:t>
              <w:br/>
              <w:t>export class MoneyService {</w:t>
              <w:br/>
              <w:t xml:space="preserve">  toDecimal(val: Decimal.Value | Prisma.Decimal): Decimal {</w:t>
              <w:br/>
              <w:t xml:space="preserve">    if (val instanceof Decimal) return val;</w:t>
              <w:br/>
              <w:t xml:space="preserve">    return new Decimal(val.toString());</w:t>
              <w:br/>
              <w:t xml:space="preserve">  }</w:t>
              <w:br/>
              <w:br/>
              <w:t xml:space="preserve">  isZero(val: Decimal.Value | Prisma.Decimal): boolean {</w:t>
              <w:br/>
              <w:t xml:space="preserve">    return this.toDecimal(val).isZero();</w:t>
              <w:br/>
              <w:t xml:space="preserve">  }</w:t>
              <w:br/>
              <w:br/>
              <w:t xml:space="preserve">  equals(a: Decimal.Value | Prisma.Decimal, b: Decimal.Value | Prisma.Decimal): boolean {</w:t>
              <w:br/>
              <w:t xml:space="preserve">    return this.toDecimal(a).equals(this.toDecimal(b));</w:t>
              <w:br/>
              <w:t xml:space="preserve">  }</w:t>
              <w:br/>
              <w:br/>
              <w:t xml:space="preserve">  plus(a: Decimal.Value | Prisma.Decimal, b: Decimal.Value | Prisma.Decimal): Decimal {</w:t>
              <w:br/>
              <w:t xml:space="preserve">    return this.toDecimal(a).plus(this.toDecimal(b));</w:t>
              <w:br/>
              <w:t xml:space="preserve">  }</w:t>
              <w:br/>
              <w:br/>
              <w:t xml:space="preserve">  minus(a: Decimal.Value | Prisma.Decimal, b: Decimal.Value | Prisma.Decimal): Decimal {</w:t>
              <w:br/>
              <w:t xml:space="preserve">    return this.toDecimal(a).minus(this.toDecimal(b));</w:t>
              <w:br/>
              <w:t xml:space="preserve">  }</w:t>
              <w:br/>
              <w:br/>
              <w:t xml:space="preserve">  round(val: Decimal.Value | Prisma.Decimal, places: number = 2): Decimal {</w:t>
              <w:br/>
              <w:t xml:space="preserve">    return this.toDecimal(val).toDecimalPlaces(places, Decimal.ROUND_HALF_UP);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3.2 `JournalValidationService`: Complete Walkthrough of the 15 Invariants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The </w:t>
      </w:r>
      <w:r>
        <w:rPr>
          <w:rFonts w:ascii="Consolas" w:hAnsi="Consolas"/>
          <w:color w:val="B42828"/>
          <w:sz w:val="19"/>
        </w:rPr>
        <w:t>JournalValidationService</w:t>
      </w:r>
      <w:r>
        <w:rPr>
          <w:rFonts w:ascii="Segoe UI" w:hAnsi="Segoe UI"/>
        </w:rPr>
        <w:t xml:space="preserve"> inspects candidate journals against 15 strict institutional accounting rules before permitting state transition: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@Injectable()</w:t>
              <w:br/>
              <w:t>export class JournalValidationService {</w:t>
              <w:br/>
              <w:t xml:space="preserve">  constructor(</w:t>
              <w:br/>
              <w:t xml:space="preserve">    private readonly prisma: PrismaService,</w:t>
              <w:br/>
              <w:t xml:space="preserve">    private readonly money: MoneyService,</w:t>
              <w:br/>
              <w:t xml:space="preserve">  ) {}</w:t>
              <w:br/>
              <w:br/>
              <w:t xml:space="preserve">  async validateJournalEntry(organizationId: string, journalId: string): Promise&lt;void&gt; {</w:t>
              <w:br/>
              <w:t xml:space="preserve">    const journal = await this.prisma.journalEntry.findUnique({</w:t>
              <w:br/>
              <w:t xml:space="preserve">      where: { id: journalId },</w:t>
              <w:br/>
              <w:t xml:space="preserve">      include: { lines: { include: { account: true } } },</w:t>
              <w:br/>
              <w:t xml:space="preserve">    });</w:t>
              <w:br/>
              <w:br/>
              <w:t xml:space="preserve">    if (!journal || journal.organizationId !== organizationId) {</w:t>
              <w:br/>
              <w:t xml:space="preserve">      throw new DomainException('ERR_JOURNAL_NOT_FOUND', 'Journal entry not found');</w:t>
              <w:br/>
              <w:t xml:space="preserve">    }</w:t>
              <w:br/>
              <w:br/>
              <w:t xml:space="preserve">    // Rule 1: Status must be DRAFT</w:t>
              <w:br/>
              <w:t xml:space="preserve">    if (journal.status !== 'DRAFT') {</w:t>
              <w:br/>
              <w:t xml:space="preserve">      throw new DomainException('ERR_JOURNAL_INVALID_STATUS', 'Only DRAFT journals can be validated');</w:t>
              <w:br/>
              <w:t xml:space="preserve">    }</w:t>
              <w:br/>
              <w:br/>
              <w:t xml:space="preserve">    // Rule 2: Minimum line count (at least 2 lines)</w:t>
              <w:br/>
              <w:t xml:space="preserve">    if (journal.lines.length &lt; 2) {</w:t>
              <w:br/>
              <w:t xml:space="preserve">      throw new DomainException('ERR_JOURNAL_MINIMUM_LINES', 'Journal must have at least 2 lines');</w:t>
              <w:br/>
              <w:t xml:space="preserve">    }</w:t>
              <w:br/>
              <w:br/>
              <w:t xml:space="preserve">    let totalDebits = new Decimal(0);</w:t>
              <w:br/>
              <w:t xml:space="preserve">    let totalCredits = new Decimal(0);</w:t>
              <w:br/>
              <w:br/>
              <w:t xml:space="preserve">    for (const line of journal.lines) {</w:t>
              <w:br/>
              <w:t xml:space="preserve">      const debit = this.money.toDecimal(line.debit);</w:t>
              <w:br/>
              <w:t xml:space="preserve">      const credit = this.money.toDecimal(line.credit);</w:t>
              <w:br/>
              <w:br/>
              <w:t xml:space="preserve">      // Rule 8: Negative amounts prohibited</w:t>
              <w:br/>
              <w:t xml:space="preserve">      if (debit.isNegative() || credit.isNegative()) {</w:t>
              <w:br/>
              <w:t xml:space="preserve">        throw new DomainException('ERR_NEGATIVE_AMOUNT', 'Line amounts cannot be negative');</w:t>
              <w:br/>
              <w:t xml:space="preserve">      }</w:t>
              <w:br/>
              <w:br/>
              <w:t xml:space="preserve">      // Rule 6: Debit and credit cannot both be zero</w:t>
              <w:br/>
              <w:t xml:space="preserve">      if (debit.isZero() &amp;&amp; credit.isZero()) {</w:t>
              <w:br/>
              <w:t xml:space="preserve">        throw new DomainException('ERR_ZERO_LINE', 'Line cannot have both debit and credit zero');</w:t>
              <w:br/>
              <w:t xml:space="preserve">      }</w:t>
              <w:br/>
              <w:br/>
              <w:t xml:space="preserve">      // Rule 7: Debit and credit cannot both be positive</w:t>
              <w:br/>
              <w:t xml:space="preserve">      if (!debit.isZero() &amp;&amp; !credit.isZero()) {</w:t>
              <w:br/>
              <w:t xml:space="preserve">        throw new DomainException('ERR_DUAL_NON_ZERO', 'Line cannot have both debit and credit positive');</w:t>
              <w:br/>
              <w:t xml:space="preserve">      }</w:t>
              <w:br/>
              <w:br/>
              <w:t xml:space="preserve">      // Rule 4: Account active check</w:t>
              <w:br/>
              <w:t xml:space="preserve">      if (!line.account.isActive) {</w:t>
              <w:br/>
              <w:t xml:space="preserve">        throw new DomainException('ERR_ACCOUNT_INACTIVE', `Account ${line.account.code} is inactive`);</w:t>
              <w:br/>
              <w:t xml:space="preserve">      }</w:t>
              <w:br/>
              <w:br/>
              <w:t xml:space="preserve">      // Rule 5: Control account manual entry prohibition</w:t>
              <w:br/>
              <w:t xml:space="preserve">      if (journal.sourceType === 'MANUAL' &amp;&amp; (line.account.isControlAccount || !line.account.allowManualPosting)) {</w:t>
              <w:br/>
              <w:t xml:space="preserve">        throw new DomainException('ERR_CONTROL_ACCOUNT_DIRECT_POSTING', `Direct manual posting to control account ${line.account.code} is forbidden`);</w:t>
              <w:br/>
              <w:t xml:space="preserve">      }</w:t>
              <w:br/>
              <w:br/>
              <w:t xml:space="preserve">      // Rule 12: Subledger contact requirement for AR/AP accounts</w:t>
              <w:br/>
              <w:t xml:space="preserve">      if (</w:t>
              <w:br/>
              <w:t xml:space="preserve">        (line.account.accountSubtype === 'ACCOUNTS_RECEIVABLE' || line.account.accountSubtype === 'ACCOUNTS_PAYABLE') &amp;&amp;</w:t>
              <w:br/>
              <w:t xml:space="preserve">        !line.contactId</w:t>
              <w:br/>
              <w:t xml:space="preserve">      ) {</w:t>
              <w:br/>
              <w:t xml:space="preserve">        throw new DomainException('ERR_CONTACT_REQUIRED', `Contact ID is required for control line on account ${line.account.code}`);</w:t>
              <w:br/>
              <w:t xml:space="preserve">      }</w:t>
              <w:br/>
              <w:br/>
              <w:t xml:space="preserve">      totalDebits = totalDebits.plus(debit);</w:t>
              <w:br/>
              <w:t xml:space="preserve">      totalCredits = totalCredits.plus(credit);</w:t>
              <w:br/>
              <w:t xml:space="preserve">    }</w:t>
              <w:br/>
              <w:br/>
              <w:t xml:space="preserve">    // Rule 1: Total Debits == Total Credits</w:t>
              <w:br/>
              <w:t xml:space="preserve">    if (!totalDebits.equals(totalCredits)) {</w:t>
              <w:br/>
              <w:t xml:space="preserve">      const diff = totalDebits.minus(totalCredits).abs();</w:t>
              <w:br/>
              <w:t xml:space="preserve">      throw new DomainException('ERR_JOURNAL_UNBALANCED', `Debits (${totalDebits}) must equal credits (${totalCredits}). Difference: ${diff}`);</w:t>
              <w:br/>
              <w:t xml:space="preserve">    }</w:t>
              <w:br/>
              <w:br/>
              <w:t xml:space="preserve">    // Rule 9 &amp; 10: Period resolution and hard-lock verification</w:t>
              <w:br/>
              <w:t xml:space="preserve">    const period = await this.resolvePeriod(organizationId, journal.postingDate);</w:t>
              <w:br/>
              <w:t xml:space="preserve">    if (!period) {</w:t>
              <w:br/>
              <w:t xml:space="preserve">      throw new DomainException('ERR_NO_PERIOD', 'No accounting period found covering posting date');</w:t>
              <w:br/>
              <w:t xml:space="preserve">    }</w:t>
              <w:br/>
              <w:t xml:space="preserve">    if (period.status === 'HARD_LOCKED') {</w:t>
              <w:br/>
              <w:t xml:space="preserve">      throw new DomainException('ERR_PERIOD_HARD_LOCKED', `Accounting period "${period.name}" is hard-locked`);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3.3 `JournalPostingService`: Atomic Sequences and State Transitions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Assigns the official sequence number </w:t>
      </w:r>
      <w:r>
        <w:rPr>
          <w:rFonts w:ascii="Consolas" w:hAnsi="Consolas"/>
          <w:color w:val="B42828"/>
          <w:sz w:val="19"/>
        </w:rPr>
        <w:t>JE-YYYY-XXXXXX</w:t>
      </w:r>
      <w:r>
        <w:rPr>
          <w:rFonts w:ascii="Segoe UI" w:hAnsi="Segoe UI"/>
        </w:rPr>
        <w:t xml:space="preserve"> inside a serializable database transaction: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@Injectable()</w:t>
              <w:br/>
              <w:t>export class JournalPostingService {</w:t>
              <w:br/>
              <w:t xml:space="preserve">  async postJournal(organizationId: string, journalId: string, actor: Actor) {</w:t>
              <w:br/>
              <w:t xml:space="preserve">    return this.prisma.transaction(async (tx) =&gt; {</w:t>
              <w:br/>
              <w:t xml:space="preserve">      // 1. Lock journal row FOR UPDATE</w:t>
              <w:br/>
              <w:t xml:space="preserve">      await tx.$queryRaw`</w:t>
              <w:br/>
              <w:t xml:space="preserve">        SELECT id, status FROM journal_entries</w:t>
              <w:br/>
              <w:t xml:space="preserve">        WHERE id = ${journalId}::uuid AND organization_id = ${organizationId}::uuid</w:t>
              <w:br/>
              <w:t xml:space="preserve">        FOR UPDATE</w:t>
              <w:br/>
              <w:t xml:space="preserve">      `;</w:t>
              <w:br/>
              <w:br/>
              <w:t xml:space="preserve">      // 2. Execute validation inside transaction</w:t>
              <w:br/>
              <w:t xml:space="preserve">      await this.validator.validateJournalEntry(organizationId, journalId);</w:t>
              <w:br/>
              <w:br/>
              <w:t xml:space="preserve">      // 3. Generate sequential journal number</w:t>
              <w:br/>
              <w:t xml:space="preserve">      const sequenceNumber = await this.generateNextSequence(tx, organizationId);</w:t>
              <w:br/>
              <w:br/>
              <w:t xml:space="preserve">      // 4. Update status to POSTED</w:t>
              <w:br/>
              <w:t xml:space="preserve">      const posted = await tx.journalEntry.update({</w:t>
              <w:br/>
              <w:t xml:space="preserve">        where: { id: journalId },</w:t>
              <w:br/>
              <w:t xml:space="preserve">        data: {</w:t>
              <w:br/>
              <w:t xml:space="preserve">          status: 'POSTED',</w:t>
              <w:br/>
              <w:t xml:space="preserve">          journalNumber: sequenceNumber,</w:t>
              <w:br/>
              <w:t xml:space="preserve">        },</w:t>
              <w:br/>
              <w:t xml:space="preserve">      });</w:t>
              <w:br/>
              <w:br/>
              <w:t xml:space="preserve">      // 5. Emit immutable audit log</w:t>
              <w:br/>
              <w:t xml:space="preserve">      await this.audit.record(tx, actor, {</w:t>
              <w:br/>
              <w:t xml:space="preserve">        organizationId,</w:t>
              <w:br/>
              <w:t xml:space="preserve">        eventType: AuditEvents.JOURNAL_POSTED,</w:t>
              <w:br/>
              <w:t xml:space="preserve">        entityType: 'JOURNAL',</w:t>
              <w:br/>
              <w:t xml:space="preserve">        entityId: journalId,</w:t>
              <w:br/>
              <w:t xml:space="preserve">        newValues: { journalNumber: sequenceNumber, status: 'POSTED' },</w:t>
              <w:br/>
              <w:t xml:space="preserve">      });</w:t>
              <w:br/>
              <w:br/>
              <w:t xml:space="preserve">      return posted;</w:t>
              <w:br/>
              <w:t xml:space="preserve">    });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3.4 `JournalReversalService`: Non-Destructive GAAP Balancing Entries</w:t>
      </w:r>
    </w:p>
    <w:p>
      <w:pPr>
        <w:spacing w:before="40" w:after="80" w:line="276" w:lineRule="auto"/>
      </w:pPr>
      <w:r>
        <w:rPr>
          <w:rFonts w:ascii="Segoe UI" w:hAnsi="Segoe UI"/>
        </w:rPr>
        <w:t>Deletions of posted records are strictly prohibited under financial regulations. Reversals create an equal and opposite counter-entry: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@Injectable()</w:t>
              <w:br/>
              <w:t>export class JournalReversalService {</w:t>
              <w:br/>
              <w:t xml:space="preserve">  async reverseJournal(organizationId: string, journalId: string, actor: Actor) {</w:t>
              <w:br/>
              <w:t xml:space="preserve">    return this.prisma.transaction(async (tx) =&gt; {</w:t>
              <w:br/>
              <w:t xml:space="preserve">      const original = await tx.journalEntry.findUnique({</w:t>
              <w:br/>
              <w:t xml:space="preserve">        where: { id: journalId },</w:t>
              <w:br/>
              <w:t xml:space="preserve">        include: { lines: true },</w:t>
              <w:br/>
              <w:t xml:space="preserve">      });</w:t>
              <w:br/>
              <w:br/>
              <w:t xml:space="preserve">      if (!original || original.status !== 'POSTED') {</w:t>
              <w:br/>
              <w:t xml:space="preserve">        throw new DomainException('ERR_CANNOT_REVERSE', 'Only posted journals can be reversed');</w:t>
              <w:br/>
              <w:t xml:space="preserve">      }</w:t>
              <w:br/>
              <w:br/>
              <w:t xml:space="preserve">      // Generate reversal sequence</w:t>
              <w:br/>
              <w:t xml:space="preserve">      const revNumber = await this.generateNextSequence(tx, organizationId);</w:t>
              <w:br/>
              <w:br/>
              <w:t xml:space="preserve">      // Create counter-entry with swapped debits and credits</w:t>
              <w:br/>
              <w:t xml:space="preserve">      const reversalJournal = await tx.journalEntry.create({</w:t>
              <w:br/>
              <w:t xml:space="preserve">        data: {</w:t>
              <w:br/>
              <w:t xml:space="preserve">          organizationId,</w:t>
              <w:br/>
              <w:t xml:space="preserve">          journalNumber: revNumber,</w:t>
              <w:br/>
              <w:t xml:space="preserve">          postingDate: new Date(),</w:t>
              <w:br/>
              <w:t xml:space="preserve">          status: 'POSTED',</w:t>
              <w:br/>
              <w:t xml:space="preserve">          journalType: 'REVERSAL',</w:t>
              <w:br/>
              <w:t xml:space="preserve">          sourceType: original.sourceType,</w:t>
              <w:br/>
              <w:t xml:space="preserve">          narration: `Reversal of ${original.journalNumber}: ${original.narration || ''}`,</w:t>
              <w:br/>
              <w:t xml:space="preserve">          lines: {</w:t>
              <w:br/>
              <w:t xml:space="preserve">            create: original.lines.map((l, idx) =&gt; ({</w:t>
              <w:br/>
              <w:t xml:space="preserve">              organizationId,</w:t>
              <w:br/>
              <w:t xml:space="preserve">              lineNumber: idx + 1,</w:t>
              <w:br/>
              <w:t xml:space="preserve">              accountId: l.accountId,</w:t>
              <w:br/>
              <w:t xml:space="preserve">              contactId: l.contactId,</w:t>
              <w:br/>
              <w:t xml:space="preserve">              debit: l.credit,   // Inverted</w:t>
              <w:br/>
              <w:t xml:space="preserve">              credit: l.debit,   // Inverted</w:t>
              <w:br/>
              <w:t xml:space="preserve">              description: `Reversal of line ${l.lineNumber}`,</w:t>
              <w:br/>
              <w:t xml:space="preserve">            })),</w:t>
              <w:br/>
              <w:t xml:space="preserve">          },</w:t>
              <w:br/>
              <w:t xml:space="preserve">        },</w:t>
              <w:br/>
              <w:t xml:space="preserve">      });</w:t>
              <w:br/>
              <w:br/>
              <w:t xml:space="preserve">      // Mark original journal as reversed and link counter-entry</w:t>
              <w:br/>
              <w:t xml:space="preserve">      await tx.journalEntry.update({</w:t>
              <w:br/>
              <w:t xml:space="preserve">        where: { id: journalId },</w:t>
              <w:br/>
              <w:t xml:space="preserve">        data: {</w:t>
              <w:br/>
              <w:t xml:space="preserve">          status: 'REVERSED',</w:t>
              <w:br/>
              <w:t xml:space="preserve">          reversedByJournalId: reversalJournal.id,</w:t>
              <w:br/>
              <w:t xml:space="preserve">        },</w:t>
              <w:br/>
              <w:t xml:space="preserve">      });</w:t>
              <w:br/>
              <w:br/>
              <w:t xml:space="preserve">      return reversalJournal;</w:t>
              <w:br/>
              <w:t xml:space="preserve">    });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3.5 `AccountingIntegrityService`: Automated Health Checks</w:t>
      </w:r>
    </w:p>
    <w:p>
      <w:pPr>
        <w:spacing w:before="40" w:after="80" w:line="276" w:lineRule="auto"/>
      </w:pPr>
      <w:r>
        <w:rPr>
          <w:rFonts w:ascii="Segoe UI" w:hAnsi="Segoe UI"/>
        </w:rPr>
        <w:t>The integrity service executes continuous verification queries across the database to detect potential anomalies: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@Injectable()</w:t>
              <w:br/>
              <w:t>export class AccountingIntegrityService {</w:t>
              <w:br/>
              <w:t xml:space="preserve">  async checkIntegrity(organizationId: string) {</w:t>
              <w:br/>
              <w:t xml:space="preserve">    // 1. Verify global sum of debits == sum of credits</w:t>
              <w:br/>
              <w:t xml:space="preserve">    const aggregate = await this.prisma.journalLine.aggregate({</w:t>
              <w:br/>
              <w:t xml:space="preserve">      where: {</w:t>
              <w:br/>
              <w:t xml:space="preserve">        organizationId,</w:t>
              <w:br/>
              <w:t xml:space="preserve">        journalEntry: { status: 'POSTED' },</w:t>
              <w:br/>
              <w:t xml:space="preserve">      },</w:t>
              <w:br/>
              <w:t xml:space="preserve">      _sum: { debit: true, credit: true },</w:t>
              <w:br/>
              <w:t xml:space="preserve">    });</w:t>
              <w:br/>
              <w:br/>
              <w:t xml:space="preserve">    const totalDebit = this.money.toDecimal(aggregate._sum.debit || 0);</w:t>
              <w:br/>
              <w:t xml:space="preserve">    const totalCredit = this.money.toDecimal(aggregate._sum.credit || 0);</w:t>
              <w:br/>
              <w:t xml:space="preserve">    const difference = totalDebit.minus(totalCredit).abs();</w:t>
              <w:br/>
              <w:t xml:space="preserve">    const isBalanced = difference.isZero();</w:t>
              <w:br/>
              <w:br/>
              <w:t xml:space="preserve">    // 2. Check for unbalanced posted journals</w:t>
              <w:br/>
              <w:t xml:space="preserve">    const unbalancedJournals = await this.findUnbalancedJournals(organizationId);</w:t>
              <w:br/>
              <w:br/>
              <w:t xml:space="preserve">    // 3. Verify equation: Assets = Liabilities + Equity</w:t>
              <w:br/>
              <w:t xml:space="preserve">    const equationStatus = await this.verifyFundamentalEquation(organizationId);</w:t>
              <w:br/>
              <w:br/>
              <w:t xml:space="preserve">    return {</w:t>
              <w:br/>
              <w:t xml:space="preserve">      isBalanced,</w:t>
              <w:br/>
              <w:t xml:space="preserve">      totalDebit: totalDebit.toFixed(2),</w:t>
              <w:br/>
              <w:t xml:space="preserve">      totalCredit: totalCredit.toFixed(2),</w:t>
              <w:br/>
              <w:t xml:space="preserve">      difference: difference.toFixed(2),</w:t>
              <w:br/>
              <w:t xml:space="preserve">      unbalancedJournalsCount: unbalancedJournals.length,</w:t>
              <w:br/>
              <w:t xml:space="preserve">      fundamentalEquationBalanced: equationStatus.isBalanced,</w:t>
              <w:br/>
              <w:t xml:space="preserve">    };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4. Chart of Accounts &amp; General Ledger (`src/accounts/` &amp; `src/ledger/`)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4.1 Nominal Code Hierarchy (1000–8999) &amp; Standard Seeding</w:t>
      </w:r>
    </w:p>
    <w:p>
      <w:pPr>
        <w:spacing w:before="40" w:after="80" w:line="276" w:lineRule="auto"/>
      </w:pPr>
      <w:r>
        <w:rPr>
          <w:rFonts w:ascii="Segoe UI" w:hAnsi="Segoe UI"/>
        </w:rPr>
        <w:t>The chart of accounts organizes nominal accounts into standardized institutional ranges: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Nominal Range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Account Type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Normal Balance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Purpose &amp; Standard Accounts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1000 – 1999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ASSET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DEBIT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1000 Bank Operating, 1100 Accounts Receivable, 1200 Petty Cash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2000 – 2999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LIABILITY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CREDIT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2000 Accounts Payable, 2100 VAT Output / Input, 2200 PAYE / NIC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3000 – 3999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EQUITY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CREDIT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3000 Ordinary Share Capital, 3100 Retained Earnings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4000 – 4999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REVENUE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CREDIT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4000 Sales / Commercial Revenue, 4100 Consulting Fees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5000 – 5999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EXPENSE</w:t>
            </w:r>
            <w:r>
              <w:rPr>
                <w:rFonts w:ascii="Segoe UI" w:hAnsi="Segoe UI"/>
                <w:sz w:val="18"/>
              </w:rPr>
              <w:t xml:space="preserve"> (COS)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DEBIT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5000 Cost of Goods Sold, 5100 Direct Subcontractors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6000 – 8999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EXPENSE</w:t>
            </w:r>
            <w:r>
              <w:rPr>
                <w:rFonts w:ascii="Segoe UI" w:hAnsi="Segoe UI"/>
                <w:sz w:val="18"/>
              </w:rPr>
              <w:t xml:space="preserve"> (OPEX)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DEBIT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6000 Rent &amp; Rates, 7000 Salaries, 8000 Software &amp; Hosting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4.2 Control Account Protection Mechanics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Accounts flagged with </w:t>
      </w:r>
      <w:r>
        <w:rPr>
          <w:rFonts w:ascii="Consolas" w:hAnsi="Consolas"/>
          <w:color w:val="B42828"/>
          <w:sz w:val="19"/>
        </w:rPr>
        <w:t>isControlAccount: true</w:t>
      </w:r>
      <w:r>
        <w:rPr>
          <w:rFonts w:ascii="Segoe UI" w:hAnsi="Segoe UI"/>
        </w:rPr>
        <w:t xml:space="preserve"> (e.g., 1100 AR, 2000 AP, 2100 VAT) enforce subledger integrity: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Manual journal entries targeting control accounts directly are rejected with </w:t>
      </w:r>
      <w:r>
        <w:rPr>
          <w:rFonts w:ascii="Consolas" w:hAnsi="Consolas"/>
          <w:color w:val="B42828"/>
          <w:sz w:val="19"/>
        </w:rPr>
        <w:t>ERR_CONTROL_ACCOUNT_DIRECT_POSTING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>All postings to control accounts must originate from verified business subsystems (e.g. Invoicing, Payments, Bill Processing).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4.3 `AccountsService`: Hierarchical Trees &amp; Validation</w:t>
      </w:r>
    </w:p>
    <w:p>
      <w:pPr>
        <w:spacing w:before="40" w:after="80" w:line="276" w:lineRule="auto"/>
      </w:pPr>
      <w:r>
        <w:rPr>
          <w:rFonts w:ascii="Segoe UI" w:hAnsi="Segoe UI"/>
        </w:rPr>
        <w:t>Manages creation, updates, and soft archiving: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Duplicate Code Check:</w:t>
      </w:r>
      <w:r>
        <w:rPr>
          <w:rFonts w:ascii="Segoe UI" w:hAnsi="Segoe UI"/>
        </w:rPr>
        <w:t xml:space="preserve"> Rejects duplicate codes within the same organisation (</w:t>
      </w:r>
      <w:r>
        <w:rPr>
          <w:rFonts w:ascii="Consolas" w:hAnsi="Consolas"/>
          <w:color w:val="B42828"/>
          <w:sz w:val="19"/>
        </w:rPr>
        <w:t>DUPLICATE_ACCOUNT_CODE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Self-Parent Prevention:</w:t>
      </w:r>
      <w:r>
        <w:rPr>
          <w:rFonts w:ascii="Segoe UI" w:hAnsi="Segoe UI"/>
        </w:rPr>
        <w:t xml:space="preserve"> Throws </w:t>
      </w:r>
      <w:r>
        <w:rPr>
          <w:rFonts w:ascii="Consolas" w:hAnsi="Consolas"/>
          <w:color w:val="B42828"/>
          <w:sz w:val="19"/>
        </w:rPr>
        <w:t>ACCOUNT_INVALID_PARENT</w:t>
      </w:r>
      <w:r>
        <w:rPr>
          <w:rFonts w:ascii="Segoe UI" w:hAnsi="Segoe UI"/>
        </w:rPr>
        <w:t xml:space="preserve"> if an account is set as its own parent.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Protected System Accounts:</w:t>
      </w:r>
      <w:r>
        <w:rPr>
          <w:rFonts w:ascii="Segoe UI" w:hAnsi="Segoe UI"/>
        </w:rPr>
        <w:t xml:space="preserve"> Built-in accounts (e.g., 1100, 2000, 3100) are flagged </w:t>
      </w:r>
      <w:r>
        <w:rPr>
          <w:rFonts w:ascii="Consolas" w:hAnsi="Consolas"/>
          <w:color w:val="B42828"/>
          <w:sz w:val="19"/>
        </w:rPr>
        <w:t>isSystemAccount: true</w:t>
      </w:r>
      <w:r>
        <w:rPr>
          <w:rFonts w:ascii="Segoe UI" w:hAnsi="Segoe UI"/>
        </w:rPr>
        <w:t xml:space="preserve"> and cannot be modified or deleted.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4.4 `LedgerService`: General Ledger Running Balances</w:t>
      </w:r>
    </w:p>
    <w:p>
      <w:pPr>
        <w:spacing w:before="40" w:after="80" w:line="276" w:lineRule="auto"/>
      </w:pPr>
      <w:r>
        <w:rPr>
          <w:rFonts w:ascii="Segoe UI" w:hAnsi="Segoe UI"/>
        </w:rPr>
        <w:t>Extracts chronological general ledger records, applying date range filters and calculating running balances: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For </w:t>
      </w:r>
      <w:r>
        <w:rPr>
          <w:rFonts w:ascii="Consolas" w:hAnsi="Consolas"/>
          <w:color w:val="B42828"/>
          <w:sz w:val="19"/>
        </w:rPr>
        <w:t>DEBIT</w:t>
      </w:r>
      <w:r>
        <w:rPr>
          <w:rFonts w:ascii="Segoe UI" w:hAnsi="Segoe UI"/>
        </w:rPr>
        <w:t xml:space="preserve"> normal accounts: </w:t>
      </w:r>
      <w:r>
        <w:rPr>
          <w:rFonts w:ascii="Consolas" w:hAnsi="Consolas"/>
          <w:color w:val="B42828"/>
          <w:sz w:val="19"/>
        </w:rPr>
        <w:t>Running Balance = Running Balance + Debit - Credit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For </w:t>
      </w:r>
      <w:r>
        <w:rPr>
          <w:rFonts w:ascii="Consolas" w:hAnsi="Consolas"/>
          <w:color w:val="B42828"/>
          <w:sz w:val="19"/>
        </w:rPr>
        <w:t>CREDIT</w:t>
      </w:r>
      <w:r>
        <w:rPr>
          <w:rFonts w:ascii="Segoe UI" w:hAnsi="Segoe UI"/>
        </w:rPr>
        <w:t xml:space="preserve"> normal accounts: </w:t>
      </w:r>
      <w:r>
        <w:rPr>
          <w:rFonts w:ascii="Consolas" w:hAnsi="Consolas"/>
          <w:color w:val="B42828"/>
          <w:sz w:val="19"/>
        </w:rPr>
        <w:t>Running Balance = Running Balance - Debit + Credit</w:t>
      </w:r>
      <w:r>
        <w:rPr>
          <w:rFonts w:ascii="Segoe UI" w:hAnsi="Segoe UI"/>
        </w:rPr>
        <w:t>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5. Financial Periods &amp; Year-End Closure (`src/financial-years/`, `src/accounting-periods/`)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5.1 Automated 12-Month Calendar Generation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When a financial year is created (e.g., 2026-04-01 to 2027-03-31), </w:t>
      </w:r>
      <w:r>
        <w:rPr>
          <w:rFonts w:ascii="Consolas" w:hAnsi="Consolas"/>
          <w:color w:val="B42828"/>
          <w:sz w:val="19"/>
        </w:rPr>
        <w:t>FinancialYearsService</w:t>
      </w:r>
      <w:r>
        <w:rPr>
          <w:rFonts w:ascii="Segoe UI" w:hAnsi="Segoe UI"/>
        </w:rPr>
        <w:t xml:space="preserve"> automatically generates 12 sequential monthly accounting periods:</w:t>
      </w:r>
    </w:p>
    <w:p>
      <w:pPr>
        <w:pStyle w:val="ListBullet"/>
        <w:spacing w:before="20" w:after="40"/>
      </w:pPr>
      <w:r>
        <w:rPr>
          <w:rFonts w:ascii="Segoe UI" w:hAnsi="Segoe UI"/>
        </w:rPr>
        <w:t>Month 1: April 2026 (2026-04-01 to 2026-04-30)</w:t>
      </w:r>
    </w:p>
    <w:p>
      <w:pPr>
        <w:pStyle w:val="ListBullet"/>
        <w:spacing w:before="20" w:after="40"/>
      </w:pPr>
      <w:r>
        <w:rPr>
          <w:rFonts w:ascii="Segoe UI" w:hAnsi="Segoe UI"/>
        </w:rPr>
        <w:t>Month 2: May 2026 (2026-05-01 to 2026-05-31)</w:t>
      </w:r>
    </w:p>
    <w:p>
      <w:pPr>
        <w:pStyle w:val="ListBullet"/>
        <w:spacing w:before="20" w:after="40"/>
      </w:pPr>
      <w:r>
        <w:rPr>
          <w:rFonts w:ascii="Segoe UI" w:hAnsi="Segoe UI"/>
        </w:rPr>
        <w:t>...</w:t>
      </w:r>
    </w:p>
    <w:p>
      <w:pPr>
        <w:pStyle w:val="ListBullet"/>
        <w:spacing w:before="20" w:after="40"/>
      </w:pPr>
      <w:r>
        <w:rPr>
          <w:rFonts w:ascii="Segoe UI" w:hAnsi="Segoe UI"/>
        </w:rPr>
        <w:t>Month 12: March 2027 (2027-03-01 to 2027-03-31)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5.2 Three-Tier Period Lockdown State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┌─────────┐      Lock Period      ┌─────────────┐     Hard Close     ┌─────────────┐</w:t>
              <w:br/>
              <w:t xml:space="preserve">   │  OPEN   │ ────────────────────&gt; │ SOFT_LOCKED │ ─────────────────&gt; │ HARD_LOCKED │</w:t>
              <w:br/>
              <w:t xml:space="preserve">   └─────────┘                       └─────────────┘                    └─────────────┘</w:t>
              <w:br/>
              <w:t xml:space="preserve">        ▲                                   │</w:t>
              <w:br/>
              <w:t xml:space="preserve">        └──────────── Unlock ───────────────┘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`OPEN`:</w:t>
      </w:r>
      <w:r>
        <w:rPr>
          <w:rFonts w:ascii="Segoe UI" w:hAnsi="Segoe UI"/>
        </w:rPr>
        <w:t xml:space="preserve"> Standard daily operations. All authorized roles may create and post journals.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`SOFT_LOCKED`:</w:t>
      </w:r>
      <w:r>
        <w:rPr>
          <w:rFonts w:ascii="Segoe UI" w:hAnsi="Segoe UI"/>
        </w:rPr>
        <w:t xml:space="preserve"> Month-end review mode. Standard bookkeepers cannot post. Senior accountants and administrators can post with audited override.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`HARD_LOCKED`:</w:t>
      </w:r>
      <w:r>
        <w:rPr>
          <w:rFonts w:ascii="Segoe UI" w:hAnsi="Segoe UI"/>
        </w:rPr>
        <w:t xml:space="preserve"> Statutory year-end close. Database triggers and application services reject any post attempts unconditionally (</w:t>
      </w:r>
      <w:r>
        <w:rPr>
          <w:rFonts w:ascii="Consolas" w:hAnsi="Consolas"/>
          <w:color w:val="B42828"/>
          <w:sz w:val="19"/>
        </w:rPr>
        <w:t>ERR_PERIOD_HARD_LOCKED</w:t>
      </w:r>
      <w:r>
        <w:rPr>
          <w:rFonts w:ascii="Segoe UI" w:hAnsi="Segoe UI"/>
        </w:rPr>
        <w:t>).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6. Contacts &amp; Commercial Subledgers (`src/contacts/`)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sales_invoice_pos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5 - Sales invoice accounting flow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7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customer_paymen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6 - Customer payment allocation and accounting flow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6.1 `ContactsService`: Customer/Supplier Directory &amp; Master Data</w:t>
      </w:r>
    </w:p>
    <w:p>
      <w:pPr>
        <w:spacing w:before="40" w:after="80" w:line="276" w:lineRule="auto"/>
      </w:pPr>
      <w:r>
        <w:rPr>
          <w:rFonts w:ascii="Segoe UI" w:hAnsi="Segoe UI"/>
        </w:rPr>
        <w:t>Manages commercial trading entities: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Classification: </w:t>
      </w:r>
      <w:r>
        <w:rPr>
          <w:rFonts w:ascii="Consolas" w:hAnsi="Consolas"/>
          <w:color w:val="B42828"/>
          <w:sz w:val="19"/>
        </w:rPr>
        <w:t>CUSTOMER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SUPPLIER</w:t>
      </w:r>
      <w:r>
        <w:rPr>
          <w:rFonts w:ascii="Segoe UI" w:hAnsi="Segoe UI"/>
        </w:rPr>
        <w:t xml:space="preserve">, or </w:t>
      </w:r>
      <w:r>
        <w:rPr>
          <w:rFonts w:ascii="Consolas" w:hAnsi="Consolas"/>
          <w:color w:val="B42828"/>
          <w:sz w:val="19"/>
        </w:rPr>
        <w:t>BOTH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>Company registration numbers and VAT identifiers.</w:t>
      </w:r>
    </w:p>
    <w:p>
      <w:pPr>
        <w:pStyle w:val="ListBullet"/>
        <w:spacing w:before="20" w:after="40"/>
      </w:pPr>
      <w:r>
        <w:rPr>
          <w:rFonts w:ascii="Segoe UI" w:hAnsi="Segoe UI"/>
        </w:rPr>
        <w:t>Contact People directory (</w:t>
      </w:r>
      <w:r>
        <w:rPr>
          <w:rFonts w:ascii="Consolas" w:hAnsi="Consolas"/>
          <w:color w:val="B42828"/>
          <w:sz w:val="19"/>
        </w:rPr>
        <w:t>ContactPerson</w:t>
      </w:r>
      <w:r>
        <w:rPr>
          <w:rFonts w:ascii="Segoe UI" w:hAnsi="Segoe UI"/>
        </w:rPr>
        <w:t>) for invoicing email dispatch.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6.2 `ContactSubledgerService`: Dynamic AR/AP Derivation &amp; Zero Cache Drift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Rather than maintaining a cached </w:t>
      </w:r>
      <w:r>
        <w:rPr>
          <w:rFonts w:ascii="Consolas" w:hAnsi="Consolas"/>
          <w:color w:val="B42828"/>
          <w:sz w:val="19"/>
        </w:rPr>
        <w:t>current_balance</w:t>
      </w:r>
      <w:r>
        <w:rPr>
          <w:rFonts w:ascii="Segoe UI" w:hAnsi="Segoe UI"/>
        </w:rPr>
        <w:t xml:space="preserve"> column that can drift out of sync with the General Ledger, customer and supplier balances are derived dynamically from posted journal lines:</w:t>
      </w:r>
    </w:p>
    <w:p>
      <w:pPr>
        <w:spacing w:before="40" w:after="80" w:line="276" w:lineRule="auto"/>
      </w:pPr>
      <w:r>
        <w:rPr>
          <w:rFonts w:ascii="Segoe UI" w:hAnsi="Segoe UI"/>
        </w:rPr>
        <w:t>$$</w:t>
        <w:tab/>
        <w:t>ext{Customer AR Balance} = \sum(</w:t>
        <w:tab/>
        <w:t>ext{Debits to Accounts Receivable}) - \sum(</w:t>
        <w:tab/>
        <w:t>ext{Credits to Accounts Receivable})$$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@Injectable()</w:t>
              <w:br/>
              <w:t>export class ContactSubledgerService {</w:t>
              <w:br/>
              <w:t xml:space="preserve">  async getCustomerBalance(organizationId: string, contactId: string): Promise&lt;Decimal&gt; {</w:t>
              <w:br/>
              <w:t xml:space="preserve">    const lines = await this.prisma.journalLine.findMany({</w:t>
              <w:br/>
              <w:t xml:space="preserve">      where: {</w:t>
              <w:br/>
              <w:t xml:space="preserve">        organizationId,</w:t>
              <w:br/>
              <w:t xml:space="preserve">        contactId,</w:t>
              <w:br/>
              <w:t xml:space="preserve">        journalEntry: { status: 'POSTED' },</w:t>
              <w:br/>
              <w:t xml:space="preserve">        account: { accountSubtype: 'ACCOUNTS_RECEIVABLE' },</w:t>
              <w:br/>
              <w:t xml:space="preserve">      },</w:t>
              <w:br/>
              <w:t xml:space="preserve">      select: { debit: true, credit: true },</w:t>
              <w:br/>
              <w:t xml:space="preserve">    });</w:t>
              <w:br/>
              <w:br/>
              <w:t xml:space="preserve">    let balance = new Decimal(0);</w:t>
              <w:br/>
              <w:t xml:space="preserve">    for (const line of lines) {</w:t>
              <w:br/>
              <w:t xml:space="preserve">      balance = balance.plus(line.debit).minus(line.credit);</w:t>
              <w:br/>
              <w:t xml:space="preserve">    }</w:t>
              <w:br/>
              <w:t xml:space="preserve">    return balance;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6.3 Customer &amp; Supplier Statement Generation</w:t>
      </w:r>
    </w:p>
    <w:p>
      <w:pPr>
        <w:spacing w:before="40" w:after="80" w:line="276" w:lineRule="auto"/>
      </w:pPr>
      <w:r>
        <w:rPr>
          <w:rFonts w:ascii="Segoe UI" w:hAnsi="Segoe UI"/>
        </w:rPr>
        <w:t>Generates structured statements for commercial counterparties:</w:t>
      </w:r>
    </w:p>
    <w:p>
      <w:pPr>
        <w:pStyle w:val="ListBullet"/>
        <w:spacing w:before="20" w:after="40"/>
      </w:pPr>
      <w:r>
        <w:rPr>
          <w:rFonts w:ascii="Segoe UI" w:hAnsi="Segoe UI"/>
        </w:rPr>
        <w:t>Opening balance calculation prior to start date.</w:t>
      </w:r>
    </w:p>
    <w:p>
      <w:pPr>
        <w:pStyle w:val="ListBullet"/>
        <w:spacing w:before="20" w:after="40"/>
      </w:pPr>
      <w:r>
        <w:rPr>
          <w:rFonts w:ascii="Segoe UI" w:hAnsi="Segoe UI"/>
        </w:rPr>
        <w:t>Itemized transaction list: Invoices, Credit Notes, and Payments.</w:t>
      </w:r>
    </w:p>
    <w:p>
      <w:pPr>
        <w:pStyle w:val="ListBullet"/>
        <w:spacing w:before="20" w:after="40"/>
      </w:pPr>
      <w:r>
        <w:rPr>
          <w:rFonts w:ascii="Segoe UI" w:hAnsi="Segoe UI"/>
        </w:rPr>
        <w:t>Running balance per transaction.</w:t>
      </w:r>
    </w:p>
    <w:p>
      <w:pPr>
        <w:pStyle w:val="ListBullet"/>
        <w:spacing w:before="20" w:after="40"/>
      </w:pPr>
      <w:r>
        <w:rPr>
          <w:rFonts w:ascii="Segoe UI" w:hAnsi="Segoe UI"/>
        </w:rPr>
        <w:t>Aging analysis breakdown: Current, 30 Days, 60 Days, 90+ Days.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7. Sales Invoicing &amp; Commercial Billing (`src/invoices/`)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7.1 Invoice Creation, Line Pricing, and UK VAT Calculation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calculateInvoiceTotals(lines: CreateInvoiceLineDto[]) {</w:t>
              <w:br/>
              <w:t xml:space="preserve">  let subtotal = new Decimal(0);</w:t>
              <w:br/>
              <w:t xml:space="preserve">  let taxTotal = new Decimal(0);</w:t>
              <w:br/>
              <w:br/>
              <w:t xml:space="preserve">  const calculatedLines = lines.map((l) =&gt; {</w:t>
              <w:br/>
              <w:t xml:space="preserve">    const qty = this.money.toDecimal(l.quantity);</w:t>
              <w:br/>
              <w:t xml:space="preserve">    const price = this.money.toDecimal(l.unitPrice);</w:t>
              <w:br/>
              <w:t xml:space="preserve">    const taxRate = this.money.toDecimal(l.taxRate || 0);</w:t>
              <w:br/>
              <w:br/>
              <w:t xml:space="preserve">    const lineSubtotal = qty.times(price);</w:t>
              <w:br/>
              <w:t xml:space="preserve">    const lineTax = lineSubtotal.times(taxRate.dividedBy(100));</w:t>
              <w:br/>
              <w:t xml:space="preserve">    const lineTotal = lineSubtotal.plus(lineTax);</w:t>
              <w:br/>
              <w:br/>
              <w:t xml:space="preserve">    subtotal = subtotal.plus(lineSubtotal);</w:t>
              <w:br/>
              <w:t xml:space="preserve">    taxTotal = taxTotal.plus(lineTax);</w:t>
              <w:br/>
              <w:br/>
              <w:t xml:space="preserve">    return { ...l, taxAmount: lineTax, lineTotal };</w:t>
              <w:br/>
              <w:t xml:space="preserve">  });</w:t>
              <w:br/>
              <w:br/>
              <w:t xml:space="preserve">  return {</w:t>
              <w:br/>
              <w:t xml:space="preserve">    subtotal: this.money.round(subtotal, 2),</w:t>
              <w:br/>
              <w:t xml:space="preserve">    taxTotal: this.money.round(taxTotal, 2),</w:t>
              <w:br/>
              <w:t xml:space="preserve">    totalAmount: this.money.round(subtotal.plus(taxTotal), 2),</w:t>
              <w:br/>
              <w:t xml:space="preserve">    calculatedLines,</w:t>
              <w:br/>
              <w:t xml:space="preserve">  };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7.2 The Automated General Ledger Posting Pipeline (`postInvoice`)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When an invoice is approved and posted, </w:t>
      </w:r>
      <w:r>
        <w:rPr>
          <w:rFonts w:ascii="Consolas" w:hAnsi="Consolas"/>
          <w:color w:val="B42828"/>
          <w:sz w:val="19"/>
        </w:rPr>
        <w:t>InvoicesService.postInvoice</w:t>
      </w:r>
      <w:r>
        <w:rPr>
          <w:rFonts w:ascii="Segoe UI" w:hAnsi="Segoe UI"/>
        </w:rPr>
        <w:t xml:space="preserve"> atomically generates, validates, posts, and links a balanced double-entry journal entry: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async postInvoice(organizationId: string, invoiceId: string, orgContext: OrgContext, actor: Actor) {</w:t>
              <w:br/>
              <w:t xml:space="preserve">  this.postingService.checkPostingPermission(orgContext);</w:t>
              <w:br/>
              <w:br/>
              <w:t xml:space="preserve">  return this.prisma.transaction(async (tx) =&gt; {</w:t>
              <w:br/>
              <w:t xml:space="preserve">    // 1. Lock invoice row FOR UPDATE</w:t>
              <w:br/>
              <w:t xml:space="preserve">    await tx.$queryRaw`</w:t>
              <w:br/>
              <w:t xml:space="preserve">      SELECT id, status FROM invoices</w:t>
              <w:br/>
              <w:t xml:space="preserve">      WHERE id = ${invoiceId}::uuid AND organization_id = ${organizationId}::uuid</w:t>
              <w:br/>
              <w:t xml:space="preserve">      FOR UPDATE</w:t>
              <w:br/>
              <w:t xml:space="preserve">    `;</w:t>
              <w:br/>
              <w:br/>
              <w:t xml:space="preserve">    const invoice = await tx.invoice.findFirst({</w:t>
              <w:br/>
              <w:t xml:space="preserve">      where: { id: invoiceId, organizationId },</w:t>
              <w:br/>
              <w:t xml:space="preserve">      include: invoiceInclude,</w:t>
              <w:br/>
              <w:t xml:space="preserve">    });</w:t>
              <w:br/>
              <w:br/>
              <w:t xml:space="preserve">    if (invoice.status !== 'DRAFT') {</w:t>
              <w:br/>
              <w:t xml:space="preserve">      throw new DomainException('INVOICE_INVALID_STATE', 'Only DRAFT invoices can be posted');</w:t>
              <w:br/>
              <w:t xml:space="preserve">    }</w:t>
              <w:br/>
              <w:br/>
              <w:t xml:space="preserve">    // 2. Identify Accounts Receivable account (nominal 1100)</w:t>
              <w:br/>
              <w:t xml:space="preserve">    const arAccount = await this.resolveArAccount(tx, organizationId, invoice.contact);</w:t>
              <w:br/>
              <w:br/>
              <w:t xml:space="preserve">    // 3. Identify Tax Payable account (nominal 2100) if tax exists</w:t>
              <w:br/>
              <w:t xml:space="preserve">    const taxAccount = await this.resolveTaxAccount(tx, organizationId, invoice.taxTotal);</w:t>
              <w:br/>
              <w:br/>
              <w:t xml:space="preserve">    // 4. Construct Journal Lines:</w:t>
              <w:br/>
              <w:t xml:space="preserve">    // Debit AR (1100) with Total Amount</w:t>
              <w:br/>
              <w:t xml:space="preserve">    const journalLines = [</w:t>
              <w:br/>
              <w:t xml:space="preserve">      {</w:t>
              <w:br/>
              <w:t xml:space="preserve">        organizationId,</w:t>
              <w:br/>
              <w:t xml:space="preserve">        lineNumber: 1,</w:t>
              <w:br/>
              <w:t xml:space="preserve">        accountId: arAccount.id,</w:t>
              <w:br/>
              <w:t xml:space="preserve">        contactId: invoice.contactId,</w:t>
              <w:br/>
              <w:t xml:space="preserve">        debit: invoice.totalAmount,</w:t>
              <w:br/>
              <w:t xml:space="preserve">        credit: new Decimal(0),</w:t>
              <w:br/>
              <w:t xml:space="preserve">        description: `Invoice ${invoice.invoiceNumber} receivable`,</w:t>
              <w:br/>
              <w:t xml:space="preserve">      },</w:t>
              <w:br/>
              <w:t xml:space="preserve">    ];</w:t>
              <w:br/>
              <w:br/>
              <w:t xml:space="preserve">    let lineNum = 2;</w:t>
              <w:br/>
              <w:t xml:space="preserve">    // Credit Revenue accounts per invoice line</w:t>
              <w:br/>
              <w:t xml:space="preserve">    for (const line of invoice.lines) {</w:t>
              <w:br/>
              <w:t xml:space="preserve">      journalLines.push({</w:t>
              <w:br/>
              <w:t xml:space="preserve">        organizationId,</w:t>
              <w:br/>
              <w:t xml:space="preserve">        lineNumber: lineNum++,</w:t>
              <w:br/>
              <w:t xml:space="preserve">        accountId: line.accountId,</w:t>
              <w:br/>
              <w:t xml:space="preserve">        contactId: invoice.contactId,</w:t>
              <w:br/>
              <w:t xml:space="preserve">        debit: new Decimal(0),</w:t>
              <w:br/>
              <w:t xml:space="preserve">        credit: line.lineTotal.minus(line.taxAmount),</w:t>
              <w:br/>
              <w:t xml:space="preserve">        description: line.description,</w:t>
              <w:br/>
              <w:t xml:space="preserve">      });</w:t>
              <w:br/>
              <w:t xml:space="preserve">    }</w:t>
              <w:br/>
              <w:br/>
              <w:t xml:space="preserve">    // Credit Tax Payable if tax &gt; 0</w:t>
              <w:br/>
              <w:t xml:space="preserve">    if (this.money.toDecimal(invoice.taxTotal).greaterThan(0)) {</w:t>
              <w:br/>
              <w:t xml:space="preserve">      journalLines.push({</w:t>
              <w:br/>
              <w:t xml:space="preserve">        organizationId,</w:t>
              <w:br/>
              <w:t xml:space="preserve">        lineNumber: lineNum++,</w:t>
              <w:br/>
              <w:t xml:space="preserve">        accountId: taxAccount.id,</w:t>
              <w:br/>
              <w:t xml:space="preserve">        contactId: null,</w:t>
              <w:br/>
              <w:t xml:space="preserve">        debit: new Decimal(0),</w:t>
              <w:br/>
              <w:t xml:space="preserve">        credit: invoice.taxTotal,</w:t>
              <w:br/>
              <w:t xml:space="preserve">        description: `VAT output on invoice ${invoice.invoiceNumber}`,</w:t>
              <w:br/>
              <w:t xml:space="preserve">      });</w:t>
              <w:br/>
              <w:t xml:space="preserve">    }</w:t>
              <w:br/>
              <w:br/>
              <w:t xml:space="preserve">    // 5. Create Draft Journal Entry</w:t>
              <w:br/>
              <w:t xml:space="preserve">    const journal = await tx.journalEntry.create({</w:t>
              <w:br/>
              <w:t xml:space="preserve">      data: {</w:t>
              <w:br/>
              <w:t xml:space="preserve">        organizationId,</w:t>
              <w:br/>
              <w:t xml:space="preserve">        journalNumber: `TEMP-${invoice.invoiceNumber}`,</w:t>
              <w:br/>
              <w:t xml:space="preserve">        postingDate: invoice.issueDate,</w:t>
              <w:br/>
              <w:t xml:space="preserve">        status: 'DRAFT',</w:t>
              <w:br/>
              <w:t xml:space="preserve">        journalType: 'SALES_INVOICE',</w:t>
              <w:br/>
              <w:t xml:space="preserve">        sourceType: 'INVOICE',</w:t>
              <w:br/>
              <w:t xml:space="preserve">        sourceId: invoice.id,</w:t>
              <w:br/>
              <w:t xml:space="preserve">        narration: `Sales Invoice ${invoice.invoiceNumber}`,</w:t>
              <w:br/>
              <w:t xml:space="preserve">        lines: { create: journalLines },</w:t>
              <w:br/>
              <w:t xml:space="preserve">      },</w:t>
              <w:br/>
              <w:t xml:space="preserve">    });</w:t>
              <w:br/>
              <w:br/>
              <w:t xml:space="preserve">    // 6. Validate &amp; Post via Accounting Engine</w:t>
              <w:br/>
              <w:t xml:space="preserve">    await this.validator.validateJournalEntry(organizationId, journal.id);</w:t>
              <w:br/>
              <w:t xml:space="preserve">    const postedJournal = await this.postingService.postJournal(organizationId, journal.id, actor);</w:t>
              <w:br/>
              <w:br/>
              <w:t xml:space="preserve">    // 7. Update Invoice status to POSTED and link journal ID</w:t>
              <w:br/>
              <w:t xml:space="preserve">    await tx.invoice.update({</w:t>
              <w:br/>
              <w:t xml:space="preserve">      where: { id: invoiceId },</w:t>
              <w:br/>
              <w:t xml:space="preserve">      data: {</w:t>
              <w:br/>
              <w:t xml:space="preserve">        status: 'POSTED',</w:t>
              <w:br/>
              <w:t xml:space="preserve">        journalEntryId: postedJournal.id,</w:t>
              <w:br/>
              <w:t xml:space="preserve">      },</w:t>
              <w:br/>
              <w:t xml:space="preserve">    });</w:t>
              <w:br/>
              <w:br/>
              <w:t xml:space="preserve">    return postedJournal;</w:t>
              <w:br/>
              <w:t xml:space="preserve">  });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7.3 Invoice Voiding and Reversal Alignment (`voidInvoice`)</w:t>
      </w:r>
    </w:p>
    <w:p>
      <w:pPr>
        <w:spacing w:before="40" w:after="80" w:line="276" w:lineRule="auto"/>
      </w:pPr>
      <w:r>
        <w:rPr>
          <w:rFonts w:ascii="Segoe UI" w:hAnsi="Segoe UI"/>
        </w:rPr>
        <w:t>Voiding an invoice that has been posted to the General Ledger executes an atomic reversal: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Locks the invoice row </w:t>
      </w:r>
      <w:r>
        <w:rPr>
          <w:rFonts w:ascii="Consolas" w:hAnsi="Consolas"/>
          <w:color w:val="B42828"/>
          <w:sz w:val="19"/>
        </w:rPr>
        <w:t>FOR UPDATE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>2. Locates the linked journal entry (</w:t>
      </w:r>
      <w:r>
        <w:rPr>
          <w:rFonts w:ascii="Consolas" w:hAnsi="Consolas"/>
          <w:color w:val="B42828"/>
          <w:sz w:val="19"/>
        </w:rPr>
        <w:t>invoice.journalEntryId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Invokes </w:t>
      </w:r>
      <w:r>
        <w:rPr>
          <w:rFonts w:ascii="Consolas" w:hAnsi="Consolas"/>
          <w:color w:val="B42828"/>
          <w:sz w:val="19"/>
        </w:rPr>
        <w:t>JournalReversalService.reverseJournal</w:t>
      </w:r>
      <w:r>
        <w:rPr>
          <w:rFonts w:ascii="Segoe UI" w:hAnsi="Segoe UI"/>
        </w:rPr>
        <w:t>, generating the GAAP counter-journal.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Updates the invoice status to </w:t>
      </w:r>
      <w:r>
        <w:rPr>
          <w:rFonts w:ascii="Consolas" w:hAnsi="Consolas"/>
          <w:color w:val="B42828"/>
          <w:sz w:val="19"/>
        </w:rPr>
        <w:t>VOIDED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5. Emits </w:t>
      </w:r>
      <w:r>
        <w:rPr>
          <w:rFonts w:ascii="Consolas" w:hAnsi="Consolas"/>
          <w:color w:val="B42828"/>
          <w:sz w:val="19"/>
        </w:rPr>
        <w:t>AuditEvents.INVOICE_VOIDED</w:t>
      </w:r>
      <w:r>
        <w:rPr>
          <w:rFonts w:ascii="Segoe UI" w:hAnsi="Segoe UI"/>
        </w:rPr>
        <w:t xml:space="preserve"> audit log.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8. Financial Reporting Engine (`src/reports/`)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8.1 `TrialBalanceService`: Real-Time Nominal Aggregation</w:t>
      </w:r>
    </w:p>
    <w:p>
      <w:pPr>
        <w:spacing w:before="40" w:after="80" w:line="276" w:lineRule="auto"/>
      </w:pPr>
      <w:r>
        <w:rPr>
          <w:rFonts w:ascii="Segoe UI" w:hAnsi="Segoe UI"/>
        </w:rPr>
        <w:t>Generates the authoritative Trial Balance report directly from posted journal lines: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Integrity Gate:</w:t>
      </w:r>
      <w:r>
        <w:rPr>
          <w:rFonts w:ascii="Segoe UI" w:hAnsi="Segoe UI"/>
        </w:rPr>
        <w:t xml:space="preserve"> Filters strictly by </w:t>
      </w:r>
      <w:r>
        <w:rPr>
          <w:rFonts w:ascii="Consolas" w:hAnsi="Consolas"/>
          <w:color w:val="B42828"/>
          <w:sz w:val="19"/>
        </w:rPr>
        <w:t>status: { in: ['POSTED', 'REVERSED'] }</w:t>
      </w:r>
      <w:r>
        <w:rPr>
          <w:rFonts w:ascii="Segoe UI" w:hAnsi="Segoe UI"/>
        </w:rPr>
        <w:t>. Draft and validated journals are excluded.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Balance Computation:</w:t>
      </w:r>
    </w:p>
    <w:p>
      <w:pPr>
        <w:pStyle w:val="ListBullet"/>
        <w:spacing w:before="20" w:after="40"/>
      </w:pPr>
      <w:r>
        <w:rPr>
          <w:rFonts w:ascii="Segoe UI" w:hAnsi="Segoe UI"/>
        </w:rPr>
        <w:t>For Asset/Expense accounts (</w:t>
      </w:r>
      <w:r>
        <w:rPr>
          <w:rFonts w:ascii="Consolas" w:hAnsi="Consolas"/>
          <w:color w:val="B42828"/>
          <w:sz w:val="19"/>
        </w:rPr>
        <w:t>DEBIT</w:t>
      </w:r>
      <w:r>
        <w:rPr>
          <w:rFonts w:ascii="Segoe UI" w:hAnsi="Segoe UI"/>
        </w:rPr>
        <w:t xml:space="preserve"> normal): </w:t>
      </w:r>
      <w:r>
        <w:rPr>
          <w:rFonts w:ascii="Consolas" w:hAnsi="Consolas"/>
          <w:color w:val="B42828"/>
          <w:sz w:val="19"/>
        </w:rPr>
        <w:t>Net Balance = Gross Debit - Gross Credit</w:t>
      </w:r>
      <w:r>
        <w:rPr>
          <w:rFonts w:ascii="Segoe UI" w:hAnsi="Segoe UI"/>
        </w:rPr>
        <w:t>. If positive, placed in Debit column; if negative, placed in Credit column.</w:t>
      </w:r>
    </w:p>
    <w:p>
      <w:pPr>
        <w:pStyle w:val="ListBullet"/>
        <w:spacing w:before="20" w:after="40"/>
      </w:pPr>
      <w:r>
        <w:rPr>
          <w:rFonts w:ascii="Segoe UI" w:hAnsi="Segoe UI"/>
        </w:rPr>
        <w:t>For Liability/Equity/Revenue accounts (</w:t>
      </w:r>
      <w:r>
        <w:rPr>
          <w:rFonts w:ascii="Consolas" w:hAnsi="Consolas"/>
          <w:color w:val="B42828"/>
          <w:sz w:val="19"/>
        </w:rPr>
        <w:t>CREDIT</w:t>
      </w:r>
      <w:r>
        <w:rPr>
          <w:rFonts w:ascii="Segoe UI" w:hAnsi="Segoe UI"/>
        </w:rPr>
        <w:t xml:space="preserve"> normal): </w:t>
      </w:r>
      <w:r>
        <w:rPr>
          <w:rFonts w:ascii="Consolas" w:hAnsi="Consolas"/>
          <w:color w:val="B42828"/>
          <w:sz w:val="19"/>
        </w:rPr>
        <w:t>Net Balance = Gross Credit - Gross Debit</w:t>
      </w:r>
      <w:r>
        <w:rPr>
          <w:rFonts w:ascii="Segoe UI" w:hAnsi="Segoe UI"/>
        </w:rPr>
        <w:t>. If positive, placed in Credit column; if negative, placed in Debit column.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Equilibrium Check:</w:t>
      </w:r>
      <w:r>
        <w:rPr>
          <w:rFonts w:ascii="Segoe UI" w:hAnsi="Segoe UI"/>
        </w:rPr>
        <w:t xml:space="preserve"> Calculates </w:t>
      </w:r>
      <w:r>
        <w:rPr>
          <w:rFonts w:ascii="Consolas" w:hAnsi="Consolas"/>
          <w:color w:val="B42828"/>
          <w:sz w:val="19"/>
        </w:rPr>
        <w:t>diff = |totalDebits - totalCredits|</w:t>
      </w:r>
      <w:r>
        <w:rPr>
          <w:rFonts w:ascii="Segoe UI" w:hAnsi="Segoe UI"/>
        </w:rPr>
        <w:t xml:space="preserve">. Sets </w:t>
      </w:r>
      <w:r>
        <w:rPr>
          <w:rFonts w:ascii="Consolas" w:hAnsi="Consolas"/>
          <w:color w:val="B42828"/>
          <w:sz w:val="19"/>
        </w:rPr>
        <w:t>isBalanced: diff.isZero()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Export Capabilities:</w:t>
      </w:r>
      <w:r>
        <w:rPr>
          <w:rFonts w:ascii="Segoe UI" w:hAnsi="Segoe UI"/>
        </w:rPr>
        <w:t xml:space="preserve"> Supports both JSON and RFC-4180 compliant CSV formatting.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8.2 `ProfitAndLossService`: Revenue &amp; Expense Classification</w:t>
      </w:r>
    </w:p>
    <w:p>
      <w:pPr>
        <w:spacing w:before="40" w:after="80" w:line="276" w:lineRule="auto"/>
      </w:pPr>
      <w:r>
        <w:rPr>
          <w:rFonts w:ascii="Segoe UI" w:hAnsi="Segoe UI"/>
        </w:rPr>
        <w:t>Generates the Income Statement over a specified date range: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Turnover / Revenue:</w:t>
      </w:r>
      <w:r>
        <w:rPr>
          <w:rFonts w:ascii="Segoe UI" w:hAnsi="Segoe UI"/>
        </w:rPr>
        <w:t xml:space="preserve"> Sum of credit balances on nominal accounts 4000–4999.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Cost of Sales:</w:t>
      </w:r>
      <w:r>
        <w:rPr>
          <w:rFonts w:ascii="Segoe UI" w:hAnsi="Segoe UI"/>
        </w:rPr>
        <w:t xml:space="preserve"> Sum of debit balances on nominal accounts 5000–5999.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Gross Profit:</w:t>
      </w:r>
      <w:r>
        <w:rPr>
          <w:rFonts w:ascii="Segoe UI" w:hAnsi="Segoe UI"/>
        </w:rPr>
        <w:t xml:space="preserve"> $</w:t>
        <w:tab/>
        <w:t xml:space="preserve">ext{Gross Profit} = </w:t>
        <w:tab/>
        <w:t xml:space="preserve">ext{Revenue} - </w:t>
        <w:tab/>
        <w:t>ext{Cost of Sales}$.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Operating Expenses (OPEX):</w:t>
      </w:r>
      <w:r>
        <w:rPr>
          <w:rFonts w:ascii="Segoe UI" w:hAnsi="Segoe UI"/>
        </w:rPr>
        <w:t xml:space="preserve"> Sum of debit balances on nominal accounts 6000–8999 (Rent, Salaries, Software).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Operating Profit:</w:t>
      </w:r>
      <w:r>
        <w:rPr>
          <w:rFonts w:ascii="Segoe UI" w:hAnsi="Segoe UI"/>
        </w:rPr>
        <w:t xml:space="preserve"> $</w:t>
        <w:tab/>
        <w:t xml:space="preserve">ext{Operating Profit} = </w:t>
        <w:tab/>
        <w:t xml:space="preserve">ext{Gross Profit} - </w:t>
        <w:tab/>
        <w:t>ext{Operating Expenses}$.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Net Profit / (Loss):</w:t>
      </w:r>
      <w:r>
        <w:rPr>
          <w:rFonts w:ascii="Segoe UI" w:hAnsi="Segoe UI"/>
        </w:rPr>
        <w:t xml:space="preserve"> Final net income transferred to Retained Earnings in the Balance Sheet.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8.3 `BalanceSheetService`: Assets, Liabilities, and Equity Verification</w:t>
      </w:r>
    </w:p>
    <w:p>
      <w:pPr>
        <w:spacing w:before="40" w:after="80" w:line="276" w:lineRule="auto"/>
      </w:pPr>
      <w:r>
        <w:rPr>
          <w:rFonts w:ascii="Segoe UI" w:hAnsi="Segoe UI"/>
        </w:rPr>
        <w:t>Verifies the foundational accounting equation at a specific date:</w:t>
      </w:r>
    </w:p>
    <w:p>
      <w:pPr>
        <w:spacing w:before="40" w:after="80" w:line="276" w:lineRule="auto"/>
      </w:pPr>
      <w:r>
        <w:rPr>
          <w:rFonts w:ascii="Segoe UI" w:hAnsi="Segoe UI"/>
        </w:rPr>
        <w:t>$$</w:t>
        <w:tab/>
        <w:t xml:space="preserve">ext{Assets} = </w:t>
        <w:tab/>
        <w:t xml:space="preserve">ext{Liabilities} + </w:t>
        <w:tab/>
        <w:t>ext{Equity}$$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Current &amp; Non-Current Assets:</w:t>
      </w:r>
      <w:r>
        <w:rPr>
          <w:rFonts w:ascii="Segoe UI" w:hAnsi="Segoe UI"/>
        </w:rPr>
        <w:t xml:space="preserve"> Cash at Bank (1000), Accounts Receivable (1100), Equipment (1500).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Current &amp; Non-Current Liabilities:</w:t>
      </w:r>
      <w:r>
        <w:rPr>
          <w:rFonts w:ascii="Segoe UI" w:hAnsi="Segoe UI"/>
        </w:rPr>
        <w:t xml:space="preserve"> Accounts Payable (2000), VAT Payable (2100), Bank Loans (2500).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Equity:</w:t>
      </w:r>
      <w:r>
        <w:rPr>
          <w:rFonts w:ascii="Segoe UI" w:hAnsi="Segoe UI"/>
        </w:rPr>
        <w:t xml:space="preserve"> Share Capital (3000) + Prior Year Retained Earnings (3100) + Current Year Net Profit (derived from P&amp;L).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9. Security, Authentication &amp; Multi-Tenancy (`src/auth/`, `src/roles/`, `src/organizations/`, `src/audit/`)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69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tenant_isolation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7 - Request authorisation and tenant-isolation flow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9.1 `PasswordService`: scrypt Hashing &amp; Constant-Time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@Injectable()</w:t>
              <w:br/>
              <w:t>export class PasswordService {</w:t>
              <w:br/>
              <w:t xml:space="preserve">  async hash(password: string): Promise&lt;string&gt; {</w:t>
              <w:br/>
              <w:t xml:space="preserve">    const salt = crypto.randomBytes(16).toString('hex');</w:t>
              <w:br/>
              <w:t xml:space="preserve">    const derivedKey = (await promisify(crypto.scrypt)(password, salt, 64)) as Buffer;</w:t>
              <w:br/>
              <w:t xml:space="preserve">    return `${salt}:${derivedKey.toString('hex')}`;</w:t>
              <w:br/>
              <w:t xml:space="preserve">  }</w:t>
              <w:br/>
              <w:br/>
              <w:t xml:space="preserve">  async verify(password: string, storedHash: string): Promise&lt;boolean&gt; {</w:t>
              <w:br/>
              <w:t xml:space="preserve">    const [salt, key] = storedHash.split(':');</w:t>
              <w:br/>
              <w:t xml:space="preserve">    const keyBuffer = Buffer.from(key, 'hex');</w:t>
              <w:br/>
              <w:t xml:space="preserve">    const derivedKey = (await promisify(crypto.scrypt)(password, salt, 64)) as Buffer;</w:t>
              <w:br/>
              <w:t xml:space="preserve">    return crypto.timingSafeEqual(keyBuffer, derivedKey);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>
        <w:rPr>
          <w:rFonts w:ascii="Segoe UI" w:hAnsi="Segoe UI"/>
          <w:b/>
        </w:rPr>
        <w:t>Cryptographic Guarantees:</w:t>
      </w:r>
      <w:r>
        <w:rPr>
          <w:rFonts w:ascii="Segoe UI" w:hAnsi="Segoe UI"/>
        </w:rPr>
        <w:t xml:space="preserve"> 16-byte cryptographically secure random salt, 64-byte key length. </w:t>
      </w:r>
      <w:r>
        <w:rPr>
          <w:rFonts w:ascii="Consolas" w:hAnsi="Consolas"/>
          <w:color w:val="B42828"/>
          <w:sz w:val="19"/>
        </w:rPr>
        <w:t>crypto.timingSafeEqual</w:t>
      </w:r>
      <w:r>
        <w:rPr>
          <w:rFonts w:ascii="Segoe UI" w:hAnsi="Segoe UI"/>
        </w:rPr>
        <w:t xml:space="preserve"> prevents side-channel timing attacks during password verification.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9.2 `AuthGuard`: Bearer Token Extraction &amp; Session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@Injectable()</w:t>
              <w:br/>
              <w:t>export class AuthGuard implements CanActivate {</w:t>
              <w:br/>
              <w:t xml:space="preserve">  async canActivate(context: ExecutionContext): Promise&lt;boolean&gt; {</w:t>
              <w:br/>
              <w:t xml:space="preserve">    const req = context.switchToHttp().getRequest();</w:t>
              <w:br/>
              <w:t xml:space="preserve">    const authHeader = req.headers['authorization'];</w:t>
              <w:br/>
              <w:t xml:space="preserve">    if (!authHeader || !authHeader.startsWith('Bearer ')) {</w:t>
              <w:br/>
              <w:t xml:space="preserve">      throw new UnauthorizedException('Authentication required');</w:t>
              <w:br/>
              <w:t xml:space="preserve">    }</w:t>
              <w:br/>
              <w:br/>
              <w:t xml:space="preserve">    const token = authHeader.substring(7);</w:t>
              <w:br/>
              <w:t xml:space="preserve">    const session = await this.prisma.userSession.findUnique({</w:t>
              <w:br/>
              <w:t xml:space="preserve">      where: { token },</w:t>
              <w:br/>
              <w:t xml:space="preserve">      include: { user: true },</w:t>
              <w:br/>
              <w:t xml:space="preserve">    });</w:t>
              <w:br/>
              <w:br/>
              <w:t xml:space="preserve">    if (!session || session.expiresAt &lt; new Date()) {</w:t>
              <w:br/>
              <w:t xml:space="preserve">      throw new UnauthorizedException('Session expired or invalid');</w:t>
              <w:br/>
              <w:t xml:space="preserve">    }</w:t>
              <w:br/>
              <w:br/>
              <w:t xml:space="preserve">    req.user = session.user;</w:t>
              <w:br/>
              <w:t xml:space="preserve">    return true;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9.3 `RolesGuard`: Role-Based Access Control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Evaluates required role permissions declared via </w:t>
      </w:r>
      <w:r>
        <w:rPr>
          <w:rFonts w:ascii="Consolas" w:hAnsi="Consolas"/>
          <w:color w:val="B42828"/>
          <w:sz w:val="19"/>
        </w:rPr>
        <w:t>@Roles(...)</w:t>
      </w:r>
      <w:r>
        <w:rPr>
          <w:rFonts w:ascii="Segoe UI" w:hAnsi="Segoe UI"/>
        </w:rPr>
        <w:t>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Role Hierarchy: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OWNER</w:t>
      </w:r>
      <w:r>
        <w:rPr>
          <w:rFonts w:ascii="Segoe UI" w:hAnsi="Segoe UI"/>
        </w:rPr>
        <w:t>: Full tenant permissions, billing, organization deletion.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ADMINISTRATOR</w:t>
      </w:r>
      <w:r>
        <w:rPr>
          <w:rFonts w:ascii="Segoe UI" w:hAnsi="Segoe UI"/>
        </w:rPr>
        <w:t>: User management, financial configuration, periods.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>: Journal creation, posting, period locks, reporting.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BOOKKEEPER</w:t>
      </w:r>
      <w:r>
        <w:rPr>
          <w:rFonts w:ascii="Segoe UI" w:hAnsi="Segoe UI"/>
        </w:rPr>
        <w:t>: Draft invoices, draft journals, customer records.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VIEWER</w:t>
      </w:r>
      <w:r>
        <w:rPr>
          <w:rFonts w:ascii="Segoe UI" w:hAnsi="Segoe UI"/>
        </w:rPr>
        <w:t>: Read-only reporting access.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9.4 `AuditService`: Structured Immutable Logging</w:t>
      </w:r>
    </w:p>
    <w:p>
      <w:pPr>
        <w:spacing w:before="40" w:after="80" w:line="276" w:lineRule="auto"/>
      </w:pPr>
      <w:r>
        <w:rPr>
          <w:rFonts w:ascii="Segoe UI" w:hAnsi="Segoe UI"/>
        </w:rPr>
        <w:t>Every mutating action generates an audit entry capturing actor, organization, entity ID, and state deltas (</w:t>
      </w:r>
      <w:r>
        <w:rPr>
          <w:rFonts w:ascii="Consolas" w:hAnsi="Consolas"/>
          <w:color w:val="B42828"/>
          <w:sz w:val="19"/>
        </w:rPr>
        <w:t>oldValues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B42828"/>
          <w:sz w:val="19"/>
        </w:rPr>
        <w:t>newValues</w:t>
      </w:r>
      <w:r>
        <w:rPr>
          <w:rFonts w:ascii="Segoe UI" w:hAnsi="Segoe UI"/>
        </w:rPr>
        <w:t>):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Backed by PostgreSQL </w:t>
      </w:r>
      <w:r>
        <w:rPr>
          <w:rFonts w:ascii="Consolas" w:hAnsi="Consolas"/>
          <w:color w:val="B42828"/>
          <w:sz w:val="19"/>
        </w:rPr>
        <w:t>trg_audit_logs_immutable</w:t>
      </w:r>
      <w:r>
        <w:rPr>
          <w:rFonts w:ascii="Segoe UI" w:hAnsi="Segoe UI"/>
        </w:rPr>
        <w:t xml:space="preserve"> trigger preventing any update or deletion.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10. AI Document Intelligence &amp; Safety Guardrails (`src/ai/`)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10.1 `AccountingClassificationService`: Document Code Mapping</w:t>
      </w:r>
    </w:p>
    <w:p>
      <w:pPr>
        <w:spacing w:before="40" w:after="80" w:line="276" w:lineRule="auto"/>
      </w:pPr>
      <w:r>
        <w:rPr>
          <w:rFonts w:ascii="Segoe UI" w:hAnsi="Segoe UI"/>
        </w:rPr>
        <w:t>Uses heuristic classification and LLM embeddings to suggest nominal accounts for inbound supplier bills and receipts:</w:t>
      </w:r>
    </w:p>
    <w:p>
      <w:pPr>
        <w:pStyle w:val="ListBullet"/>
        <w:spacing w:before="20" w:after="40"/>
      </w:pPr>
      <w:r>
        <w:rPr>
          <w:rFonts w:ascii="Segoe UI" w:hAnsi="Segoe UI"/>
        </w:rPr>
        <w:t>Extracts merchant name, line descriptions, VAT amounts.</w:t>
      </w:r>
    </w:p>
    <w:p>
      <w:pPr>
        <w:pStyle w:val="ListBullet"/>
        <w:spacing w:before="20" w:after="40"/>
      </w:pPr>
      <w:r>
        <w:rPr>
          <w:rFonts w:ascii="Segoe UI" w:hAnsi="Segoe UI"/>
        </w:rPr>
        <w:t>Maps recurring suppliers to standard OPEX accounts (e.g. AWS hosting -&gt; 8000 Software &amp; Hosting).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10.2 `TransactionDirectionService`: Debit/Credit Prediction</w:t>
      </w:r>
    </w:p>
    <w:p>
      <w:pPr>
        <w:spacing w:before="40" w:after="80" w:line="276" w:lineRule="auto"/>
      </w:pPr>
      <w:r>
        <w:rPr>
          <w:rFonts w:ascii="Segoe UI" w:hAnsi="Segoe UI"/>
        </w:rPr>
        <w:t>Determines transaction direction based on document semantics:</w:t>
      </w:r>
    </w:p>
    <w:p>
      <w:pPr>
        <w:pStyle w:val="ListBullet"/>
        <w:spacing w:before="20" w:after="40"/>
      </w:pPr>
      <w:r>
        <w:rPr>
          <w:rFonts w:ascii="Segoe UI" w:hAnsi="Segoe UI"/>
        </w:rPr>
        <w:t>Sales Invoices: Debit Accounts Receivable (1100), Credit Revenue (4000), Credit VAT Output (2100).</w:t>
      </w:r>
    </w:p>
    <w:p>
      <w:pPr>
        <w:pStyle w:val="ListBullet"/>
        <w:spacing w:before="20" w:after="40"/>
      </w:pPr>
      <w:r>
        <w:rPr>
          <w:rFonts w:ascii="Segoe UI" w:hAnsi="Segoe UI"/>
        </w:rPr>
        <w:t>Supplier Bills: Debit Expense (e.g. 8000), Debit VAT Input (2100), Credit Accounts Payable (2000).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10.3 `AccountingSafetyService`: Validation Guardrails</w:t>
      </w:r>
    </w:p>
    <w:p>
      <w:pPr>
        <w:spacing w:before="40" w:after="80" w:line="276" w:lineRule="auto"/>
      </w:pPr>
      <w:r>
        <w:rPr>
          <w:rFonts w:ascii="Segoe UI" w:hAnsi="Segoe UI"/>
        </w:rPr>
        <w:t>Prevents automated AI actions from compromising financial integrity:</w:t>
      </w:r>
    </w:p>
    <w:p>
      <w:pPr>
        <w:pStyle w:val="ListBullet"/>
        <w:spacing w:before="20" w:after="40"/>
      </w:pPr>
      <w:r>
        <w:rPr>
          <w:rFonts w:ascii="Segoe UI" w:hAnsi="Segoe UI"/>
        </w:rPr>
        <w:t>Prohibits autonomous posting to control accounts.</w:t>
      </w:r>
    </w:p>
    <w:p>
      <w:pPr>
        <w:pStyle w:val="ListBullet"/>
        <w:spacing w:before="20" w:after="40"/>
      </w:pPr>
      <w:r>
        <w:rPr>
          <w:rFonts w:ascii="Segoe UI" w:hAnsi="Segoe UI"/>
        </w:rPr>
        <w:t>Enforces confidence thresholds: predictions below 85% confidence are flagged for human review.</w:t>
      </w:r>
    </w:p>
    <w:p>
      <w:pPr>
        <w:pStyle w:val="ListBullet"/>
        <w:spacing w:before="20" w:after="40"/>
      </w:pPr>
      <w:r>
        <w:rPr>
          <w:rFonts w:ascii="Segoe UI" w:hAnsi="Segoe UI"/>
        </w:rPr>
        <w:t>Rejects any AI suggestion that violates double-entry balance constraints.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11. Common Infrastructure, Filters, Pipes &amp; Logger (`src/common/`)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11.1 `AllExceptionsFilter`: Centralized Domain Error Envelope</w:t>
      </w:r>
    </w:p>
    <w:p>
      <w:pPr>
        <w:spacing w:before="40" w:after="80" w:line="276" w:lineRule="auto"/>
      </w:pPr>
      <w:r>
        <w:rPr>
          <w:rFonts w:ascii="Segoe UI" w:hAnsi="Segoe UI"/>
        </w:rPr>
        <w:t>Catches all thrown exceptions and formats them into a predictable, RFC-7807 compatible JSON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false,</w:t>
              <w:br/>
              <w:t xml:space="preserve">  "error": {</w:t>
              <w:br/>
              <w:t xml:space="preserve">    "code": "ERR_JOURNAL_UNBALANCED",</w:t>
              <w:br/>
              <w:t xml:space="preserve">    "message": "Debits (100.00) must equal credits (90.00)",</w:t>
              <w:br/>
              <w:t xml:space="preserve">    "timestamp": "2026-10-12T00:00:00.000Z",</w:t>
              <w:br/>
              <w:t xml:space="preserve">    "requestId": "9b1deb4d-3b7d-4bad-9bdd-2b0d7b3dcb6d"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11.2 `DomainException`: Standardized Error Structure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Enables strong error categorization across services with domain-specific error codes (e.g., </w:t>
      </w:r>
      <w:r>
        <w:rPr>
          <w:rFonts w:ascii="Consolas" w:hAnsi="Consolas"/>
          <w:color w:val="B42828"/>
          <w:sz w:val="19"/>
        </w:rPr>
        <w:t>ERR_PERIOD_HARD_LOCKED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ERR_CONTROL_ACCOUNT_DIRECT_POSTING</w:t>
      </w:r>
      <w:r>
        <w:rPr>
          <w:rFonts w:ascii="Segoe UI" w:hAnsi="Segoe UI"/>
        </w:rPr>
        <w:t>).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11.3 `ValidationPipe`: Class-Validator Sanitization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Configured with </w:t>
      </w:r>
      <w:r>
        <w:rPr>
          <w:rFonts w:ascii="Consolas" w:hAnsi="Consolas"/>
          <w:color w:val="B42828"/>
          <w:sz w:val="19"/>
        </w:rPr>
        <w:t>whitelist: true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forbidNonWhitelisted: true</w:t>
      </w:r>
      <w:r>
        <w:rPr>
          <w:rFonts w:ascii="Segoe UI" w:hAnsi="Segoe UI"/>
        </w:rPr>
        <w:t xml:space="preserve">, and </w:t>
      </w:r>
      <w:r>
        <w:rPr>
          <w:rFonts w:ascii="Consolas" w:hAnsi="Consolas"/>
          <w:color w:val="B42828"/>
          <w:sz w:val="19"/>
        </w:rPr>
        <w:t>transform: true</w:t>
      </w:r>
      <w:r>
        <w:rPr>
          <w:rFonts w:ascii="Segoe UI" w:hAnsi="Segoe UI"/>
        </w:rPr>
        <w:t xml:space="preserve"> to prevent parameter injection attacks.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11.4 `AppLogger`: Correlation IDs and Structured JSON Logging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Attaches </w:t>
      </w:r>
      <w:r>
        <w:rPr>
          <w:rFonts w:ascii="Consolas" w:hAnsi="Consolas"/>
          <w:color w:val="B42828"/>
          <w:sz w:val="19"/>
        </w:rPr>
        <w:t>x-request-id</w:t>
      </w:r>
      <w:r>
        <w:rPr>
          <w:rFonts w:ascii="Segoe UI" w:hAnsi="Segoe UI"/>
        </w:rPr>
        <w:t xml:space="preserve"> to every log line, producing structured JSON outputs ingested by AWS CloudWatch.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12. Web Client Architecture (`apps/web/src/`)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12.1 App Router Layout &amp; Authentication Context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Built on </w:t>
      </w:r>
      <w:r>
        <w:rPr>
          <w:rFonts w:ascii="Segoe UI" w:hAnsi="Segoe UI"/>
          <w:b/>
        </w:rPr>
        <w:t>Next.js 15</w:t>
      </w:r>
      <w:r>
        <w:rPr>
          <w:rFonts w:ascii="Segoe UI" w:hAnsi="Segoe UI"/>
        </w:rPr>
        <w:t xml:space="preserve"> with React 19 and Turbopack:</w:t>
      </w:r>
    </w:p>
    <w:p>
      <w:pPr>
        <w:pStyle w:val="ListBullet"/>
        <w:spacing w:before="20" w:after="40"/>
      </w:pPr>
      <w:r>
        <w:rPr>
          <w:rFonts w:ascii="Segoe UI" w:hAnsi="Segoe UI"/>
        </w:rPr>
        <w:t>App router structure (</w:t>
      </w:r>
      <w:r>
        <w:rPr>
          <w:rFonts w:ascii="Consolas" w:hAnsi="Consolas"/>
          <w:color w:val="B42828"/>
          <w:sz w:val="19"/>
        </w:rPr>
        <w:t>apps/web/src/app/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</w:rPr>
        <w:t>Persistent authentication context (</w:t>
      </w:r>
      <w:r>
        <w:rPr>
          <w:rFonts w:ascii="Consolas" w:hAnsi="Consolas"/>
          <w:color w:val="B42828"/>
          <w:sz w:val="19"/>
        </w:rPr>
        <w:t>auth-context.tsx</w:t>
      </w:r>
      <w:r>
        <w:rPr>
          <w:rFonts w:ascii="Segoe UI" w:hAnsi="Segoe UI"/>
        </w:rPr>
        <w:t>) managing session storage, active organisation state, and token refresh.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12.2 Tenant-Scoped API Client (`api.ts`)</w:t>
      </w:r>
    </w:p>
    <w:p>
      <w:pPr>
        <w:spacing w:before="40" w:after="80" w:line="276" w:lineRule="auto"/>
      </w:pPr>
      <w:r>
        <w:rPr>
          <w:rFonts w:ascii="Segoe UI" w:hAnsi="Segoe UI"/>
        </w:rPr>
        <w:t>The frontend API wrapper (</w:t>
      </w:r>
      <w:r>
        <w:rPr>
          <w:rFonts w:ascii="Consolas" w:hAnsi="Consolas"/>
          <w:color w:val="B42828"/>
          <w:sz w:val="19"/>
        </w:rPr>
        <w:t>apps/web/src/lib/api.ts</w:t>
      </w:r>
      <w:r>
        <w:rPr>
          <w:rFonts w:ascii="Segoe UI" w:hAnsi="Segoe UI"/>
        </w:rPr>
        <w:t>) automatically resolves and prefixes tenant paths: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export function resolveEndpoint(endpoint: string, activeOrgId?: string | null): string {</w:t>
              <w:br/>
              <w:t xml:space="preserve">  let clean = endpoint.startsWith('/') ? endpoint : `/${endpoint}`;</w:t>
              <w:br/>
              <w:br/>
              <w:t xml:space="preserve">  if (activeOrgId &amp;&amp; !clean.startsWith('/organizations') &amp;&amp; !clean.startsWith('/auth')) {</w:t>
              <w:br/>
              <w:t xml:space="preserve">    if (clean.startsWith('/accounts') || clean.startsWith('/journals') || clean.startsWith('/invoices')) {</w:t>
              <w:br/>
              <w:t xml:space="preserve">      clean = `/organizations/${activeOrgId}${clean}`;</w:t>
              <w:br/>
              <w:t xml:space="preserve">    }</w:t>
              <w:br/>
              <w:t xml:space="preserve">  }</w:t>
              <w:br/>
              <w:t xml:space="preserve">  return clean;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12.3 Key User Interfaces &amp; Components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Dashboard:</w:t>
      </w:r>
      <w:r>
        <w:rPr>
          <w:rFonts w:ascii="Segoe UI" w:hAnsi="Segoe UI"/>
        </w:rPr>
        <w:t xml:space="preserve"> Displays real-time KPI cards for Cash at Bank, Accounts Receivable, Accounts Payable, and YTD Net Profit.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Journal Entry Grid:</w:t>
      </w:r>
      <w:r>
        <w:rPr>
          <w:rFonts w:ascii="Segoe UI" w:hAnsi="Segoe UI"/>
        </w:rPr>
        <w:t xml:space="preserve"> Interactive multi-line journal editor with a sticky balance tally bar displaying live Debits, Credits, and Balance Difference in real-time.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Invoice Editor &amp; GL Post Button:</w:t>
      </w:r>
      <w:r>
        <w:rPr>
          <w:rFonts w:ascii="Segoe UI" w:hAnsi="Segoe UI"/>
        </w:rPr>
        <w:t xml:space="preserve"> Comprehensive invoice builder with automatic tax calculation and one-click General Ledger posting.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Customer &amp; Supplier Statements:</w:t>
      </w:r>
      <w:r>
        <w:rPr>
          <w:rFonts w:ascii="Segoe UI" w:hAnsi="Segoe UI"/>
        </w:rPr>
        <w:t xml:space="preserve"> Date-filterable statement viewer with instant PDF generation and email dispatch.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Financial Reports Viewers:</w:t>
      </w:r>
      <w:r>
        <w:rPr>
          <w:rFonts w:ascii="Segoe UI" w:hAnsi="Segoe UI"/>
        </w:rPr>
        <w:t xml:space="preserve"> Interactive Trial Balance, Profit &amp; Loss, and Balance Sheet viewers with CSV export.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13. Cloud Deployment &amp; CI/CD Pipeline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18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_aws_dev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8 - Low-cost AWS DEV architecture in eu-west-2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8746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_migration_pro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7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9 - Safe current-hosting to AWS migration and rollback path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642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pull_request_g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6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10 - Pull-request quality gate and AWS DEV deployment flow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13.1 AWS Dev Architecture (`eu-west-2` London)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Frontend:</w:t>
      </w:r>
      <w:r>
        <w:rPr>
          <w:rFonts w:ascii="Segoe UI" w:hAnsi="Segoe UI"/>
        </w:rPr>
        <w:t xml:space="preserve"> AWS Amplify hosting Next.js 15 SSR build with automated edge caching.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Backend:</w:t>
      </w:r>
      <w:r>
        <w:rPr>
          <w:rFonts w:ascii="Segoe UI" w:hAnsi="Segoe UI"/>
        </w:rPr>
        <w:t xml:space="preserve"> AWS App Runner running NestJS 11 containerized application with automatic horizontal scaling.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Database:</w:t>
      </w:r>
      <w:r>
        <w:rPr>
          <w:rFonts w:ascii="Segoe UI" w:hAnsi="Segoe UI"/>
        </w:rPr>
        <w:t xml:space="preserve"> Amazon RDS PostgreSQL 16 Multi-AZ instance in private VPC subnets.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13.2 CI/CD Quality Gate</w:t>
      </w:r>
    </w:p>
    <w:p>
      <w:pPr>
        <w:spacing w:before="40" w:after="80" w:line="276" w:lineRule="auto"/>
      </w:pPr>
      <w:r>
        <w:rPr>
          <w:rFonts w:ascii="Segoe UI" w:hAnsi="Segoe UI"/>
        </w:rPr>
        <w:t>Every pull request triggers the automated GitHub Actions pipeline: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Consolas" w:hAnsi="Consolas"/>
          <w:color w:val="B42828"/>
          <w:sz w:val="19"/>
        </w:rPr>
        <w:t>npm ci</w:t>
      </w:r>
      <w:r>
        <w:rPr>
          <w:rFonts w:ascii="Segoe UI" w:hAnsi="Segoe UI"/>
        </w:rPr>
        <w:t>: Clean install across monorepo workspace.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Consolas" w:hAnsi="Consolas"/>
          <w:color w:val="B42828"/>
          <w:sz w:val="19"/>
        </w:rPr>
        <w:t>prisma validate</w:t>
      </w:r>
      <w:r>
        <w:rPr>
          <w:rFonts w:ascii="Segoe UI" w:hAnsi="Segoe UI"/>
        </w:rPr>
        <w:t>: Schema integrity and relation verification.</w:t>
      </w:r>
    </w:p>
    <w:p>
      <w:pPr>
        <w:spacing w:before="40" w:after="80" w:line="276" w:lineRule="auto"/>
      </w:pPr>
      <w:r>
        <w:rPr>
          <w:rFonts w:ascii="Segoe UI" w:hAnsi="Segoe UI"/>
        </w:rPr>
        <w:t>3. ESLint &amp; TypeScript compilation checks.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</w:t>
      </w:r>
      <w:r>
        <w:rPr>
          <w:rFonts w:ascii="Segoe UI" w:hAnsi="Segoe UI"/>
          <w:b/>
        </w:rPr>
        <w:t>Automated Unit &amp; Service Tests:</w:t>
      </w:r>
      <w:r>
        <w:rPr>
          <w:rFonts w:ascii="Segoe UI" w:hAnsi="Segoe UI"/>
        </w:rPr>
        <w:t xml:space="preserve"> 26 test suites / 127 tests must PASS before merge approval.</w:t>
      </w:r>
    </w:p>
    <w:p>
      <w:pPr>
        <w:spacing w:before="40" w:after="80" w:line="276" w:lineRule="auto"/>
      </w:pPr>
      <w:r>
        <w:rPr>
          <w:rFonts w:ascii="Segoe UI" w:hAnsi="Segoe UI"/>
        </w:rPr>
        <w:t>5. Production container image build and push to Amazon ECR.</w:t>
      </w: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END OF BLYNT COMPLETE SOURCE CODE EXPLAINER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