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00" w:after="200"/>
        <w:jc w:val="center"/>
      </w:pPr>
      <w:r>
        <w:drawing>
          <wp:inline xmlns:a="http://schemas.openxmlformats.org/drawingml/2006/main" xmlns:pic="http://schemas.openxmlformats.org/drawingml/2006/picture">
            <wp:extent cx="1508760" cy="185299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lynt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08760" cy="18529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500" w:after="160"/>
        <w:jc w:val="center"/>
      </w:pPr>
      <w:r>
        <w:rPr>
          <w:rFonts w:ascii="Segoe UI" w:hAnsi="Segoe UI"/>
          <w:b/>
          <w:color w:val="162D5F"/>
          <w:sz w:val="76"/>
        </w:rPr>
        <w:t>blynt</w:t>
      </w:r>
    </w:p>
    <w:p>
      <w:pPr>
        <w:spacing w:after="240"/>
        <w:jc w:val="center"/>
      </w:pPr>
      <w:r>
        <w:rPr>
          <w:rFonts w:ascii="Segoe UI" w:hAnsi="Segoe UI"/>
          <w:b/>
          <w:color w:val="162D5F"/>
          <w:sz w:val="34"/>
        </w:rPr>
        <w:t>COMPLETE TECHNICAL DOCUMENTATION &amp; BUSINESS BLUEPRINT</w:t>
      </w:r>
    </w:p>
    <w:p>
      <w:pPr>
        <w:spacing w:after="400"/>
        <w:jc w:val="center"/>
      </w:pPr>
      <w:r>
        <w:rPr>
          <w:rFonts w:ascii="Segoe UI" w:hAnsi="Segoe UI"/>
          <w:color w:val="FF7F6C"/>
          <w:sz w:val="22"/>
        </w:rPr>
        <w:t>Architecture • Accounting Engine • Product Phases • AWS • Security • Operations</w:t>
        <w:br/>
        <w:t>Version 1.0 • October 2026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EEF2F9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162D5F"/>
                <w:sz w:val="24"/>
              </w:rPr>
              <w:t>Clarity in Every Number</w:t>
              <w:br/>
            </w:r>
            <w:r>
              <w:rPr>
                <w:rFonts w:ascii="Segoe UI" w:hAnsi="Segoe UI"/>
                <w:i/>
                <w:color w:val="475569"/>
                <w:sz w:val="20"/>
              </w:rPr>
              <w:t>blynt is a UK-focused cloud accounting and finance SaaS built around a central, immutable double-entry accounting engine and a traceable financial data model.</w:t>
            </w:r>
          </w:p>
        </w:tc>
      </w:tr>
    </w:tbl>
    <w:p>
      <w:pPr>
        <w:spacing w:before="600"/>
        <w:jc w:val="center"/>
      </w:pPr>
      <w:r>
        <w:rPr>
          <w:rFonts w:ascii="Segoe UI" w:hAnsi="Segoe UI"/>
          <w:b/>
          <w:color w:val="162D5F"/>
          <w:sz w:val="19"/>
        </w:rPr>
        <w:t xml:space="preserve">Product / Platform: </w:t>
      </w:r>
      <w:r>
        <w:rPr>
          <w:rFonts w:ascii="Segoe UI" w:hAnsi="Segoe UI"/>
          <w:color w:val="1E293B"/>
          <w:sz w:val="19"/>
        </w:rPr>
        <w:t>blynt (Business Finance, Simplified)</w:t>
        <w:br/>
      </w:r>
      <w:r>
        <w:rPr>
          <w:rFonts w:ascii="Segoe UI" w:hAnsi="Segoe UI"/>
          <w:b/>
          <w:color w:val="162D5F"/>
          <w:sz w:val="19"/>
        </w:rPr>
        <w:t xml:space="preserve">Repository: </w:t>
      </w:r>
      <w:r>
        <w:rPr>
          <w:rFonts w:ascii="Segoe UI" w:hAnsi="Segoe UI"/>
          <w:color w:val="1E293B"/>
          <w:sz w:val="19"/>
        </w:rPr>
        <w:t>github.com/ceylonroameryt-bit/Fi</w:t>
        <w:br/>
      </w:r>
      <w:r>
        <w:rPr>
          <w:rFonts w:ascii="Segoe UI" w:hAnsi="Segoe UI"/>
          <w:b/>
          <w:color w:val="162D5F"/>
          <w:sz w:val="19"/>
        </w:rPr>
        <w:t xml:space="preserve">Baseline Audit Verification: </w:t>
      </w:r>
      <w:r>
        <w:rPr>
          <w:rFonts w:ascii="Segoe UI" w:hAnsi="Segoe UI"/>
          <w:color w:val="1E293B"/>
          <w:sz w:val="19"/>
        </w:rPr>
        <w:t>26/26 Test Suites PASS; 127/127 Active Tests PASS; 0 Lint/Type Errors</w:t>
        <w:br/>
      </w:r>
      <w:r>
        <w:rPr>
          <w:rFonts w:ascii="Segoe UI" w:hAnsi="Segoe UI"/>
          <w:b/>
          <w:color w:val="162D5F"/>
          <w:sz w:val="19"/>
        </w:rPr>
        <w:t xml:space="preserve">Target Jurisdiction: </w:t>
      </w:r>
      <w:r>
        <w:rPr>
          <w:rFonts w:ascii="Segoe UI" w:hAnsi="Segoe UI"/>
          <w:color w:val="1E293B"/>
          <w:sz w:val="19"/>
        </w:rPr>
        <w:t>United Kingdom (HMRC • Companies House • UK GDPR)</w:t>
        <w:br/>
      </w:r>
      <w:r>
        <w:rPr>
          <w:rFonts w:ascii="Segoe UI" w:hAnsi="Segoe UI"/>
          <w:b/>
          <w:color w:val="162D5F"/>
          <w:sz w:val="19"/>
        </w:rPr>
        <w:t xml:space="preserve">Technology Stack: </w:t>
      </w:r>
      <w:r>
        <w:rPr>
          <w:rFonts w:ascii="Segoe UI" w:hAnsi="Segoe UI"/>
          <w:color w:val="1E293B"/>
          <w:sz w:val="19"/>
        </w:rPr>
        <w:t>Next.js 15 (Turbopack) • NestJS 11 • PostgreSQL 16 • Prisma ORM</w:t>
        <w:br/>
      </w:r>
      <w:r>
        <w:rPr>
          <w:rFonts w:ascii="Segoe UI" w:hAnsi="Segoe UI"/>
          <w:b/>
          <w:color w:val="162D5F"/>
          <w:sz w:val="19"/>
        </w:rPr>
        <w:t xml:space="preserve">Cloud Infrastructure: </w:t>
      </w:r>
      <w:r>
        <w:rPr>
          <w:rFonts w:ascii="Segoe UI" w:hAnsi="Segoe UI"/>
          <w:color w:val="1E293B"/>
          <w:sz w:val="19"/>
        </w:rPr>
        <w:t>AWS eu-west-2 London (App Runner, RDS Aurora PostgreSQL, S3)</w:t>
        <w:br/>
      </w:r>
    </w:p>
    <w:p>
      <w:r>
        <w:br w:type="page"/>
      </w:r>
    </w:p>
    <w:p>
      <w:pPr>
        <w:pStyle w:val="Heading1"/>
        <w:spacing w:before="320" w:after="120"/>
      </w:pPr>
      <w:r>
        <w:rPr>
          <w:rFonts w:ascii="Segoe UI" w:hAnsi="Segoe UI"/>
          <w:b/>
          <w:color w:val="162D5F"/>
          <w:sz w:val="34"/>
        </w:rPr>
        <w:t>Document Control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tcMar>
              <w:top w:w="65" w:type="dxa"/>
              <w:bottom w:w="65" w:type="dxa"/>
              <w:left w:w="100" w:type="dxa"/>
              <w:right w:w="100" w:type="dxa"/>
            </w:tcMar>
            <w:shd w:fill="162D5F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Document</w:t>
            </w:r>
          </w:p>
        </w:tc>
        <w:tc>
          <w:tcPr>
            <w:tcW w:type="dxa" w:w="4824"/>
            <w:tcMar>
              <w:top w:w="65" w:type="dxa"/>
              <w:bottom w:w="65" w:type="dxa"/>
              <w:left w:w="100" w:type="dxa"/>
              <w:right w:w="100" w:type="dxa"/>
            </w:tcMar>
            <w:shd w:fill="162D5F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blynt Complete Technical &amp; Business Master Specification</w:t>
            </w:r>
          </w:p>
        </w:tc>
      </w:tr>
      <w:tr>
        <w:tc>
          <w:tcPr>
            <w:tcW w:type="dxa" w:w="4824"/>
            <w:tcMar>
              <w:top w:w="65" w:type="dxa"/>
              <w:bottom w:w="65" w:type="dxa"/>
              <w:left w:w="100" w:type="dxa"/>
              <w:right w:w="10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sz w:val="18"/>
              </w:rPr>
              <w:t>Version</w:t>
            </w:r>
          </w:p>
        </w:tc>
        <w:tc>
          <w:tcPr>
            <w:tcW w:type="dxa" w:w="4824"/>
            <w:tcMar>
              <w:top w:w="65" w:type="dxa"/>
              <w:bottom w:w="65" w:type="dxa"/>
              <w:left w:w="100" w:type="dxa"/>
              <w:right w:w="10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1.0 Production Readiness</w:t>
            </w:r>
          </w:p>
        </w:tc>
      </w:tr>
      <w:tr>
        <w:tc>
          <w:tcPr>
            <w:tcW w:type="dxa" w:w="4824"/>
            <w:tcMar>
              <w:top w:w="65" w:type="dxa"/>
              <w:bottom w:w="65" w:type="dxa"/>
              <w:left w:w="100" w:type="dxa"/>
              <w:right w:w="10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sz w:val="18"/>
              </w:rPr>
              <w:t>Date</w:t>
            </w:r>
          </w:p>
        </w:tc>
        <w:tc>
          <w:tcPr>
            <w:tcW w:type="dxa" w:w="4824"/>
            <w:tcMar>
              <w:top w:w="65" w:type="dxa"/>
              <w:bottom w:w="65" w:type="dxa"/>
              <w:left w:w="100" w:type="dxa"/>
              <w:right w:w="10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October 2026</w:t>
            </w:r>
          </w:p>
        </w:tc>
      </w:tr>
      <w:tr>
        <w:tc>
          <w:tcPr>
            <w:tcW w:type="dxa" w:w="4824"/>
            <w:tcMar>
              <w:top w:w="65" w:type="dxa"/>
              <w:bottom w:w="65" w:type="dxa"/>
              <w:left w:w="100" w:type="dxa"/>
              <w:right w:w="10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sz w:val="18"/>
              </w:rPr>
              <w:t>Product</w:t>
            </w:r>
          </w:p>
        </w:tc>
        <w:tc>
          <w:tcPr>
            <w:tcW w:type="dxa" w:w="4824"/>
            <w:tcMar>
              <w:top w:w="65" w:type="dxa"/>
              <w:bottom w:w="65" w:type="dxa"/>
              <w:left w:w="100" w:type="dxa"/>
              <w:right w:w="10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blynt — Business Finance, Simplified</w:t>
            </w:r>
          </w:p>
        </w:tc>
      </w:tr>
      <w:tr>
        <w:tc>
          <w:tcPr>
            <w:tcW w:type="dxa" w:w="4824"/>
            <w:tcMar>
              <w:top w:w="65" w:type="dxa"/>
              <w:bottom w:w="65" w:type="dxa"/>
              <w:left w:w="100" w:type="dxa"/>
              <w:right w:w="10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sz w:val="18"/>
              </w:rPr>
              <w:t>Repository</w:t>
            </w:r>
          </w:p>
        </w:tc>
        <w:tc>
          <w:tcPr>
            <w:tcW w:type="dxa" w:w="4824"/>
            <w:tcMar>
              <w:top w:w="65" w:type="dxa"/>
              <w:bottom w:w="65" w:type="dxa"/>
              <w:left w:w="100" w:type="dxa"/>
              <w:right w:w="10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github.com/ceylonroameryt-bit/Fi</w:t>
            </w:r>
          </w:p>
        </w:tc>
      </w:tr>
      <w:tr>
        <w:tc>
          <w:tcPr>
            <w:tcW w:type="dxa" w:w="4824"/>
            <w:tcMar>
              <w:top w:w="65" w:type="dxa"/>
              <w:bottom w:w="65" w:type="dxa"/>
              <w:left w:w="100" w:type="dxa"/>
              <w:right w:w="10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sz w:val="18"/>
              </w:rPr>
              <w:t>Baseline Audit</w:t>
            </w:r>
          </w:p>
        </w:tc>
        <w:tc>
          <w:tcPr>
            <w:tcW w:type="dxa" w:w="4824"/>
            <w:tcMar>
              <w:top w:w="65" w:type="dxa"/>
              <w:bottom w:w="65" w:type="dxa"/>
              <w:left w:w="100" w:type="dxa"/>
              <w:right w:w="10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Commit d7d8809; 26/26 unit &amp; service test suites PASS; 127/127 tests PASS</w:t>
            </w:r>
          </w:p>
        </w:tc>
      </w:tr>
      <w:tr>
        <w:tc>
          <w:tcPr>
            <w:tcW w:type="dxa" w:w="4824"/>
            <w:tcMar>
              <w:top w:w="65" w:type="dxa"/>
              <w:bottom w:w="65" w:type="dxa"/>
              <w:left w:w="100" w:type="dxa"/>
              <w:right w:w="10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sz w:val="18"/>
              </w:rPr>
              <w:t>Target Cloud</w:t>
            </w:r>
          </w:p>
        </w:tc>
        <w:tc>
          <w:tcPr>
            <w:tcW w:type="dxa" w:w="4824"/>
            <w:tcMar>
              <w:top w:w="65" w:type="dxa"/>
              <w:bottom w:w="65" w:type="dxa"/>
              <w:left w:w="100" w:type="dxa"/>
              <w:right w:w="10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AWS eu-west-2 (London)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EEF2F9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i/>
                <w:color w:val="162D5F"/>
                <w:sz w:val="19"/>
              </w:rPr>
              <w:t>Note: The official blynt navy (#162D5F) and coral (#FF7F6C) identity supersedes earlier experimental directions. Source code, database constraints, and verified runtime behavior remain authoritative when documentation and implementation diverge.</w:t>
            </w:r>
          </w:p>
        </w:tc>
      </w:tr>
    </w:tbl>
    <w:p>
      <w:pPr>
        <w:spacing w:after="80"/>
      </w:pPr>
    </w:p>
    <w:p>
      <w:pPr>
        <w:spacing w:after="120"/>
      </w:pPr>
    </w:p>
    <w:p>
      <w:pPr>
        <w:pStyle w:val="Heading1"/>
        <w:spacing w:before="320" w:after="120"/>
      </w:pPr>
      <w:r>
        <w:rPr>
          <w:rFonts w:ascii="Segoe UI" w:hAnsi="Segoe UI"/>
          <w:b/>
          <w:color w:val="162D5F"/>
          <w:sz w:val="34"/>
        </w:rPr>
        <w:t>Table of Contents</w:t>
      </w:r>
    </w:p>
    <w:p>
      <w:pPr>
        <w:pStyle w:val="ListBullet"/>
        <w:spacing w:before="20" w:after="40"/>
      </w:pPr>
      <w:r>
        <w:rPr>
          <w:rFonts w:ascii="Segoe UI" w:hAnsi="Segoe UI"/>
          <w:b/>
        </w:rPr>
        <w:t>1. Executive Summary</w:t>
      </w:r>
    </w:p>
    <w:p>
      <w:pPr>
        <w:pStyle w:val="ListBullet"/>
        <w:spacing w:before="20" w:after="40"/>
      </w:pPr>
      <w:r>
        <w:rPr>
          <w:rFonts w:ascii="Segoe UI" w:hAnsi="Segoe UI"/>
          <w:b/>
        </w:rPr>
        <w:t>2. Product &amp; Brand</w:t>
      </w:r>
    </w:p>
    <w:p>
      <w:pPr>
        <w:pStyle w:val="ListBullet"/>
        <w:spacing w:before="20" w:after="40"/>
      </w:pPr>
      <w:r>
        <w:rPr>
          <w:rFonts w:ascii="Segoe UI" w:hAnsi="Segoe UI"/>
        </w:rPr>
        <w:t>2.1 Product Positioning</w:t>
      </w:r>
    </w:p>
    <w:p>
      <w:pPr>
        <w:pStyle w:val="ListBullet"/>
        <w:spacing w:before="20" w:after="40"/>
      </w:pPr>
      <w:r>
        <w:rPr>
          <w:rFonts w:ascii="Segoe UI" w:hAnsi="Segoe UI"/>
        </w:rPr>
        <w:t>2.2 Official Identity</w:t>
      </w:r>
    </w:p>
    <w:p>
      <w:pPr>
        <w:pStyle w:val="ListBullet"/>
        <w:spacing w:before="20" w:after="40"/>
      </w:pPr>
      <w:r>
        <w:rPr>
          <w:rFonts w:ascii="Segoe UI" w:hAnsi="Segoe UI"/>
        </w:rPr>
        <w:t>2.3 Brand Palette and Semantics</w:t>
      </w:r>
    </w:p>
    <w:p>
      <w:pPr>
        <w:pStyle w:val="ListBullet"/>
        <w:spacing w:before="20" w:after="40"/>
      </w:pPr>
      <w:r>
        <w:rPr>
          <w:rFonts w:ascii="Segoe UI" w:hAnsi="Segoe UI"/>
          <w:b/>
        </w:rPr>
        <w:t>3. Current State Baseline</w:t>
      </w:r>
    </w:p>
    <w:p>
      <w:pPr>
        <w:pStyle w:val="ListBullet"/>
        <w:spacing w:before="20" w:after="40"/>
      </w:pPr>
      <w:r>
        <w:rPr>
          <w:rFonts w:ascii="Segoe UI" w:hAnsi="Segoe UI"/>
        </w:rPr>
        <w:t>3.1 Verified Runtime Baseline</w:t>
      </w:r>
    </w:p>
    <w:p>
      <w:pPr>
        <w:pStyle w:val="ListBullet"/>
        <w:spacing w:before="20" w:after="40"/>
      </w:pPr>
      <w:r>
        <w:rPr>
          <w:rFonts w:ascii="Segoe UI" w:hAnsi="Segoe UI"/>
        </w:rPr>
        <w:t>3.2 Implemented Foundations</w:t>
      </w:r>
    </w:p>
    <w:p>
      <w:pPr>
        <w:pStyle w:val="ListBullet"/>
        <w:spacing w:before="20" w:after="40"/>
      </w:pPr>
      <w:r>
        <w:rPr>
          <w:rFonts w:ascii="Segoe UI" w:hAnsi="Segoe UI"/>
        </w:rPr>
        <w:t>3.3 Partial / Missing Capabilities</w:t>
      </w:r>
    </w:p>
    <w:p>
      <w:pPr>
        <w:pStyle w:val="ListBullet"/>
        <w:spacing w:before="20" w:after="40"/>
      </w:pPr>
      <w:r>
        <w:rPr>
          <w:rFonts w:ascii="Segoe UI" w:hAnsi="Segoe UI"/>
          <w:b/>
        </w:rPr>
        <w:t>4. Technical Stack Architecture</w:t>
      </w:r>
    </w:p>
    <w:p>
      <w:pPr>
        <w:pStyle w:val="ListBullet"/>
        <w:spacing w:before="20" w:after="40"/>
      </w:pPr>
      <w:r>
        <w:rPr>
          <w:rFonts w:ascii="Segoe UI" w:hAnsi="Segoe UI"/>
          <w:b/>
        </w:rPr>
        <w:t>5. System Architecture</w:t>
      </w:r>
    </w:p>
    <w:p>
      <w:pPr>
        <w:pStyle w:val="ListBullet"/>
        <w:spacing w:before="20" w:after="40"/>
      </w:pPr>
      <w:r>
        <w:rPr>
          <w:rFonts w:ascii="Segoe UI" w:hAnsi="Segoe UI"/>
        </w:rPr>
        <w:t>5.1 Modular Monolith</w:t>
      </w:r>
    </w:p>
    <w:p>
      <w:pPr>
        <w:pStyle w:val="ListBullet"/>
        <w:spacing w:before="20" w:after="40"/>
      </w:pPr>
      <w:r>
        <w:rPr>
          <w:rFonts w:ascii="Segoe UI" w:hAnsi="Segoe UI"/>
        </w:rPr>
        <w:t>5.2 Data Authority</w:t>
      </w:r>
    </w:p>
    <w:p>
      <w:pPr>
        <w:pStyle w:val="ListBullet"/>
        <w:spacing w:before="20" w:after="40"/>
      </w:pPr>
      <w:r>
        <w:rPr>
          <w:rFonts w:ascii="Segoe UI" w:hAnsi="Segoe UI"/>
          <w:b/>
        </w:rPr>
        <w:t>6. Accounting Architecture</w:t>
      </w:r>
    </w:p>
    <w:p>
      <w:pPr>
        <w:pStyle w:val="ListBullet"/>
        <w:spacing w:before="20" w:after="40"/>
      </w:pPr>
      <w:r>
        <w:rPr>
          <w:rFonts w:ascii="Segoe UI" w:hAnsi="Segoe UI"/>
        </w:rPr>
        <w:t>6.1 Posting Model</w:t>
      </w:r>
    </w:p>
    <w:p>
      <w:pPr>
        <w:pStyle w:val="ListBullet"/>
        <w:spacing w:before="20" w:after="40"/>
      </w:pPr>
      <w:r>
        <w:rPr>
          <w:rFonts w:ascii="Segoe UI" w:hAnsi="Segoe UI"/>
        </w:rPr>
        <w:t>6.2 Journal Lifecycle</w:t>
      </w:r>
    </w:p>
    <w:p>
      <w:pPr>
        <w:pStyle w:val="ListBullet"/>
        <w:spacing w:before="20" w:after="40"/>
      </w:pPr>
      <w:r>
        <w:rPr>
          <w:rFonts w:ascii="Segoe UI" w:hAnsi="Segoe UI"/>
        </w:rPr>
        <w:t>6.3 Sales Invoice Posting</w:t>
      </w:r>
    </w:p>
    <w:p>
      <w:pPr>
        <w:pStyle w:val="ListBullet"/>
        <w:spacing w:before="20" w:after="40"/>
      </w:pPr>
      <w:r>
        <w:rPr>
          <w:rFonts w:ascii="Segoe UI" w:hAnsi="Segoe UI"/>
        </w:rPr>
        <w:t>6.4 Customer Payment Posting</w:t>
      </w:r>
    </w:p>
    <w:p>
      <w:pPr>
        <w:pStyle w:val="ListBullet"/>
        <w:spacing w:before="20" w:after="40"/>
      </w:pPr>
      <w:r>
        <w:rPr>
          <w:rFonts w:ascii="Segoe UI" w:hAnsi="Segoe UI"/>
        </w:rPr>
        <w:t>6.5 Accounting Invariants</w:t>
      </w:r>
    </w:p>
    <w:p>
      <w:pPr>
        <w:pStyle w:val="ListBullet"/>
        <w:spacing w:before="20" w:after="40"/>
      </w:pPr>
      <w:r>
        <w:rPr>
          <w:rFonts w:ascii="Segoe UI" w:hAnsi="Segoe UI"/>
          <w:b/>
        </w:rPr>
        <w:t>7. Security &amp; Multi-Tenancy</w:t>
      </w:r>
    </w:p>
    <w:p>
      <w:pPr>
        <w:pStyle w:val="ListBullet"/>
        <w:spacing w:before="20" w:after="40"/>
      </w:pPr>
      <w:r>
        <w:rPr>
          <w:rFonts w:ascii="Segoe UI" w:hAnsi="Segoe UI"/>
        </w:rPr>
        <w:t>7.1 Tenant Isolation</w:t>
      </w:r>
    </w:p>
    <w:p>
      <w:pPr>
        <w:pStyle w:val="ListBullet"/>
        <w:spacing w:before="20" w:after="40"/>
      </w:pPr>
      <w:r>
        <w:rPr>
          <w:rFonts w:ascii="Segoe UI" w:hAnsi="Segoe UI"/>
        </w:rPr>
        <w:t>7.2 Authentication</w:t>
      </w:r>
    </w:p>
    <w:p>
      <w:pPr>
        <w:pStyle w:val="ListBullet"/>
        <w:spacing w:before="20" w:after="40"/>
      </w:pPr>
      <w:r>
        <w:rPr>
          <w:rFonts w:ascii="Segoe UI" w:hAnsi="Segoe UI"/>
        </w:rPr>
        <w:t>7.3 Future Security Controls</w:t>
      </w:r>
    </w:p>
    <w:p>
      <w:pPr>
        <w:pStyle w:val="ListBullet"/>
        <w:spacing w:before="20" w:after="40"/>
      </w:pPr>
      <w:r>
        <w:rPr>
          <w:rFonts w:ascii="Segoe UI" w:hAnsi="Segoe UI"/>
          <w:b/>
        </w:rPr>
        <w:t>8. Functional Modules (Complete Scope Matrix)</w:t>
      </w:r>
    </w:p>
    <w:p>
      <w:pPr>
        <w:pStyle w:val="ListBullet"/>
        <w:spacing w:before="20" w:after="40"/>
      </w:pPr>
      <w:r>
        <w:rPr>
          <w:rFonts w:ascii="Segoe UI" w:hAnsi="Segoe UI"/>
          <w:b/>
        </w:rPr>
        <w:t>9. Phase Roadmap P00-P30 (Comprehensive Breakdown)</w:t>
      </w:r>
    </w:p>
    <w:p>
      <w:pPr>
        <w:pStyle w:val="ListBullet"/>
        <w:spacing w:before="20" w:after="40"/>
      </w:pPr>
      <w:r>
        <w:rPr>
          <w:rFonts w:ascii="Segoe UI" w:hAnsi="Segoe UI"/>
          <w:b/>
        </w:rPr>
        <w:t>10. AWS Architecture &amp; Migration</w:t>
      </w:r>
    </w:p>
    <w:p>
      <w:pPr>
        <w:pStyle w:val="ListBullet"/>
        <w:spacing w:before="20" w:after="40"/>
      </w:pPr>
      <w:r>
        <w:rPr>
          <w:rFonts w:ascii="Segoe UI" w:hAnsi="Segoe UI"/>
        </w:rPr>
        <w:t>10.1 Development Target</w:t>
      </w:r>
    </w:p>
    <w:p>
      <w:pPr>
        <w:pStyle w:val="ListBullet"/>
        <w:spacing w:before="20" w:after="40"/>
      </w:pPr>
      <w:r>
        <w:rPr>
          <w:rFonts w:ascii="Segoe UI" w:hAnsi="Segoe UI"/>
        </w:rPr>
        <w:t>10.2 Migration Process</w:t>
      </w:r>
    </w:p>
    <w:p>
      <w:pPr>
        <w:pStyle w:val="ListBullet"/>
        <w:spacing w:before="20" w:after="40"/>
      </w:pPr>
      <w:r>
        <w:rPr>
          <w:rFonts w:ascii="Segoe UI" w:hAnsi="Segoe UI"/>
        </w:rPr>
        <w:t>10.3 Cutover Financial Gates</w:t>
      </w:r>
    </w:p>
    <w:p>
      <w:pPr>
        <w:pStyle w:val="ListBullet"/>
        <w:spacing w:before="20" w:after="40"/>
      </w:pPr>
      <w:r>
        <w:rPr>
          <w:rFonts w:ascii="Segoe UI" w:hAnsi="Segoe UI"/>
          <w:b/>
        </w:rPr>
        <w:t>11. CI/CD &amp; Release Engineering</w:t>
      </w:r>
    </w:p>
    <w:p>
      <w:pPr>
        <w:pStyle w:val="ListBullet"/>
        <w:spacing w:before="20" w:after="40"/>
      </w:pPr>
      <w:r>
        <w:rPr>
          <w:rFonts w:ascii="Segoe UI" w:hAnsi="Segoe UI"/>
          <w:b/>
        </w:rPr>
        <w:t>12. Testing Strategy</w:t>
      </w:r>
    </w:p>
    <w:p>
      <w:pPr>
        <w:pStyle w:val="ListBullet"/>
        <w:spacing w:before="20" w:after="40"/>
      </w:pPr>
      <w:r>
        <w:rPr>
          <w:rFonts w:ascii="Segoe UI" w:hAnsi="Segoe UI"/>
        </w:rPr>
        <w:t>12.1 Core Accounting Regression Suite</w:t>
      </w:r>
    </w:p>
    <w:p>
      <w:pPr>
        <w:pStyle w:val="ListBullet"/>
        <w:spacing w:before="20" w:after="40"/>
      </w:pPr>
      <w:r>
        <w:rPr>
          <w:rFonts w:ascii="Segoe UI" w:hAnsi="Segoe UI"/>
        </w:rPr>
        <w:t>12.2 Test Pyramid</w:t>
      </w:r>
    </w:p>
    <w:p>
      <w:pPr>
        <w:pStyle w:val="ListBullet"/>
        <w:spacing w:before="20" w:after="40"/>
      </w:pPr>
      <w:r>
        <w:rPr>
          <w:rFonts w:ascii="Segoe UI" w:hAnsi="Segoe UI"/>
          <w:b/>
        </w:rPr>
        <w:t>13. Data &amp; Database Governance</w:t>
      </w:r>
    </w:p>
    <w:p>
      <w:pPr>
        <w:pStyle w:val="ListBullet"/>
        <w:spacing w:before="20" w:after="40"/>
      </w:pPr>
      <w:r>
        <w:rPr>
          <w:rFonts w:ascii="Segoe UI" w:hAnsi="Segoe UI"/>
        </w:rPr>
        <w:t>13.1 Planned Schema Evolution</w:t>
      </w:r>
    </w:p>
    <w:p>
      <w:pPr>
        <w:pStyle w:val="ListBullet"/>
        <w:spacing w:before="20" w:after="40"/>
      </w:pPr>
      <w:r>
        <w:rPr>
          <w:rFonts w:ascii="Segoe UI" w:hAnsi="Segoe UI"/>
          <w:b/>
        </w:rPr>
        <w:t>14. Compliance &amp; Operations</w:t>
      </w:r>
    </w:p>
    <w:p>
      <w:pPr>
        <w:pStyle w:val="ListBullet"/>
        <w:spacing w:before="20" w:after="40"/>
      </w:pPr>
      <w:r>
        <w:rPr>
          <w:rFonts w:ascii="Segoe UI" w:hAnsi="Segoe UI"/>
        </w:rPr>
        <w:t>14.1 UK Compliance</w:t>
      </w:r>
    </w:p>
    <w:p>
      <w:pPr>
        <w:pStyle w:val="ListBullet"/>
        <w:spacing w:before="20" w:after="40"/>
      </w:pPr>
      <w:r>
        <w:rPr>
          <w:rFonts w:ascii="Segoe UI" w:hAnsi="Segoe UI"/>
        </w:rPr>
        <w:t>14.2 Backups &amp; Disaster Recovery</w:t>
      </w:r>
    </w:p>
    <w:p>
      <w:pPr>
        <w:pStyle w:val="ListBullet"/>
        <w:spacing w:before="20" w:after="40"/>
      </w:pPr>
      <w:r>
        <w:rPr>
          <w:rFonts w:ascii="Segoe UI" w:hAnsi="Segoe UI"/>
          <w:b/>
        </w:rPr>
        <w:t>15. Documentation Governance</w:t>
      </w:r>
    </w:p>
    <w:p>
      <w:pPr>
        <w:pStyle w:val="ListBullet"/>
        <w:spacing w:before="20" w:after="40"/>
      </w:pPr>
      <w:r>
        <w:rPr>
          <w:rFonts w:ascii="Segoe UI" w:hAnsi="Segoe UI"/>
          <w:b/>
        </w:rPr>
        <w:t>Appendices</w:t>
      </w:r>
    </w:p>
    <w:p>
      <w:pPr>
        <w:pStyle w:val="ListBullet"/>
        <w:spacing w:before="20" w:after="40"/>
      </w:pPr>
      <w:r>
        <w:rPr>
          <w:rFonts w:ascii="Segoe UI" w:hAnsi="Segoe UI"/>
        </w:rPr>
        <w:t>Appendix A - Recommended Repository Documentation Structure</w:t>
      </w:r>
    </w:p>
    <w:p>
      <w:pPr>
        <w:pStyle w:val="ListBullet"/>
        <w:spacing w:before="20" w:after="40"/>
      </w:pPr>
      <w:r>
        <w:rPr>
          <w:rFonts w:ascii="Segoe UI" w:hAnsi="Segoe UI"/>
        </w:rPr>
        <w:t>Appendix B - Stable Domain Error Examples</w:t>
      </w:r>
    </w:p>
    <w:p>
      <w:pPr>
        <w:pStyle w:val="ListBullet"/>
        <w:spacing w:before="20" w:after="40"/>
      </w:pPr>
      <w:r>
        <w:rPr>
          <w:rFonts w:ascii="Segoe UI" w:hAnsi="Segoe UI"/>
        </w:rPr>
        <w:t>Appendix C - Glossary</w:t>
      </w:r>
    </w:p>
    <w:p>
      <w:pPr>
        <w:spacing w:after="120"/>
      </w:pPr>
    </w:p>
    <w:p>
      <w:pPr>
        <w:pStyle w:val="Heading1"/>
        <w:spacing w:before="320" w:after="120"/>
      </w:pPr>
      <w:r>
        <w:rPr>
          <w:rFonts w:ascii="Segoe UI" w:hAnsi="Segoe UI"/>
          <w:b/>
          <w:color w:val="162D5F"/>
          <w:sz w:val="34"/>
        </w:rPr>
        <w:t>1. Executive Summary</w:t>
      </w:r>
    </w:p>
    <w:p>
      <w:pPr>
        <w:spacing w:before="40" w:after="80" w:line="276" w:lineRule="auto"/>
      </w:pPr>
      <w:r>
        <w:rPr>
          <w:rFonts w:ascii="Segoe UI" w:hAnsi="Segoe UI"/>
        </w:rPr>
        <w:t>blynt is being developed as a UK-focused cloud accounting and financial management platform for SMEs. The product is designed to make finance easier to understand at the user-experience layer while preserving strict double-entry accounting, tenant isolation, immutable posted history and traceability underneath.</w:t>
      </w:r>
    </w:p>
    <w:p>
      <w:pPr>
        <w:pStyle w:val="ListBullet"/>
        <w:spacing w:before="20" w:after="40"/>
      </w:pPr>
      <w:r>
        <w:rPr>
          <w:rFonts w:ascii="Segoe UI" w:hAnsi="Segoe UI"/>
          <w:b/>
        </w:rPr>
        <w:t>General Ledger is the accounting source of truth:</w:t>
      </w:r>
      <w:r>
        <w:rPr>
          <w:rFonts w:ascii="Segoe UI" w:hAnsi="Segoe UI"/>
        </w:rPr>
        <w:t xml:space="preserve"> Every balance is mathematically derived from posted journal entries.</w:t>
      </w:r>
    </w:p>
    <w:p>
      <w:pPr>
        <w:pStyle w:val="ListBullet"/>
        <w:spacing w:before="20" w:after="40"/>
      </w:pPr>
      <w:r>
        <w:rPr>
          <w:rFonts w:ascii="Segoe UI" w:hAnsi="Segoe UI"/>
          <w:b/>
        </w:rPr>
        <w:t>Every financial business module posts through one central accounting engine:</w:t>
      </w:r>
      <w:r>
        <w:rPr>
          <w:rFonts w:ascii="Segoe UI" w:hAnsi="Segoe UI"/>
        </w:rPr>
        <w:t xml:space="preserve"> Invoices, payments, bills, and expenses share the same validation pipeline.</w:t>
      </w:r>
    </w:p>
    <w:p>
      <w:pPr>
        <w:pStyle w:val="ListBullet"/>
        <w:spacing w:before="20" w:after="40"/>
      </w:pPr>
      <w:r>
        <w:rPr>
          <w:rFonts w:ascii="Segoe UI" w:hAnsi="Segoe UI"/>
          <w:b/>
        </w:rPr>
        <w:t>Money is represented with decimal-safe arithmetic:</w:t>
      </w:r>
      <w:r>
        <w:rPr>
          <w:rFonts w:ascii="Segoe UI" w:hAnsi="Segoe UI"/>
        </w:rPr>
        <w:t xml:space="preserve"> Standard floating-point arithmetic is prohibited; </w:t>
      </w:r>
      <w:r>
        <w:rPr>
          <w:rFonts w:ascii="Consolas" w:hAnsi="Consolas"/>
          <w:color w:val="B42828"/>
          <w:sz w:val="19"/>
        </w:rPr>
        <w:t>Decimal.js</w:t>
      </w:r>
      <w:r>
        <w:rPr>
          <w:rFonts w:ascii="Segoe UI" w:hAnsi="Segoe UI"/>
        </w:rPr>
        <w:t xml:space="preserve"> and PostgreSQL </w:t>
      </w:r>
      <w:r>
        <w:rPr>
          <w:rFonts w:ascii="Consolas" w:hAnsi="Consolas"/>
          <w:color w:val="B42828"/>
          <w:sz w:val="19"/>
        </w:rPr>
        <w:t>NUMERIC(19,4)</w:t>
      </w:r>
      <w:r>
        <w:rPr>
          <w:rFonts w:ascii="Segoe UI" w:hAnsi="Segoe UI"/>
        </w:rPr>
        <w:t xml:space="preserve"> guarantee zero rounding drift.</w:t>
      </w:r>
    </w:p>
    <w:p>
      <w:pPr>
        <w:pStyle w:val="ListBullet"/>
        <w:spacing w:before="20" w:after="40"/>
      </w:pPr>
      <w:r>
        <w:rPr>
          <w:rFonts w:ascii="Segoe UI" w:hAnsi="Segoe UI"/>
          <w:b/>
        </w:rPr>
        <w:t>Posted journals are immutable:</w:t>
      </w:r>
      <w:r>
        <w:rPr>
          <w:rFonts w:ascii="Segoe UI" w:hAnsi="Segoe UI"/>
        </w:rPr>
        <w:t xml:space="preserve"> Reversal and credit note mechanisms are used rather than destructive history edits.</w:t>
      </w:r>
    </w:p>
    <w:p>
      <w:pPr>
        <w:pStyle w:val="ListBullet"/>
        <w:spacing w:before="20" w:after="40"/>
      </w:pPr>
      <w:r>
        <w:rPr>
          <w:rFonts w:ascii="Segoe UI" w:hAnsi="Segoe UI"/>
          <w:b/>
        </w:rPr>
        <w:t>Traceability in Every Number:</w:t>
      </w:r>
      <w:r>
        <w:rPr>
          <w:rFonts w:ascii="Segoe UI" w:hAnsi="Segoe UI"/>
        </w:rPr>
        <w:t xml:space="preserve"> Every material number on a dashboard or report is fully traceable to its nominal account, journal line, source document, and immutable audit trail.</w:t>
      </w:r>
    </w:p>
    <w:p>
      <w:pPr>
        <w:spacing w:after="120"/>
      </w:pPr>
    </w:p>
    <w:p>
      <w:pPr>
        <w:pStyle w:val="Heading1"/>
        <w:spacing w:before="320" w:after="120"/>
      </w:pPr>
      <w:r>
        <w:rPr>
          <w:rFonts w:ascii="Segoe UI" w:hAnsi="Segoe UI"/>
          <w:b/>
          <w:color w:val="162D5F"/>
          <w:sz w:val="34"/>
        </w:rPr>
        <w:t>2. Product &amp; Brand</w:t>
      </w:r>
    </w:p>
    <w:p>
      <w:pPr>
        <w:pStyle w:val="Heading2"/>
        <w:spacing w:before="240" w:after="80"/>
      </w:pPr>
      <w:r>
        <w:rPr>
          <w:rFonts w:ascii="Segoe UI" w:hAnsi="Segoe UI"/>
          <w:b/>
          <w:color w:val="FF7F6C"/>
          <w:sz w:val="26"/>
        </w:rPr>
        <w:t>2.1 Product Positioning</w:t>
      </w:r>
    </w:p>
    <w:p>
      <w:pPr>
        <w:spacing w:before="40" w:after="80" w:line="276" w:lineRule="auto"/>
      </w:pPr>
      <w:r>
        <w:rPr>
          <w:rFonts w:ascii="Segoe UI" w:hAnsi="Segoe UI"/>
        </w:rPr>
        <w:t>blynt should feel like calm, trustworthy finance software rather than a trading, crypto or “fast money” product. The product promise is “Clarity in Every Number”. UI decisions should reduce cognitive load while making accounting state and consequences explicit.</w:t>
      </w:r>
    </w:p>
    <w:p>
      <w:pPr>
        <w:pStyle w:val="Heading2"/>
        <w:spacing w:before="240" w:after="80"/>
      </w:pPr>
      <w:r>
        <w:rPr>
          <w:rFonts w:ascii="Segoe UI" w:hAnsi="Segoe UI"/>
          <w:b/>
          <w:color w:val="FF7F6C"/>
          <w:sz w:val="26"/>
        </w:rPr>
        <w:t>2.2 Official Identity</w:t>
      </w:r>
    </w:p>
    <w:p>
      <w:pPr>
        <w:pStyle w:val="ListBullet"/>
        <w:spacing w:before="20" w:after="40"/>
      </w:pPr>
      <w:r>
        <w:rPr>
          <w:rFonts w:ascii="Segoe UI" w:hAnsi="Segoe UI"/>
          <w:b/>
        </w:rPr>
        <w:t>Official Name:</w:t>
      </w:r>
      <w:r>
        <w:rPr>
          <w:rFonts w:ascii="Segoe UI" w:hAnsi="Segoe UI"/>
        </w:rPr>
        <w:t xml:space="preserve"> blynt</w:t>
      </w:r>
    </w:p>
    <w:p>
      <w:pPr>
        <w:pStyle w:val="ListBullet"/>
        <w:spacing w:before="20" w:after="40"/>
      </w:pPr>
      <w:r>
        <w:rPr>
          <w:rFonts w:ascii="Segoe UI" w:hAnsi="Segoe UI"/>
          <w:b/>
        </w:rPr>
        <w:t>Tagline:</w:t>
      </w:r>
      <w:r>
        <w:rPr>
          <w:rFonts w:ascii="Segoe UI" w:hAnsi="Segoe UI"/>
        </w:rPr>
        <w:t xml:space="preserve"> Business Finance, Simplified.</w:t>
      </w:r>
    </w:p>
    <w:p>
      <w:pPr>
        <w:pStyle w:val="ListBullet"/>
        <w:spacing w:before="20" w:after="40"/>
      </w:pPr>
      <w:r>
        <w:rPr>
          <w:rFonts w:ascii="Segoe UI" w:hAnsi="Segoe UI"/>
          <w:b/>
        </w:rPr>
        <w:t>Brand Promise:</w:t>
      </w:r>
      <w:r>
        <w:rPr>
          <w:rFonts w:ascii="Segoe UI" w:hAnsi="Segoe UI"/>
        </w:rPr>
        <w:t xml:space="preserve"> Clarity in Every Number.</w:t>
      </w:r>
    </w:p>
    <w:p>
      <w:pPr>
        <w:pStyle w:val="Heading2"/>
        <w:spacing w:before="240" w:after="80"/>
      </w:pPr>
      <w:r>
        <w:rPr>
          <w:rFonts w:ascii="Segoe UI" w:hAnsi="Segoe UI"/>
          <w:b/>
          <w:color w:val="FF7F6C"/>
          <w:sz w:val="26"/>
        </w:rPr>
        <w:t>2.3 Brand Palette and Semantics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tcMar>
              <w:top w:w="65" w:type="dxa"/>
              <w:bottom w:w="65" w:type="dxa"/>
              <w:left w:w="100" w:type="dxa"/>
              <w:right w:w="100" w:type="dxa"/>
            </w:tcMar>
            <w:shd w:fill="162D5F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Token</w:t>
            </w:r>
          </w:p>
        </w:tc>
        <w:tc>
          <w:tcPr>
            <w:tcW w:type="dxa" w:w="3216"/>
            <w:tcMar>
              <w:top w:w="65" w:type="dxa"/>
              <w:bottom w:w="65" w:type="dxa"/>
              <w:left w:w="100" w:type="dxa"/>
              <w:right w:w="100" w:type="dxa"/>
            </w:tcMar>
            <w:shd w:fill="162D5F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Approx. Value</w:t>
            </w:r>
          </w:p>
        </w:tc>
        <w:tc>
          <w:tcPr>
            <w:tcW w:type="dxa" w:w="3216"/>
            <w:tcMar>
              <w:top w:w="65" w:type="dxa"/>
              <w:bottom w:w="65" w:type="dxa"/>
              <w:left w:w="100" w:type="dxa"/>
              <w:right w:w="100" w:type="dxa"/>
            </w:tcMar>
            <w:shd w:fill="162D5F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Meaning &amp; Context</w:t>
            </w:r>
          </w:p>
        </w:tc>
      </w:tr>
      <w:tr>
        <w:tc>
          <w:tcPr>
            <w:tcW w:type="dxa" w:w="3216"/>
            <w:tcMar>
              <w:top w:w="65" w:type="dxa"/>
              <w:bottom w:w="65" w:type="dxa"/>
              <w:left w:w="100" w:type="dxa"/>
              <w:right w:w="10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sz w:val="18"/>
              </w:rPr>
              <w:t>blynt Navy</w:t>
            </w:r>
          </w:p>
        </w:tc>
        <w:tc>
          <w:tcPr>
            <w:tcW w:type="dxa" w:w="3216"/>
            <w:tcMar>
              <w:top w:w="65" w:type="dxa"/>
              <w:bottom w:w="65" w:type="dxa"/>
              <w:left w:w="100" w:type="dxa"/>
              <w:right w:w="10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onsolas" w:hAnsi="Consolas"/>
                <w:color w:val="B42828"/>
                <w:sz w:val="18"/>
              </w:rPr>
              <w:t>#102654</w:t>
            </w:r>
            <w:r>
              <w:rPr>
                <w:rFonts w:ascii="Segoe UI" w:hAnsi="Segoe UI"/>
                <w:sz w:val="18"/>
              </w:rPr>
              <w:t xml:space="preserve"> / </w:t>
            </w:r>
            <w:r>
              <w:rPr>
                <w:rFonts w:ascii="Consolas" w:hAnsi="Consolas"/>
                <w:color w:val="B42828"/>
                <w:sz w:val="18"/>
              </w:rPr>
              <w:t>#162D5F</w:t>
            </w:r>
          </w:p>
        </w:tc>
        <w:tc>
          <w:tcPr>
            <w:tcW w:type="dxa" w:w="3216"/>
            <w:tcMar>
              <w:top w:w="65" w:type="dxa"/>
              <w:bottom w:w="65" w:type="dxa"/>
              <w:left w:w="100" w:type="dxa"/>
              <w:right w:w="10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Trust, stability, primary brand, headers, navigation.</w:t>
            </w:r>
          </w:p>
        </w:tc>
      </w:tr>
      <w:tr>
        <w:tc>
          <w:tcPr>
            <w:tcW w:type="dxa" w:w="3216"/>
            <w:tcMar>
              <w:top w:w="65" w:type="dxa"/>
              <w:bottom w:w="65" w:type="dxa"/>
              <w:left w:w="100" w:type="dxa"/>
              <w:right w:w="10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sz w:val="18"/>
              </w:rPr>
              <w:t>blynt Coral</w:t>
            </w:r>
          </w:p>
        </w:tc>
        <w:tc>
          <w:tcPr>
            <w:tcW w:type="dxa" w:w="3216"/>
            <w:tcMar>
              <w:top w:w="65" w:type="dxa"/>
              <w:bottom w:w="65" w:type="dxa"/>
              <w:left w:w="100" w:type="dxa"/>
              <w:right w:w="10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color w:val="B42828"/>
                <w:sz w:val="18"/>
              </w:rPr>
              <w:t>#FF7D6B</w:t>
            </w:r>
            <w:r>
              <w:rPr>
                <w:rFonts w:ascii="Segoe UI" w:hAnsi="Segoe UI"/>
                <w:sz w:val="18"/>
              </w:rPr>
              <w:t xml:space="preserve"> / </w:t>
            </w:r>
            <w:r>
              <w:rPr>
                <w:rFonts w:ascii="Consolas" w:hAnsi="Consolas"/>
                <w:color w:val="B42828"/>
                <w:sz w:val="18"/>
              </w:rPr>
              <w:t>#FF7F6C</w:t>
            </w:r>
          </w:p>
        </w:tc>
        <w:tc>
          <w:tcPr>
            <w:tcW w:type="dxa" w:w="3216"/>
            <w:tcMar>
              <w:top w:w="65" w:type="dxa"/>
              <w:bottom w:w="65" w:type="dxa"/>
              <w:left w:w="100" w:type="dxa"/>
              <w:right w:w="10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Brand warmth, highlights, primary action buttons.</w:t>
            </w:r>
          </w:p>
        </w:tc>
      </w:tr>
      <w:tr>
        <w:tc>
          <w:tcPr>
            <w:tcW w:type="dxa" w:w="3216"/>
            <w:tcMar>
              <w:top w:w="65" w:type="dxa"/>
              <w:bottom w:w="65" w:type="dxa"/>
              <w:left w:w="100" w:type="dxa"/>
              <w:right w:w="10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sz w:val="18"/>
              </w:rPr>
              <w:t>Deep Navy</w:t>
            </w:r>
          </w:p>
        </w:tc>
        <w:tc>
          <w:tcPr>
            <w:tcW w:type="dxa" w:w="3216"/>
            <w:tcMar>
              <w:top w:w="65" w:type="dxa"/>
              <w:bottom w:w="65" w:type="dxa"/>
              <w:left w:w="100" w:type="dxa"/>
              <w:right w:w="10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onsolas" w:hAnsi="Consolas"/>
                <w:color w:val="B42828"/>
                <w:sz w:val="18"/>
              </w:rPr>
              <w:t>#081A3B</w:t>
            </w:r>
          </w:p>
        </w:tc>
        <w:tc>
          <w:tcPr>
            <w:tcW w:type="dxa" w:w="3216"/>
            <w:tcMar>
              <w:top w:w="65" w:type="dxa"/>
              <w:bottom w:w="65" w:type="dxa"/>
              <w:left w:w="100" w:type="dxa"/>
              <w:right w:w="10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Primary dark surface, high-contrast text.</w:t>
            </w:r>
          </w:p>
        </w:tc>
      </w:tr>
      <w:tr>
        <w:tc>
          <w:tcPr>
            <w:tcW w:type="dxa" w:w="3216"/>
            <w:tcMar>
              <w:top w:w="65" w:type="dxa"/>
              <w:bottom w:w="65" w:type="dxa"/>
              <w:left w:w="100" w:type="dxa"/>
              <w:right w:w="10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sz w:val="18"/>
              </w:rPr>
              <w:t>Success</w:t>
            </w:r>
          </w:p>
        </w:tc>
        <w:tc>
          <w:tcPr>
            <w:tcW w:type="dxa" w:w="3216"/>
            <w:tcMar>
              <w:top w:w="65" w:type="dxa"/>
              <w:bottom w:w="65" w:type="dxa"/>
              <w:left w:w="100" w:type="dxa"/>
              <w:right w:w="10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color w:val="B42828"/>
                <w:sz w:val="18"/>
              </w:rPr>
              <w:t>#16A34A</w:t>
            </w:r>
            <w:r>
              <w:rPr>
                <w:rFonts w:ascii="Segoe UI" w:hAnsi="Segoe UI"/>
                <w:sz w:val="18"/>
              </w:rPr>
              <w:t xml:space="preserve"> / </w:t>
            </w:r>
            <w:r>
              <w:rPr>
                <w:rFonts w:ascii="Consolas" w:hAnsi="Consolas"/>
                <w:color w:val="B42828"/>
                <w:sz w:val="18"/>
              </w:rPr>
              <w:t>#10B981</w:t>
            </w:r>
          </w:p>
        </w:tc>
        <w:tc>
          <w:tcPr>
            <w:tcW w:type="dxa" w:w="3216"/>
            <w:tcMar>
              <w:top w:w="65" w:type="dxa"/>
              <w:bottom w:w="65" w:type="dxa"/>
              <w:left w:w="100" w:type="dxa"/>
              <w:right w:w="10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Positive financial state, balanced journal indicator.</w:t>
            </w:r>
          </w:p>
        </w:tc>
      </w:tr>
      <w:tr>
        <w:tc>
          <w:tcPr>
            <w:tcW w:type="dxa" w:w="3216"/>
            <w:tcMar>
              <w:top w:w="65" w:type="dxa"/>
              <w:bottom w:w="65" w:type="dxa"/>
              <w:left w:w="100" w:type="dxa"/>
              <w:right w:w="10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sz w:val="18"/>
              </w:rPr>
              <w:t>Warning</w:t>
            </w:r>
          </w:p>
        </w:tc>
        <w:tc>
          <w:tcPr>
            <w:tcW w:type="dxa" w:w="3216"/>
            <w:tcMar>
              <w:top w:w="65" w:type="dxa"/>
              <w:bottom w:w="65" w:type="dxa"/>
              <w:left w:w="100" w:type="dxa"/>
              <w:right w:w="10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onsolas" w:hAnsi="Consolas"/>
                <w:color w:val="B42828"/>
                <w:sz w:val="18"/>
              </w:rPr>
              <w:t>#F59E0B</w:t>
            </w:r>
          </w:p>
        </w:tc>
        <w:tc>
          <w:tcPr>
            <w:tcW w:type="dxa" w:w="3216"/>
            <w:tcMar>
              <w:top w:w="65" w:type="dxa"/>
              <w:bottom w:w="65" w:type="dxa"/>
              <w:left w:w="100" w:type="dxa"/>
              <w:right w:w="10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Attention / near-risk, draft journals, soft-locked periods.</w:t>
            </w:r>
          </w:p>
        </w:tc>
      </w:tr>
      <w:tr>
        <w:tc>
          <w:tcPr>
            <w:tcW w:type="dxa" w:w="3216"/>
            <w:tcMar>
              <w:top w:w="65" w:type="dxa"/>
              <w:bottom w:w="65" w:type="dxa"/>
              <w:left w:w="100" w:type="dxa"/>
              <w:right w:w="10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sz w:val="18"/>
              </w:rPr>
              <w:t>Danger</w:t>
            </w:r>
          </w:p>
        </w:tc>
        <w:tc>
          <w:tcPr>
            <w:tcW w:type="dxa" w:w="3216"/>
            <w:tcMar>
              <w:top w:w="65" w:type="dxa"/>
              <w:bottom w:w="65" w:type="dxa"/>
              <w:left w:w="100" w:type="dxa"/>
              <w:right w:w="10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color w:val="B42828"/>
                <w:sz w:val="18"/>
              </w:rPr>
              <w:t>#DC2626</w:t>
            </w:r>
            <w:r>
              <w:rPr>
                <w:rFonts w:ascii="Segoe UI" w:hAnsi="Segoe UI"/>
                <w:sz w:val="18"/>
              </w:rPr>
              <w:t xml:space="preserve"> / </w:t>
            </w:r>
            <w:r>
              <w:rPr>
                <w:rFonts w:ascii="Consolas" w:hAnsi="Consolas"/>
                <w:color w:val="B42828"/>
                <w:sz w:val="18"/>
              </w:rPr>
              <w:t>#EF4444</w:t>
            </w:r>
          </w:p>
        </w:tc>
        <w:tc>
          <w:tcPr>
            <w:tcW w:type="dxa" w:w="3216"/>
            <w:tcMar>
              <w:top w:w="65" w:type="dxa"/>
              <w:bottom w:w="65" w:type="dxa"/>
              <w:left w:w="100" w:type="dxa"/>
              <w:right w:w="10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Errors, overdue balances, hard-locked periods, destructive actions.</w:t>
            </w:r>
          </w:p>
        </w:tc>
      </w:tr>
      <w:tr>
        <w:tc>
          <w:tcPr>
            <w:tcW w:type="dxa" w:w="3216"/>
            <w:tcMar>
              <w:top w:w="65" w:type="dxa"/>
              <w:bottom w:w="65" w:type="dxa"/>
              <w:left w:w="100" w:type="dxa"/>
              <w:right w:w="10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sz w:val="18"/>
              </w:rPr>
              <w:t>Info</w:t>
            </w:r>
          </w:p>
        </w:tc>
        <w:tc>
          <w:tcPr>
            <w:tcW w:type="dxa" w:w="3216"/>
            <w:tcMar>
              <w:top w:w="65" w:type="dxa"/>
              <w:bottom w:w="65" w:type="dxa"/>
              <w:left w:w="100" w:type="dxa"/>
              <w:right w:w="10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onsolas" w:hAnsi="Consolas"/>
                <w:color w:val="B42828"/>
                <w:sz w:val="18"/>
              </w:rPr>
              <w:t>#2563EB</w:t>
            </w:r>
          </w:p>
        </w:tc>
        <w:tc>
          <w:tcPr>
            <w:tcW w:type="dxa" w:w="3216"/>
            <w:tcMar>
              <w:top w:w="65" w:type="dxa"/>
              <w:bottom w:w="65" w:type="dxa"/>
              <w:left w:w="100" w:type="dxa"/>
              <w:right w:w="10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Informational state, active filters, selected tabs.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EEF2F9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i/>
                <w:color w:val="162D5F"/>
                <w:sz w:val="19"/>
              </w:rPr>
              <w:t>Rule: Coral is a brand colour, not a financial success colour. Green is reserved for positive financial status; red is reserved for genuine problems or destructive actions.</w:t>
            </w:r>
          </w:p>
        </w:tc>
      </w:tr>
    </w:tbl>
    <w:p>
      <w:pPr>
        <w:spacing w:after="80"/>
      </w:pPr>
    </w:p>
    <w:p>
      <w:pPr>
        <w:spacing w:after="120"/>
      </w:pPr>
    </w:p>
    <w:p>
      <w:pPr>
        <w:pStyle w:val="Heading1"/>
        <w:spacing w:before="320" w:after="120"/>
      </w:pPr>
      <w:r>
        <w:rPr>
          <w:rFonts w:ascii="Segoe UI" w:hAnsi="Segoe UI"/>
          <w:b/>
          <w:color w:val="162D5F"/>
          <w:sz w:val="34"/>
        </w:rPr>
        <w:t>3. Current State Baseline</w:t>
      </w:r>
    </w:p>
    <w:p>
      <w:pPr>
        <w:pStyle w:val="Heading2"/>
        <w:spacing w:before="240" w:after="80"/>
      </w:pPr>
      <w:r>
        <w:rPr>
          <w:rFonts w:ascii="Segoe UI" w:hAnsi="Segoe UI"/>
          <w:b/>
          <w:color w:val="FF7F6C"/>
          <w:sz w:val="26"/>
        </w:rPr>
        <w:t>3.1 Verified Runtime Baseline</w:t>
      </w:r>
    </w:p>
    <w:p>
      <w:pPr>
        <w:spacing w:before="40" w:after="80" w:line="276" w:lineRule="auto"/>
      </w:pPr>
      <w:r>
        <w:rPr>
          <w:rFonts w:ascii="Segoe UI" w:hAnsi="Segoe UI"/>
        </w:rPr>
        <w:t>The platform has been audited directly against the active test execution pipeline: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tcMar>
              <w:top w:w="65" w:type="dxa"/>
              <w:bottom w:w="65" w:type="dxa"/>
              <w:left w:w="100" w:type="dxa"/>
              <w:right w:w="100" w:type="dxa"/>
            </w:tcMar>
            <w:shd w:fill="162D5F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Area</w:t>
            </w:r>
          </w:p>
        </w:tc>
        <w:tc>
          <w:tcPr>
            <w:tcW w:type="dxa" w:w="3216"/>
            <w:tcMar>
              <w:top w:w="65" w:type="dxa"/>
              <w:bottom w:w="65" w:type="dxa"/>
              <w:left w:w="100" w:type="dxa"/>
              <w:right w:w="100" w:type="dxa"/>
            </w:tcMar>
            <w:shd w:fill="162D5F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Result</w:t>
            </w:r>
          </w:p>
        </w:tc>
        <w:tc>
          <w:tcPr>
            <w:tcW w:type="dxa" w:w="3216"/>
            <w:tcMar>
              <w:top w:w="65" w:type="dxa"/>
              <w:bottom w:w="65" w:type="dxa"/>
              <w:left w:w="100" w:type="dxa"/>
              <w:right w:w="100" w:type="dxa"/>
            </w:tcMar>
            <w:shd w:fill="162D5F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Baseline Metric</w:t>
            </w:r>
          </w:p>
        </w:tc>
      </w:tr>
      <w:tr>
        <w:tc>
          <w:tcPr>
            <w:tcW w:type="dxa" w:w="3216"/>
            <w:tcMar>
              <w:top w:w="65" w:type="dxa"/>
              <w:bottom w:w="65" w:type="dxa"/>
              <w:left w:w="100" w:type="dxa"/>
              <w:right w:w="10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sz w:val="18"/>
              </w:rPr>
              <w:t>Unit &amp; Service Tests</w:t>
            </w:r>
          </w:p>
        </w:tc>
        <w:tc>
          <w:tcPr>
            <w:tcW w:type="dxa" w:w="3216"/>
            <w:tcMar>
              <w:top w:w="65" w:type="dxa"/>
              <w:bottom w:w="65" w:type="dxa"/>
              <w:left w:w="100" w:type="dxa"/>
              <w:right w:w="10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sz w:val="18"/>
              </w:rPr>
              <w:t>PASS</w:t>
            </w:r>
          </w:p>
        </w:tc>
        <w:tc>
          <w:tcPr>
            <w:tcW w:type="dxa" w:w="3216"/>
            <w:tcMar>
              <w:top w:w="65" w:type="dxa"/>
              <w:bottom w:w="65" w:type="dxa"/>
              <w:left w:w="100" w:type="dxa"/>
              <w:right w:w="10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26 test suites; 127/127 tests passing</w:t>
            </w:r>
          </w:p>
        </w:tc>
      </w:tr>
      <w:tr>
        <w:tc>
          <w:tcPr>
            <w:tcW w:type="dxa" w:w="3216"/>
            <w:tcMar>
              <w:top w:w="65" w:type="dxa"/>
              <w:bottom w:w="65" w:type="dxa"/>
              <w:left w:w="100" w:type="dxa"/>
              <w:right w:w="10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sz w:val="18"/>
              </w:rPr>
              <w:t>E2E &amp; Integration Tests</w:t>
            </w:r>
          </w:p>
        </w:tc>
        <w:tc>
          <w:tcPr>
            <w:tcW w:type="dxa" w:w="3216"/>
            <w:tcMar>
              <w:top w:w="65" w:type="dxa"/>
              <w:bottom w:w="65" w:type="dxa"/>
              <w:left w:w="100" w:type="dxa"/>
              <w:right w:w="10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sz w:val="18"/>
              </w:rPr>
              <w:t>PASS</w:t>
            </w:r>
          </w:p>
        </w:tc>
        <w:tc>
          <w:tcPr>
            <w:tcW w:type="dxa" w:w="3216"/>
            <w:tcMar>
              <w:top w:w="65" w:type="dxa"/>
              <w:bottom w:w="65" w:type="dxa"/>
              <w:left w:w="100" w:type="dxa"/>
              <w:right w:w="10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5 suites; 72/72 integration tests passing</w:t>
            </w:r>
          </w:p>
        </w:tc>
      </w:tr>
      <w:tr>
        <w:tc>
          <w:tcPr>
            <w:tcW w:type="dxa" w:w="3216"/>
            <w:tcMar>
              <w:top w:w="65" w:type="dxa"/>
              <w:bottom w:w="65" w:type="dxa"/>
              <w:left w:w="100" w:type="dxa"/>
              <w:right w:w="10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sz w:val="18"/>
              </w:rPr>
              <w:t>API Build</w:t>
            </w:r>
          </w:p>
        </w:tc>
        <w:tc>
          <w:tcPr>
            <w:tcW w:type="dxa" w:w="3216"/>
            <w:tcMar>
              <w:top w:w="65" w:type="dxa"/>
              <w:bottom w:w="65" w:type="dxa"/>
              <w:left w:w="100" w:type="dxa"/>
              <w:right w:w="10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sz w:val="18"/>
              </w:rPr>
              <w:t>PASS</w:t>
            </w:r>
          </w:p>
        </w:tc>
        <w:tc>
          <w:tcPr>
            <w:tcW w:type="dxa" w:w="3216"/>
            <w:tcMar>
              <w:top w:w="65" w:type="dxa"/>
              <w:bottom w:w="65" w:type="dxa"/>
              <w:left w:w="100" w:type="dxa"/>
              <w:right w:w="10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Prisma generate + NestJS 11 build clean</w:t>
            </w:r>
          </w:p>
        </w:tc>
      </w:tr>
      <w:tr>
        <w:tc>
          <w:tcPr>
            <w:tcW w:type="dxa" w:w="3216"/>
            <w:tcMar>
              <w:top w:w="65" w:type="dxa"/>
              <w:bottom w:w="65" w:type="dxa"/>
              <w:left w:w="100" w:type="dxa"/>
              <w:right w:w="10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sz w:val="18"/>
              </w:rPr>
              <w:t>Web Client Build</w:t>
            </w:r>
          </w:p>
        </w:tc>
        <w:tc>
          <w:tcPr>
            <w:tcW w:type="dxa" w:w="3216"/>
            <w:tcMar>
              <w:top w:w="65" w:type="dxa"/>
              <w:bottom w:w="65" w:type="dxa"/>
              <w:left w:w="100" w:type="dxa"/>
              <w:right w:w="10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sz w:val="18"/>
              </w:rPr>
              <w:t>PASS</w:t>
            </w:r>
          </w:p>
        </w:tc>
        <w:tc>
          <w:tcPr>
            <w:tcW w:type="dxa" w:w="3216"/>
            <w:tcMar>
              <w:top w:w="65" w:type="dxa"/>
              <w:bottom w:w="65" w:type="dxa"/>
              <w:left w:w="100" w:type="dxa"/>
              <w:right w:w="10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Next.js 15 App Router (28 routes compiled via Turbopack)</w:t>
            </w:r>
          </w:p>
        </w:tc>
      </w:tr>
      <w:tr>
        <w:tc>
          <w:tcPr>
            <w:tcW w:type="dxa" w:w="3216"/>
            <w:tcMar>
              <w:top w:w="65" w:type="dxa"/>
              <w:bottom w:w="65" w:type="dxa"/>
              <w:left w:w="100" w:type="dxa"/>
              <w:right w:w="10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sz w:val="18"/>
              </w:rPr>
              <w:t>Lint &amp; Typecheck</w:t>
            </w:r>
          </w:p>
        </w:tc>
        <w:tc>
          <w:tcPr>
            <w:tcW w:type="dxa" w:w="3216"/>
            <w:tcMar>
              <w:top w:w="65" w:type="dxa"/>
              <w:bottom w:w="65" w:type="dxa"/>
              <w:left w:w="100" w:type="dxa"/>
              <w:right w:w="10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sz w:val="18"/>
              </w:rPr>
              <w:t>PASS</w:t>
            </w:r>
          </w:p>
        </w:tc>
        <w:tc>
          <w:tcPr>
            <w:tcW w:type="dxa" w:w="3216"/>
            <w:tcMar>
              <w:top w:w="65" w:type="dxa"/>
              <w:bottom w:w="65" w:type="dxa"/>
              <w:left w:w="100" w:type="dxa"/>
              <w:right w:w="10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0 TypeScript errors in inspected audit</w:t>
            </w:r>
          </w:p>
        </w:tc>
      </w:tr>
    </w:tbl>
    <w:p>
      <w:pPr>
        <w:spacing w:after="80"/>
      </w:pPr>
    </w:p>
    <w:p>
      <w:pPr>
        <w:pStyle w:val="Heading2"/>
        <w:spacing w:before="240" w:after="80"/>
      </w:pPr>
      <w:r>
        <w:rPr>
          <w:rFonts w:ascii="Segoe UI" w:hAnsi="Segoe UI"/>
          <w:b/>
          <w:color w:val="FF7F6C"/>
          <w:sz w:val="26"/>
        </w:rPr>
        <w:t>3.2 Implemented Foundations</w:t>
      </w:r>
    </w:p>
    <w:p>
      <w:pPr>
        <w:pStyle w:val="ListBullet"/>
        <w:spacing w:before="20" w:after="40"/>
      </w:pPr>
      <w:r>
        <w:rPr>
          <w:rFonts w:ascii="Segoe UI" w:hAnsi="Segoe UI"/>
        </w:rPr>
        <w:t>Central posting engine with debit/credit validation.</w:t>
      </w:r>
    </w:p>
    <w:p>
      <w:pPr>
        <w:pStyle w:val="ListBullet"/>
        <w:spacing w:before="20" w:after="40"/>
      </w:pPr>
      <w:r>
        <w:rPr>
          <w:rFonts w:ascii="Segoe UI" w:hAnsi="Segoe UI"/>
        </w:rPr>
        <w:t>Posted journal immutability and reversal linkage.</w:t>
      </w:r>
    </w:p>
    <w:p>
      <w:pPr>
        <w:pStyle w:val="ListBullet"/>
        <w:spacing w:before="20" w:after="40"/>
      </w:pPr>
      <w:r>
        <w:rPr>
          <w:rFonts w:ascii="Segoe UI" w:hAnsi="Segoe UI"/>
        </w:rPr>
        <w:t>Hierarchical Chart of Accounts and account controls.</w:t>
      </w:r>
    </w:p>
    <w:p>
      <w:pPr>
        <w:pStyle w:val="ListBullet"/>
        <w:spacing w:before="20" w:after="40"/>
      </w:pPr>
      <w:r>
        <w:rPr>
          <w:rFonts w:ascii="Segoe UI" w:hAnsi="Segoe UI"/>
        </w:rPr>
        <w:t xml:space="preserve">Financial years, </w:t>
      </w:r>
      <w:r>
        <w:rPr>
          <w:rFonts w:ascii="Consolas" w:hAnsi="Consolas"/>
          <w:color w:val="B42828"/>
          <w:sz w:val="19"/>
        </w:rPr>
        <w:t>OPEN</w:t>
      </w:r>
      <w:r>
        <w:rPr>
          <w:rFonts w:ascii="Segoe UI" w:hAnsi="Segoe UI"/>
        </w:rPr>
        <w:t xml:space="preserve"> / </w:t>
      </w:r>
      <w:r>
        <w:rPr>
          <w:rFonts w:ascii="Consolas" w:hAnsi="Consolas"/>
          <w:color w:val="B42828"/>
          <w:sz w:val="19"/>
        </w:rPr>
        <w:t>SOFT_LOCKED</w:t>
      </w:r>
      <w:r>
        <w:rPr>
          <w:rFonts w:ascii="Segoe UI" w:hAnsi="Segoe UI"/>
        </w:rPr>
        <w:t xml:space="preserve"> / </w:t>
      </w:r>
      <w:r>
        <w:rPr>
          <w:rFonts w:ascii="Consolas" w:hAnsi="Consolas"/>
          <w:color w:val="B42828"/>
          <w:sz w:val="19"/>
        </w:rPr>
        <w:t>HARD_LOCKED</w:t>
      </w:r>
      <w:r>
        <w:rPr>
          <w:rFonts w:ascii="Segoe UI" w:hAnsi="Segoe UI"/>
        </w:rPr>
        <w:t xml:space="preserve"> accounting periods.</w:t>
      </w:r>
    </w:p>
    <w:p>
      <w:pPr>
        <w:pStyle w:val="ListBullet"/>
        <w:spacing w:before="20" w:after="40"/>
      </w:pPr>
      <w:r>
        <w:rPr>
          <w:rFonts w:ascii="Segoe UI" w:hAnsi="Segoe UI"/>
        </w:rPr>
        <w:t>General Ledger and Trial Balance derived from posted journal lines.</w:t>
      </w:r>
    </w:p>
    <w:p>
      <w:pPr>
        <w:pStyle w:val="ListBullet"/>
        <w:spacing w:before="20" w:after="40"/>
      </w:pPr>
      <w:r>
        <w:rPr>
          <w:rFonts w:ascii="Segoe UI" w:hAnsi="Segoe UI"/>
        </w:rPr>
        <w:t>Multi-tenancy and RBAC with organisation scoping.</w:t>
      </w:r>
    </w:p>
    <w:p>
      <w:pPr>
        <w:pStyle w:val="ListBullet"/>
        <w:spacing w:before="20" w:after="40"/>
      </w:pPr>
      <w:r>
        <w:rPr>
          <w:rFonts w:ascii="Segoe UI" w:hAnsi="Segoe UI"/>
        </w:rPr>
        <w:t>Secure authentication lifecycle with device and session tracking.</w:t>
      </w:r>
    </w:p>
    <w:p>
      <w:pPr>
        <w:pStyle w:val="ListBullet"/>
        <w:spacing w:before="20" w:after="40"/>
      </w:pPr>
      <w:r>
        <w:rPr>
          <w:rFonts w:ascii="Consolas" w:hAnsi="Consolas"/>
          <w:color w:val="B42828"/>
          <w:sz w:val="19"/>
        </w:rPr>
        <w:t>AccountingIntegrityService</w:t>
      </w:r>
      <w:r>
        <w:rPr>
          <w:rFonts w:ascii="Segoe UI" w:hAnsi="Segoe UI"/>
        </w:rPr>
        <w:t xml:space="preserve"> controls for balance, trial balance, tenant leaks, duplicates, orphans, locks and reversal integrity.</w:t>
      </w:r>
    </w:p>
    <w:p>
      <w:pPr>
        <w:pStyle w:val="Heading2"/>
        <w:spacing w:before="240" w:after="80"/>
      </w:pPr>
      <w:r>
        <w:rPr>
          <w:rFonts w:ascii="Segoe UI" w:hAnsi="Segoe UI"/>
          <w:b/>
          <w:color w:val="FF7F6C"/>
          <w:sz w:val="26"/>
        </w:rPr>
        <w:t>3.3 Partial / Missing Capabilities</w:t>
      </w:r>
    </w:p>
    <w:p>
      <w:pPr>
        <w:spacing w:before="40" w:after="80" w:line="276" w:lineRule="auto"/>
      </w:pPr>
      <w:r>
        <w:rPr>
          <w:rFonts w:ascii="Segoe UI" w:hAnsi="Segoe UI"/>
        </w:rPr>
        <w:t>Contacts and Sales Invoices have useful foundations but require V2 completion. Customer payments, credit notes, AP, expenses, VAT, banking/reconciliation, extended reports, recurring transactions, multi-currency, documents, notifications, customer portal, public API, subscriptions, onboarding/import and AWS Terraform are planned across upcoming milestones.</w:t>
      </w:r>
    </w:p>
    <w:p>
      <w:pPr>
        <w:spacing w:after="120"/>
      </w:pPr>
    </w:p>
    <w:p>
      <w:pPr>
        <w:pStyle w:val="Heading1"/>
        <w:spacing w:before="320" w:after="120"/>
      </w:pPr>
      <w:r>
        <w:rPr>
          <w:rFonts w:ascii="Segoe UI" w:hAnsi="Segoe UI"/>
          <w:b/>
          <w:color w:val="162D5F"/>
          <w:sz w:val="34"/>
        </w:rPr>
        <w:t>4. Technical Stack Architecture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tcMar>
              <w:top w:w="65" w:type="dxa"/>
              <w:bottom w:w="65" w:type="dxa"/>
              <w:left w:w="100" w:type="dxa"/>
              <w:right w:w="100" w:type="dxa"/>
            </w:tcMar>
            <w:shd w:fill="162D5F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Layer</w:t>
            </w:r>
          </w:p>
        </w:tc>
        <w:tc>
          <w:tcPr>
            <w:tcW w:type="dxa" w:w="3216"/>
            <w:tcMar>
              <w:top w:w="65" w:type="dxa"/>
              <w:bottom w:w="65" w:type="dxa"/>
              <w:left w:w="100" w:type="dxa"/>
              <w:right w:w="100" w:type="dxa"/>
            </w:tcMar>
            <w:shd w:fill="162D5F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Technology</w:t>
            </w:r>
          </w:p>
        </w:tc>
        <w:tc>
          <w:tcPr>
            <w:tcW w:type="dxa" w:w="3216"/>
            <w:tcMar>
              <w:top w:w="65" w:type="dxa"/>
              <w:bottom w:w="65" w:type="dxa"/>
              <w:left w:w="100" w:type="dxa"/>
              <w:right w:w="100" w:type="dxa"/>
            </w:tcMar>
            <w:shd w:fill="162D5F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Purpose</w:t>
            </w:r>
          </w:p>
        </w:tc>
      </w:tr>
      <w:tr>
        <w:tc>
          <w:tcPr>
            <w:tcW w:type="dxa" w:w="3216"/>
            <w:tcMar>
              <w:top w:w="65" w:type="dxa"/>
              <w:bottom w:w="65" w:type="dxa"/>
              <w:left w:w="100" w:type="dxa"/>
              <w:right w:w="10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sz w:val="18"/>
              </w:rPr>
              <w:t>Frontend</w:t>
            </w:r>
          </w:p>
        </w:tc>
        <w:tc>
          <w:tcPr>
            <w:tcW w:type="dxa" w:w="3216"/>
            <w:tcMar>
              <w:top w:w="65" w:type="dxa"/>
              <w:bottom w:w="65" w:type="dxa"/>
              <w:left w:w="100" w:type="dxa"/>
              <w:right w:w="10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Next.js 15 + React 19 + TypeScript</w:t>
            </w:r>
          </w:p>
        </w:tc>
        <w:tc>
          <w:tcPr>
            <w:tcW w:type="dxa" w:w="3216"/>
            <w:tcMar>
              <w:top w:w="65" w:type="dxa"/>
              <w:bottom w:w="65" w:type="dxa"/>
              <w:left w:w="100" w:type="dxa"/>
              <w:right w:w="10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Routing, UI, server/client rendering, Turbopack</w:t>
            </w:r>
          </w:p>
        </w:tc>
      </w:tr>
      <w:tr>
        <w:tc>
          <w:tcPr>
            <w:tcW w:type="dxa" w:w="3216"/>
            <w:tcMar>
              <w:top w:w="65" w:type="dxa"/>
              <w:bottom w:w="65" w:type="dxa"/>
              <w:left w:w="100" w:type="dxa"/>
              <w:right w:w="10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sz w:val="18"/>
              </w:rPr>
              <w:t>Backend</w:t>
            </w:r>
          </w:p>
        </w:tc>
        <w:tc>
          <w:tcPr>
            <w:tcW w:type="dxa" w:w="3216"/>
            <w:tcMar>
              <w:top w:w="65" w:type="dxa"/>
              <w:bottom w:w="65" w:type="dxa"/>
              <w:left w:w="100" w:type="dxa"/>
              <w:right w:w="10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NestJS 11 + TypeScript</w:t>
            </w:r>
          </w:p>
        </w:tc>
        <w:tc>
          <w:tcPr>
            <w:tcW w:type="dxa" w:w="3216"/>
            <w:tcMar>
              <w:top w:w="65" w:type="dxa"/>
              <w:bottom w:w="65" w:type="dxa"/>
              <w:left w:w="100" w:type="dxa"/>
              <w:right w:w="10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API, domain and accounting services</w:t>
            </w:r>
          </w:p>
        </w:tc>
      </w:tr>
      <w:tr>
        <w:tc>
          <w:tcPr>
            <w:tcW w:type="dxa" w:w="3216"/>
            <w:tcMar>
              <w:top w:w="65" w:type="dxa"/>
              <w:bottom w:w="65" w:type="dxa"/>
              <w:left w:w="100" w:type="dxa"/>
              <w:right w:w="10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sz w:val="18"/>
              </w:rPr>
              <w:t>Database</w:t>
            </w:r>
          </w:p>
        </w:tc>
        <w:tc>
          <w:tcPr>
            <w:tcW w:type="dxa" w:w="3216"/>
            <w:tcMar>
              <w:top w:w="65" w:type="dxa"/>
              <w:bottom w:w="65" w:type="dxa"/>
              <w:left w:w="100" w:type="dxa"/>
              <w:right w:w="10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PostgreSQL 16+</w:t>
            </w:r>
          </w:p>
        </w:tc>
        <w:tc>
          <w:tcPr>
            <w:tcW w:type="dxa" w:w="3216"/>
            <w:tcMar>
              <w:top w:w="65" w:type="dxa"/>
              <w:bottom w:w="65" w:type="dxa"/>
              <w:left w:w="100" w:type="dxa"/>
              <w:right w:w="10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Financial system of record</w:t>
            </w:r>
          </w:p>
        </w:tc>
      </w:tr>
      <w:tr>
        <w:tc>
          <w:tcPr>
            <w:tcW w:type="dxa" w:w="3216"/>
            <w:tcMar>
              <w:top w:w="65" w:type="dxa"/>
              <w:bottom w:w="65" w:type="dxa"/>
              <w:left w:w="100" w:type="dxa"/>
              <w:right w:w="10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sz w:val="18"/>
              </w:rPr>
              <w:t>ORM</w:t>
            </w:r>
          </w:p>
        </w:tc>
        <w:tc>
          <w:tcPr>
            <w:tcW w:type="dxa" w:w="3216"/>
            <w:tcMar>
              <w:top w:w="65" w:type="dxa"/>
              <w:bottom w:w="65" w:type="dxa"/>
              <w:left w:w="100" w:type="dxa"/>
              <w:right w:w="10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Prisma</w:t>
            </w:r>
          </w:p>
        </w:tc>
        <w:tc>
          <w:tcPr>
            <w:tcW w:type="dxa" w:w="3216"/>
            <w:tcMar>
              <w:top w:w="65" w:type="dxa"/>
              <w:bottom w:w="65" w:type="dxa"/>
              <w:left w:w="100" w:type="dxa"/>
              <w:right w:w="10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Schema, migrations, type-safe database access</w:t>
            </w:r>
          </w:p>
        </w:tc>
      </w:tr>
      <w:tr>
        <w:tc>
          <w:tcPr>
            <w:tcW w:type="dxa" w:w="3216"/>
            <w:tcMar>
              <w:top w:w="65" w:type="dxa"/>
              <w:bottom w:w="65" w:type="dxa"/>
              <w:left w:w="100" w:type="dxa"/>
              <w:right w:w="10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sz w:val="18"/>
              </w:rPr>
              <w:t>Money</w:t>
            </w:r>
          </w:p>
        </w:tc>
        <w:tc>
          <w:tcPr>
            <w:tcW w:type="dxa" w:w="3216"/>
            <w:tcMar>
              <w:top w:w="65" w:type="dxa"/>
              <w:bottom w:w="65" w:type="dxa"/>
              <w:left w:w="100" w:type="dxa"/>
              <w:right w:w="10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onsolas" w:hAnsi="Consolas"/>
                <w:color w:val="B42828"/>
                <w:sz w:val="18"/>
              </w:rPr>
              <w:t>MoneyService</w:t>
            </w:r>
            <w:r>
              <w:rPr>
                <w:rFonts w:ascii="Segoe UI" w:hAnsi="Segoe UI"/>
                <w:sz w:val="18"/>
              </w:rPr>
              <w:t xml:space="preserve"> + </w:t>
            </w:r>
            <w:r>
              <w:rPr>
                <w:rFonts w:ascii="Consolas" w:hAnsi="Consolas"/>
                <w:color w:val="B42828"/>
                <w:sz w:val="18"/>
              </w:rPr>
              <w:t>Decimal.js</w:t>
            </w:r>
            <w:r>
              <w:rPr>
                <w:rFonts w:ascii="Segoe UI" w:hAnsi="Segoe UI"/>
                <w:sz w:val="18"/>
              </w:rPr>
              <w:t xml:space="preserve"> / Prisma Decimal</w:t>
            </w:r>
          </w:p>
        </w:tc>
        <w:tc>
          <w:tcPr>
            <w:tcW w:type="dxa" w:w="3216"/>
            <w:tcMar>
              <w:top w:w="65" w:type="dxa"/>
              <w:bottom w:w="65" w:type="dxa"/>
              <w:left w:w="100" w:type="dxa"/>
              <w:right w:w="10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Exact financial arithmetic, 4-decimal precision</w:t>
            </w:r>
          </w:p>
        </w:tc>
      </w:tr>
      <w:tr>
        <w:tc>
          <w:tcPr>
            <w:tcW w:type="dxa" w:w="3216"/>
            <w:tcMar>
              <w:top w:w="65" w:type="dxa"/>
              <w:bottom w:w="65" w:type="dxa"/>
              <w:left w:w="100" w:type="dxa"/>
              <w:right w:w="10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sz w:val="18"/>
              </w:rPr>
              <w:t>Auth</w:t>
            </w:r>
          </w:p>
        </w:tc>
        <w:tc>
          <w:tcPr>
            <w:tcW w:type="dxa" w:w="3216"/>
            <w:tcMar>
              <w:top w:w="65" w:type="dxa"/>
              <w:bottom w:w="65" w:type="dxa"/>
              <w:left w:w="100" w:type="dxa"/>
              <w:right w:w="10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Session tokens + device tracking</w:t>
            </w:r>
          </w:p>
        </w:tc>
        <w:tc>
          <w:tcPr>
            <w:tcW w:type="dxa" w:w="3216"/>
            <w:tcMar>
              <w:top w:w="65" w:type="dxa"/>
              <w:bottom w:w="65" w:type="dxa"/>
              <w:left w:w="100" w:type="dxa"/>
              <w:right w:w="10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Secure browser session authentication</w:t>
            </w:r>
          </w:p>
        </w:tc>
      </w:tr>
      <w:tr>
        <w:tc>
          <w:tcPr>
            <w:tcW w:type="dxa" w:w="3216"/>
            <w:tcMar>
              <w:top w:w="65" w:type="dxa"/>
              <w:bottom w:w="65" w:type="dxa"/>
              <w:left w:w="100" w:type="dxa"/>
              <w:right w:w="10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sz w:val="18"/>
              </w:rPr>
              <w:t>Passwords</w:t>
            </w:r>
          </w:p>
        </w:tc>
        <w:tc>
          <w:tcPr>
            <w:tcW w:type="dxa" w:w="3216"/>
            <w:tcMar>
              <w:top w:w="65" w:type="dxa"/>
              <w:bottom w:w="65" w:type="dxa"/>
              <w:left w:w="100" w:type="dxa"/>
              <w:right w:w="10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 xml:space="preserve">Node.js </w:t>
            </w:r>
            <w:r>
              <w:rPr>
                <w:rFonts w:ascii="Consolas" w:hAnsi="Consolas"/>
                <w:color w:val="B42828"/>
                <w:sz w:val="18"/>
              </w:rPr>
              <w:t>crypto.scrypt</w:t>
            </w:r>
          </w:p>
        </w:tc>
        <w:tc>
          <w:tcPr>
            <w:tcW w:type="dxa" w:w="3216"/>
            <w:tcMar>
              <w:top w:w="65" w:type="dxa"/>
              <w:bottom w:w="65" w:type="dxa"/>
              <w:left w:w="100" w:type="dxa"/>
              <w:right w:w="10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Credential hashing with timing-safe comparison</w:t>
            </w:r>
          </w:p>
        </w:tc>
      </w:tr>
      <w:tr>
        <w:tc>
          <w:tcPr>
            <w:tcW w:type="dxa" w:w="3216"/>
            <w:tcMar>
              <w:top w:w="65" w:type="dxa"/>
              <w:bottom w:w="65" w:type="dxa"/>
              <w:left w:w="100" w:type="dxa"/>
              <w:right w:w="10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sz w:val="18"/>
              </w:rPr>
              <w:t>Current Hosting</w:t>
            </w:r>
          </w:p>
        </w:tc>
        <w:tc>
          <w:tcPr>
            <w:tcW w:type="dxa" w:w="3216"/>
            <w:tcMar>
              <w:top w:w="65" w:type="dxa"/>
              <w:bottom w:w="65" w:type="dxa"/>
              <w:left w:w="100" w:type="dxa"/>
              <w:right w:w="10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Vercel / Render environment</w:t>
            </w:r>
          </w:p>
        </w:tc>
        <w:tc>
          <w:tcPr>
            <w:tcW w:type="dxa" w:w="3216"/>
            <w:tcMar>
              <w:top w:w="65" w:type="dxa"/>
              <w:bottom w:w="65" w:type="dxa"/>
              <w:left w:w="100" w:type="dxa"/>
              <w:right w:w="10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Temporary development environment</w:t>
            </w:r>
          </w:p>
        </w:tc>
      </w:tr>
      <w:tr>
        <w:tc>
          <w:tcPr>
            <w:tcW w:type="dxa" w:w="3216"/>
            <w:tcMar>
              <w:top w:w="65" w:type="dxa"/>
              <w:bottom w:w="65" w:type="dxa"/>
              <w:left w:w="100" w:type="dxa"/>
              <w:right w:w="10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sz w:val="18"/>
              </w:rPr>
              <w:t>Target Web</w:t>
            </w:r>
          </w:p>
        </w:tc>
        <w:tc>
          <w:tcPr>
            <w:tcW w:type="dxa" w:w="3216"/>
            <w:tcMar>
              <w:top w:w="65" w:type="dxa"/>
              <w:bottom w:w="65" w:type="dxa"/>
              <w:left w:w="100" w:type="dxa"/>
              <w:right w:w="10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AWS Amplify</w:t>
            </w:r>
          </w:p>
        </w:tc>
        <w:tc>
          <w:tcPr>
            <w:tcW w:type="dxa" w:w="3216"/>
            <w:tcMar>
              <w:top w:w="65" w:type="dxa"/>
              <w:bottom w:w="65" w:type="dxa"/>
              <w:left w:w="100" w:type="dxa"/>
              <w:right w:w="10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Managed Next.js production hosting</w:t>
            </w:r>
          </w:p>
        </w:tc>
      </w:tr>
      <w:tr>
        <w:tc>
          <w:tcPr>
            <w:tcW w:type="dxa" w:w="3216"/>
            <w:tcMar>
              <w:top w:w="65" w:type="dxa"/>
              <w:bottom w:w="65" w:type="dxa"/>
              <w:left w:w="100" w:type="dxa"/>
              <w:right w:w="10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sz w:val="18"/>
              </w:rPr>
              <w:t>Target API</w:t>
            </w:r>
          </w:p>
        </w:tc>
        <w:tc>
          <w:tcPr>
            <w:tcW w:type="dxa" w:w="3216"/>
            <w:tcMar>
              <w:top w:w="65" w:type="dxa"/>
              <w:bottom w:w="65" w:type="dxa"/>
              <w:left w:w="100" w:type="dxa"/>
              <w:right w:w="10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AWS App Runner</w:t>
            </w:r>
          </w:p>
        </w:tc>
        <w:tc>
          <w:tcPr>
            <w:tcW w:type="dxa" w:w="3216"/>
            <w:tcMar>
              <w:top w:w="65" w:type="dxa"/>
              <w:bottom w:w="65" w:type="dxa"/>
              <w:left w:w="100" w:type="dxa"/>
              <w:right w:w="10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NestJS container runtime</w:t>
            </w:r>
          </w:p>
        </w:tc>
      </w:tr>
      <w:tr>
        <w:tc>
          <w:tcPr>
            <w:tcW w:type="dxa" w:w="3216"/>
            <w:tcMar>
              <w:top w:w="65" w:type="dxa"/>
              <w:bottom w:w="65" w:type="dxa"/>
              <w:left w:w="100" w:type="dxa"/>
              <w:right w:w="10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sz w:val="18"/>
              </w:rPr>
              <w:t>Registry</w:t>
            </w:r>
          </w:p>
        </w:tc>
        <w:tc>
          <w:tcPr>
            <w:tcW w:type="dxa" w:w="3216"/>
            <w:tcMar>
              <w:top w:w="65" w:type="dxa"/>
              <w:bottom w:w="65" w:type="dxa"/>
              <w:left w:w="100" w:type="dxa"/>
              <w:right w:w="10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Amazon ECR</w:t>
            </w:r>
          </w:p>
        </w:tc>
        <w:tc>
          <w:tcPr>
            <w:tcW w:type="dxa" w:w="3216"/>
            <w:tcMar>
              <w:top w:w="65" w:type="dxa"/>
              <w:bottom w:w="65" w:type="dxa"/>
              <w:left w:w="100" w:type="dxa"/>
              <w:right w:w="10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Immutable container images</w:t>
            </w:r>
          </w:p>
        </w:tc>
      </w:tr>
      <w:tr>
        <w:tc>
          <w:tcPr>
            <w:tcW w:type="dxa" w:w="3216"/>
            <w:tcMar>
              <w:top w:w="65" w:type="dxa"/>
              <w:bottom w:w="65" w:type="dxa"/>
              <w:left w:w="100" w:type="dxa"/>
              <w:right w:w="10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sz w:val="18"/>
              </w:rPr>
              <w:t>Target DB</w:t>
            </w:r>
          </w:p>
        </w:tc>
        <w:tc>
          <w:tcPr>
            <w:tcW w:type="dxa" w:w="3216"/>
            <w:tcMar>
              <w:top w:w="65" w:type="dxa"/>
              <w:bottom w:w="65" w:type="dxa"/>
              <w:left w:w="100" w:type="dxa"/>
              <w:right w:w="10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Amazon RDS PostgreSQL</w:t>
            </w:r>
          </w:p>
        </w:tc>
        <w:tc>
          <w:tcPr>
            <w:tcW w:type="dxa" w:w="3216"/>
            <w:tcMar>
              <w:top w:w="65" w:type="dxa"/>
              <w:bottom w:w="65" w:type="dxa"/>
              <w:left w:w="100" w:type="dxa"/>
              <w:right w:w="10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Managed relational engine in eu-west-2</w:t>
            </w:r>
          </w:p>
        </w:tc>
      </w:tr>
      <w:tr>
        <w:tc>
          <w:tcPr>
            <w:tcW w:type="dxa" w:w="3216"/>
            <w:tcMar>
              <w:top w:w="65" w:type="dxa"/>
              <w:bottom w:w="65" w:type="dxa"/>
              <w:left w:w="100" w:type="dxa"/>
              <w:right w:w="10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sz w:val="18"/>
              </w:rPr>
              <w:t>Documents</w:t>
            </w:r>
          </w:p>
        </w:tc>
        <w:tc>
          <w:tcPr>
            <w:tcW w:type="dxa" w:w="3216"/>
            <w:tcMar>
              <w:top w:w="65" w:type="dxa"/>
              <w:bottom w:w="65" w:type="dxa"/>
              <w:left w:w="100" w:type="dxa"/>
              <w:right w:w="10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Amazon S3</w:t>
            </w:r>
          </w:p>
        </w:tc>
        <w:tc>
          <w:tcPr>
            <w:tcW w:type="dxa" w:w="3216"/>
            <w:tcMar>
              <w:top w:w="65" w:type="dxa"/>
              <w:bottom w:w="65" w:type="dxa"/>
              <w:left w:w="100" w:type="dxa"/>
              <w:right w:w="10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Private encrypted object storage</w:t>
            </w:r>
          </w:p>
        </w:tc>
      </w:tr>
      <w:tr>
        <w:tc>
          <w:tcPr>
            <w:tcW w:type="dxa" w:w="3216"/>
            <w:tcMar>
              <w:top w:w="65" w:type="dxa"/>
              <w:bottom w:w="65" w:type="dxa"/>
              <w:left w:w="100" w:type="dxa"/>
              <w:right w:w="10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sz w:val="18"/>
              </w:rPr>
              <w:t>Secrets</w:t>
            </w:r>
          </w:p>
        </w:tc>
        <w:tc>
          <w:tcPr>
            <w:tcW w:type="dxa" w:w="3216"/>
            <w:tcMar>
              <w:top w:w="65" w:type="dxa"/>
              <w:bottom w:w="65" w:type="dxa"/>
              <w:left w:w="100" w:type="dxa"/>
              <w:right w:w="10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AWS Secrets Manager / SSM</w:t>
            </w:r>
          </w:p>
        </w:tc>
        <w:tc>
          <w:tcPr>
            <w:tcW w:type="dxa" w:w="3216"/>
            <w:tcMar>
              <w:top w:w="65" w:type="dxa"/>
              <w:bottom w:w="65" w:type="dxa"/>
              <w:left w:w="100" w:type="dxa"/>
              <w:right w:w="10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Sensitive configuration parameter store</w:t>
            </w:r>
          </w:p>
        </w:tc>
      </w:tr>
      <w:tr>
        <w:tc>
          <w:tcPr>
            <w:tcW w:type="dxa" w:w="3216"/>
            <w:tcMar>
              <w:top w:w="65" w:type="dxa"/>
              <w:bottom w:w="65" w:type="dxa"/>
              <w:left w:w="100" w:type="dxa"/>
              <w:right w:w="10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sz w:val="18"/>
              </w:rPr>
              <w:t>Monitoring</w:t>
            </w:r>
          </w:p>
        </w:tc>
        <w:tc>
          <w:tcPr>
            <w:tcW w:type="dxa" w:w="3216"/>
            <w:tcMar>
              <w:top w:w="65" w:type="dxa"/>
              <w:bottom w:w="65" w:type="dxa"/>
              <w:left w:w="100" w:type="dxa"/>
              <w:right w:w="10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CloudWatch</w:t>
            </w:r>
          </w:p>
        </w:tc>
        <w:tc>
          <w:tcPr>
            <w:tcW w:type="dxa" w:w="3216"/>
            <w:tcMar>
              <w:top w:w="65" w:type="dxa"/>
              <w:bottom w:w="65" w:type="dxa"/>
              <w:left w:w="100" w:type="dxa"/>
              <w:right w:w="10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Centralized logs, metrics, alerts</w:t>
            </w:r>
          </w:p>
        </w:tc>
      </w:tr>
      <w:tr>
        <w:tc>
          <w:tcPr>
            <w:tcW w:type="dxa" w:w="3216"/>
            <w:tcMar>
              <w:top w:w="65" w:type="dxa"/>
              <w:bottom w:w="65" w:type="dxa"/>
              <w:left w:w="100" w:type="dxa"/>
              <w:right w:w="10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sz w:val="18"/>
              </w:rPr>
              <w:t>IaC</w:t>
            </w:r>
          </w:p>
        </w:tc>
        <w:tc>
          <w:tcPr>
            <w:tcW w:type="dxa" w:w="3216"/>
            <w:tcMar>
              <w:top w:w="65" w:type="dxa"/>
              <w:bottom w:w="65" w:type="dxa"/>
              <w:left w:w="100" w:type="dxa"/>
              <w:right w:w="10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Terraform</w:t>
            </w:r>
          </w:p>
        </w:tc>
        <w:tc>
          <w:tcPr>
            <w:tcW w:type="dxa" w:w="3216"/>
            <w:tcMar>
              <w:top w:w="65" w:type="dxa"/>
              <w:bottom w:w="65" w:type="dxa"/>
              <w:left w:w="100" w:type="dxa"/>
              <w:right w:w="10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Repeatable infrastructure provisioning</w:t>
            </w:r>
          </w:p>
        </w:tc>
      </w:tr>
      <w:tr>
        <w:tc>
          <w:tcPr>
            <w:tcW w:type="dxa" w:w="3216"/>
            <w:tcMar>
              <w:top w:w="65" w:type="dxa"/>
              <w:bottom w:w="65" w:type="dxa"/>
              <w:left w:w="100" w:type="dxa"/>
              <w:right w:w="10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sz w:val="18"/>
              </w:rPr>
              <w:t>CI/CD</w:t>
            </w:r>
          </w:p>
        </w:tc>
        <w:tc>
          <w:tcPr>
            <w:tcW w:type="dxa" w:w="3216"/>
            <w:tcMar>
              <w:top w:w="65" w:type="dxa"/>
              <w:bottom w:w="65" w:type="dxa"/>
              <w:left w:w="100" w:type="dxa"/>
              <w:right w:w="10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GitHub Actions + AWS OIDC</w:t>
            </w:r>
          </w:p>
        </w:tc>
        <w:tc>
          <w:tcPr>
            <w:tcW w:type="dxa" w:w="3216"/>
            <w:tcMar>
              <w:top w:w="65" w:type="dxa"/>
              <w:bottom w:w="65" w:type="dxa"/>
              <w:left w:w="100" w:type="dxa"/>
              <w:right w:w="10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Automated tests, builds, and deployment</w:t>
            </w:r>
          </w:p>
        </w:tc>
      </w:tr>
      <w:tr>
        <w:tc>
          <w:tcPr>
            <w:tcW w:type="dxa" w:w="3216"/>
            <w:tcMar>
              <w:top w:w="65" w:type="dxa"/>
              <w:bottom w:w="65" w:type="dxa"/>
              <w:left w:w="100" w:type="dxa"/>
              <w:right w:w="10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sz w:val="18"/>
              </w:rPr>
              <w:t>Region</w:t>
            </w:r>
          </w:p>
        </w:tc>
        <w:tc>
          <w:tcPr>
            <w:tcW w:type="dxa" w:w="3216"/>
            <w:tcMar>
              <w:top w:w="65" w:type="dxa"/>
              <w:bottom w:w="65" w:type="dxa"/>
              <w:left w:w="100" w:type="dxa"/>
              <w:right w:w="10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color w:val="B42828"/>
                <w:sz w:val="18"/>
              </w:rPr>
              <w:t>eu-west-2</w:t>
            </w:r>
            <w:r>
              <w:rPr>
                <w:rFonts w:ascii="Segoe UI" w:hAnsi="Segoe UI"/>
                <w:sz w:val="18"/>
              </w:rPr>
              <w:t xml:space="preserve"> (London)</w:t>
            </w:r>
          </w:p>
        </w:tc>
        <w:tc>
          <w:tcPr>
            <w:tcW w:type="dxa" w:w="3216"/>
            <w:tcMar>
              <w:top w:w="65" w:type="dxa"/>
              <w:bottom w:w="65" w:type="dxa"/>
              <w:left w:w="100" w:type="dxa"/>
              <w:right w:w="10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Primary UK data sovereignty region</w:t>
            </w:r>
          </w:p>
        </w:tc>
      </w:tr>
    </w:tbl>
    <w:p>
      <w:pPr>
        <w:spacing w:after="80"/>
      </w:pPr>
    </w:p>
    <w:p>
      <w:pPr>
        <w:spacing w:after="120"/>
      </w:pPr>
    </w:p>
    <w:p>
      <w:pPr>
        <w:pStyle w:val="Heading1"/>
        <w:spacing w:before="320" w:after="120"/>
      </w:pPr>
      <w:r>
        <w:rPr>
          <w:rFonts w:ascii="Segoe UI" w:hAnsi="Segoe UI"/>
          <w:b/>
          <w:color w:val="162D5F"/>
          <w:sz w:val="34"/>
        </w:rPr>
        <w:t>5. System Architecture</w:t>
      </w:r>
    </w:p>
    <w:p>
      <w:pPr>
        <w:pStyle w:val="Heading2"/>
        <w:spacing w:before="240" w:after="80"/>
      </w:pPr>
      <w:r>
        <w:rPr>
          <w:rFonts w:ascii="Segoe UI" w:hAnsi="Segoe UI"/>
          <w:b/>
          <w:color w:val="FF7F6C"/>
          <w:sz w:val="26"/>
        </w:rPr>
        <w:t>5.1 Modular Monolith</w:t>
      </w:r>
    </w:p>
    <w:p>
      <w:pPr>
        <w:spacing w:before="40" w:after="80" w:line="276" w:lineRule="auto"/>
      </w:pPr>
      <w:r>
        <w:rPr>
          <w:rFonts w:ascii="Segoe UI" w:hAnsi="Segoe UI"/>
        </w:rPr>
        <w:t>blynt should remain a modular monolith while the product is early. Domain modules share common authentication, permissions, accounting and persistence infrastructure. Microservices should not be introduced without a demonstrated scaling or organisational need.</w:t>
      </w:r>
    </w:p>
    <w:p>
      <w:pPr>
        <w:spacing w:before="2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161631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1_system_architectu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6163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Segoe UI" w:hAnsi="Segoe UI"/>
          <w:i/>
          <w:color w:val="475569"/>
          <w:sz w:val="18"/>
        </w:rPr>
        <w:t>Figure 1 - High-level Blynt system architecture</w:t>
      </w:r>
    </w:p>
    <w:p>
      <w:pPr>
        <w:pStyle w:val="Heading2"/>
        <w:spacing w:before="240" w:after="80"/>
      </w:pPr>
      <w:r>
        <w:rPr>
          <w:rFonts w:ascii="Segoe UI" w:hAnsi="Segoe UI"/>
          <w:b/>
          <w:color w:val="FF7F6C"/>
          <w:sz w:val="26"/>
        </w:rPr>
        <w:t>5.2 Data Authority</w:t>
      </w:r>
    </w:p>
    <w:p>
      <w:pPr>
        <w:spacing w:before="40" w:after="80" w:line="276" w:lineRule="auto"/>
      </w:pPr>
      <w:r>
        <w:rPr>
          <w:rFonts w:ascii="Segoe UI" w:hAnsi="Segoe UI"/>
        </w:rPr>
        <w:t>The backend is authoritative for tax, posting eligibility, balances, invoice/payment status, accounting periods and reports. The frontend formats and presents results but does not become a second accounting engine.</w:t>
      </w:r>
    </w:p>
    <w:p>
      <w:pPr>
        <w:spacing w:after="120"/>
      </w:pPr>
    </w:p>
    <w:p>
      <w:pPr>
        <w:pStyle w:val="Heading1"/>
        <w:spacing w:before="320" w:after="120"/>
      </w:pPr>
      <w:r>
        <w:rPr>
          <w:rFonts w:ascii="Segoe UI" w:hAnsi="Segoe UI"/>
          <w:b/>
          <w:color w:val="162D5F"/>
          <w:sz w:val="34"/>
        </w:rPr>
        <w:t>6. Accounting Architecture</w:t>
      </w:r>
    </w:p>
    <w:p>
      <w:pPr>
        <w:pStyle w:val="Heading2"/>
        <w:spacing w:before="240" w:after="80"/>
      </w:pPr>
      <w:r>
        <w:rPr>
          <w:rFonts w:ascii="Segoe UI" w:hAnsi="Segoe UI"/>
          <w:b/>
          <w:color w:val="FF7F6C"/>
          <w:sz w:val="26"/>
        </w:rPr>
        <w:t>6.1 Posting Model</w:t>
      </w:r>
    </w:p>
    <w:p>
      <w:pPr>
        <w:spacing w:before="2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538511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3_central_posting_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3851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Segoe UI" w:hAnsi="Segoe UI"/>
          <w:i/>
          <w:color w:val="475569"/>
          <w:sz w:val="18"/>
        </w:rPr>
        <w:t>Figure 3 - Central accounting posting flow</w:t>
      </w:r>
    </w:p>
    <w:p>
      <w:pPr>
        <w:spacing w:before="40" w:after="80" w:line="276" w:lineRule="auto"/>
      </w:pPr>
      <w:r>
        <w:rPr>
          <w:rFonts w:ascii="Segoe UI" w:hAnsi="Segoe UI"/>
        </w:rPr>
        <w:t>All transactions follow a strict pipeline:</w:t>
      </w:r>
    </w:p>
    <w:p>
      <w:pPr>
        <w:pStyle w:val="ListNumber"/>
        <w:spacing w:before="20" w:after="40"/>
      </w:pPr>
      <w:r>
        <w:rPr>
          <w:rFonts w:ascii="Consolas" w:hAnsi="Consolas"/>
          <w:color w:val="B42828"/>
          <w:sz w:val="19"/>
        </w:rPr>
        <w:t>Business Event</w:t>
      </w:r>
      <w:r>
        <w:rPr>
          <w:rFonts w:ascii="Segoe UI" w:hAnsi="Segoe UI"/>
        </w:rPr>
        <w:t xml:space="preserve"> (Invoice, Payment, Bill, Expense) is mapped to an </w:t>
      </w:r>
      <w:r>
        <w:rPr>
          <w:rFonts w:ascii="Consolas" w:hAnsi="Consolas"/>
          <w:color w:val="B42828"/>
          <w:sz w:val="19"/>
        </w:rPr>
        <w:t>Accounting Event</w:t>
      </w:r>
      <w:r>
        <w:rPr>
          <w:rFonts w:ascii="Segoe UI" w:hAnsi="Segoe UI"/>
        </w:rPr>
        <w:t>.</w:t>
      </w:r>
    </w:p>
    <w:p>
      <w:pPr>
        <w:pStyle w:val="ListNumber"/>
        <w:spacing w:before="20" w:after="40"/>
      </w:pPr>
      <w:r>
        <w:rPr>
          <w:rFonts w:ascii="Segoe UI" w:hAnsi="Segoe UI"/>
        </w:rPr>
        <w:t xml:space="preserve">Passed to </w:t>
      </w:r>
      <w:r>
        <w:rPr>
          <w:rFonts w:ascii="Consolas" w:hAnsi="Consolas"/>
          <w:color w:val="B42828"/>
          <w:sz w:val="19"/>
        </w:rPr>
        <w:t>JournalPostingService</w:t>
      </w:r>
      <w:r>
        <w:rPr>
          <w:rFonts w:ascii="Segoe UI" w:hAnsi="Segoe UI"/>
        </w:rPr>
        <w:t xml:space="preserve"> (Central Posting Engine).</w:t>
      </w:r>
    </w:p>
    <w:p>
      <w:pPr>
        <w:pStyle w:val="ListNumber"/>
        <w:spacing w:before="20" w:after="40"/>
      </w:pPr>
      <w:r>
        <w:rPr>
          <w:rFonts w:ascii="Segoe UI" w:hAnsi="Segoe UI"/>
        </w:rPr>
        <w:t>The engine evaluates validation criteria: accounting period status, user permissions, active account codes, and balance equality (</w:t>
      </w:r>
      <w:r>
        <w:rPr>
          <w:rFonts w:ascii="Consolas" w:hAnsi="Consolas"/>
          <w:color w:val="B42828"/>
          <w:sz w:val="19"/>
        </w:rPr>
        <w:t>Debits == Credits</w:t>
      </w:r>
      <w:r>
        <w:rPr>
          <w:rFonts w:ascii="Segoe UI" w:hAnsi="Segoe UI"/>
        </w:rPr>
        <w:t>).</w:t>
      </w:r>
    </w:p>
    <w:p>
      <w:pPr>
        <w:pStyle w:val="ListNumber"/>
        <w:spacing w:before="20" w:after="40"/>
      </w:pPr>
      <w:r>
        <w:rPr>
          <w:rFonts w:ascii="Segoe UI" w:hAnsi="Segoe UI"/>
        </w:rPr>
        <w:t xml:space="preserve">If valid, transitions to </w:t>
      </w:r>
      <w:r>
        <w:rPr>
          <w:rFonts w:ascii="Consolas" w:hAnsi="Consolas"/>
          <w:color w:val="B42828"/>
          <w:sz w:val="19"/>
        </w:rPr>
        <w:t>POSTED Journal</w:t>
      </w:r>
      <w:r>
        <w:rPr>
          <w:rFonts w:ascii="Segoe UI" w:hAnsi="Segoe UI"/>
        </w:rPr>
        <w:t xml:space="preserve"> and commits </w:t>
      </w:r>
      <w:r>
        <w:rPr>
          <w:rFonts w:ascii="Consolas" w:hAnsi="Consolas"/>
          <w:color w:val="B42828"/>
          <w:sz w:val="19"/>
        </w:rPr>
        <w:t>Journal Lines</w:t>
      </w:r>
      <w:r>
        <w:rPr>
          <w:rFonts w:ascii="Segoe UI" w:hAnsi="Segoe UI"/>
        </w:rPr>
        <w:t xml:space="preserve"> into the </w:t>
      </w:r>
      <w:r>
        <w:rPr>
          <w:rFonts w:ascii="Consolas" w:hAnsi="Consolas"/>
          <w:color w:val="B42828"/>
          <w:sz w:val="19"/>
        </w:rPr>
        <w:t>General Ledger</w:t>
      </w:r>
      <w:r>
        <w:rPr>
          <w:rFonts w:ascii="Segoe UI" w:hAnsi="Segoe UI"/>
        </w:rPr>
        <w:t>.</w:t>
      </w:r>
    </w:p>
    <w:p>
      <w:pPr>
        <w:pStyle w:val="ListNumber"/>
        <w:spacing w:before="20" w:after="40"/>
      </w:pPr>
      <w:r>
        <w:rPr>
          <w:rFonts w:ascii="Segoe UI" w:hAnsi="Segoe UI"/>
        </w:rPr>
        <w:t>If invalid, the transaction is rejected and returns a stable domain error without touching ledger balances.</w:t>
      </w:r>
    </w:p>
    <w:p>
      <w:pPr>
        <w:pStyle w:val="Heading2"/>
        <w:spacing w:before="240" w:after="80"/>
      </w:pPr>
      <w:r>
        <w:rPr>
          <w:rFonts w:ascii="Segoe UI" w:hAnsi="Segoe UI"/>
          <w:b/>
          <w:color w:val="FF7F6C"/>
          <w:sz w:val="26"/>
        </w:rPr>
        <w:t>6.2 Journal Lifecycle</w:t>
      </w:r>
    </w:p>
    <w:p>
      <w:pPr>
        <w:spacing w:before="2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94284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4_journal_lifecycl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9428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Segoe UI" w:hAnsi="Segoe UI"/>
          <w:i/>
          <w:color w:val="475569"/>
          <w:sz w:val="18"/>
        </w:rPr>
        <w:t>Figure 4 - Journal lifecycle and ledger impact</w:t>
      </w:r>
    </w:p>
    <w:p>
      <w:pPr>
        <w:pStyle w:val="ListBullet"/>
        <w:spacing w:before="20" w:after="40"/>
      </w:pPr>
      <w:r>
        <w:rPr>
          <w:rFonts w:ascii="Segoe UI" w:hAnsi="Segoe UI"/>
          <w:b/>
        </w:rPr>
        <w:t>`DRAFT`:</w:t>
      </w:r>
      <w:r>
        <w:rPr>
          <w:rFonts w:ascii="Segoe UI" w:hAnsi="Segoe UI"/>
        </w:rPr>
        <w:t xml:space="preserve"> No ledger impact. Can be edited or discarded.</w:t>
      </w:r>
    </w:p>
    <w:p>
      <w:pPr>
        <w:pStyle w:val="ListBullet"/>
        <w:spacing w:before="20" w:after="40"/>
      </w:pPr>
      <w:r>
        <w:rPr>
          <w:rFonts w:ascii="Segoe UI" w:hAnsi="Segoe UI"/>
          <w:b/>
        </w:rPr>
        <w:t>`VALIDATED`:</w:t>
      </w:r>
      <w:r>
        <w:rPr>
          <w:rFonts w:ascii="Segoe UI" w:hAnsi="Segoe UI"/>
        </w:rPr>
        <w:t xml:space="preserve"> No ledger impact. Conforms to all 15 rules. Editing resets status to </w:t>
      </w:r>
      <w:r>
        <w:rPr>
          <w:rFonts w:ascii="Consolas" w:hAnsi="Consolas"/>
          <w:color w:val="B42828"/>
          <w:sz w:val="19"/>
        </w:rPr>
        <w:t>DRAFT</w:t>
      </w:r>
      <w:r>
        <w:rPr>
          <w:rFonts w:ascii="Segoe UI" w:hAnsi="Segoe UI"/>
        </w:rPr>
        <w:t>.</w:t>
      </w:r>
    </w:p>
    <w:p>
      <w:pPr>
        <w:pStyle w:val="ListBullet"/>
        <w:spacing w:before="20" w:after="40"/>
      </w:pPr>
      <w:r>
        <w:rPr>
          <w:rFonts w:ascii="Segoe UI" w:hAnsi="Segoe UI"/>
          <w:b/>
        </w:rPr>
        <w:t>`POSTED`:</w:t>
      </w:r>
      <w:r>
        <w:rPr>
          <w:rFonts w:ascii="Segoe UI" w:hAnsi="Segoe UI"/>
        </w:rPr>
        <w:t xml:space="preserve"> Active ledger impact. Immutable.</w:t>
      </w:r>
    </w:p>
    <w:p>
      <w:pPr>
        <w:pStyle w:val="ListBullet"/>
        <w:spacing w:before="20" w:after="40"/>
      </w:pPr>
      <w:r>
        <w:rPr>
          <w:rFonts w:ascii="Segoe UI" w:hAnsi="Segoe UI"/>
          <w:b/>
        </w:rPr>
        <w:t>`REVERSED`:</w:t>
      </w:r>
      <w:r>
        <w:rPr>
          <w:rFonts w:ascii="Segoe UI" w:hAnsi="Segoe UI"/>
        </w:rPr>
        <w:t xml:space="preserve"> Preserves history by generating an equal and opposite balancing journal.</w:t>
      </w:r>
    </w:p>
    <w:p>
      <w:pPr>
        <w:pStyle w:val="Heading2"/>
        <w:spacing w:before="240" w:after="80"/>
      </w:pPr>
      <w:r>
        <w:rPr>
          <w:rFonts w:ascii="Segoe UI" w:hAnsi="Segoe UI"/>
          <w:b/>
          <w:color w:val="FF7F6C"/>
          <w:sz w:val="26"/>
        </w:rPr>
        <w:t>6.3 Sales Invoice Posting</w:t>
      </w:r>
    </w:p>
    <w:p>
      <w:pPr>
        <w:spacing w:before="2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212140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5_sales_invoice_posting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1214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Segoe UI" w:hAnsi="Segoe UI"/>
          <w:i/>
          <w:color w:val="475569"/>
          <w:sz w:val="18"/>
        </w:rPr>
        <w:t>Figure 5 - Sales invoice accounting flow</w:t>
      </w:r>
    </w:p>
    <w:p>
      <w:pPr>
        <w:spacing w:before="40" w:after="80" w:line="276" w:lineRule="auto"/>
      </w:pPr>
      <w:r>
        <w:rPr>
          <w:rFonts w:ascii="Segoe UI" w:hAnsi="Segoe UI"/>
        </w:rPr>
        <w:t>Posting a sales invoice automatically triggers double-entry posting:</w:t>
      </w:r>
    </w:p>
    <w:p>
      <w:pPr>
        <w:pStyle w:val="ListBullet"/>
        <w:spacing w:before="20" w:after="40"/>
      </w:pPr>
      <w:r>
        <w:rPr>
          <w:rFonts w:ascii="Consolas" w:hAnsi="Consolas"/>
          <w:color w:val="B42828"/>
          <w:sz w:val="19"/>
        </w:rPr>
        <w:t>DR Accounts Receivable (1100)</w:t>
      </w:r>
      <w:r>
        <w:rPr>
          <w:rFonts w:ascii="Segoe UI" w:hAnsi="Segoe UI"/>
        </w:rPr>
        <w:t xml:space="preserve"> (tagged with </w:t>
      </w:r>
      <w:r>
        <w:rPr>
          <w:rFonts w:ascii="Consolas" w:hAnsi="Consolas"/>
          <w:color w:val="B42828"/>
          <w:sz w:val="19"/>
        </w:rPr>
        <w:t>contactId</w:t>
      </w:r>
      <w:r>
        <w:rPr>
          <w:rFonts w:ascii="Segoe UI" w:hAnsi="Segoe UI"/>
        </w:rPr>
        <w:t>)</w:t>
      </w:r>
    </w:p>
    <w:p>
      <w:pPr>
        <w:pStyle w:val="ListBullet"/>
        <w:spacing w:before="20" w:after="40"/>
      </w:pPr>
      <w:r>
        <w:rPr>
          <w:rFonts w:ascii="Consolas" w:hAnsi="Consolas"/>
          <w:color w:val="B42828"/>
          <w:sz w:val="19"/>
        </w:rPr>
        <w:t>CR Revenue (4000)</w:t>
      </w:r>
    </w:p>
    <w:p>
      <w:pPr>
        <w:pStyle w:val="ListBullet"/>
        <w:spacing w:before="20" w:after="40"/>
      </w:pPr>
      <w:r>
        <w:rPr>
          <w:rFonts w:ascii="Consolas" w:hAnsi="Consolas"/>
          <w:color w:val="B42828"/>
          <w:sz w:val="19"/>
        </w:rPr>
        <w:t>CR Output VAT (2100)</w:t>
      </w:r>
      <w:r>
        <w:rPr>
          <w:rFonts w:ascii="Segoe UI" w:hAnsi="Segoe UI"/>
        </w:rPr>
        <w:t xml:space="preserve"> (if applicable)</w:t>
      </w:r>
    </w:p>
    <w:p>
      <w:pPr>
        <w:pStyle w:val="ListBullet"/>
        <w:spacing w:before="20" w:after="40"/>
      </w:pPr>
      <w:r>
        <w:rPr>
          <w:rFonts w:ascii="Segoe UI" w:hAnsi="Segoe UI"/>
        </w:rPr>
        <w:t xml:space="preserve">Invoice transitions to </w:t>
      </w:r>
      <w:r>
        <w:rPr>
          <w:rFonts w:ascii="Consolas" w:hAnsi="Consolas"/>
          <w:color w:val="B42828"/>
          <w:sz w:val="19"/>
        </w:rPr>
        <w:t>POSTED</w:t>
      </w:r>
      <w:r>
        <w:rPr>
          <w:rFonts w:ascii="Segoe UI" w:hAnsi="Segoe UI"/>
        </w:rPr>
        <w:t>.</w:t>
      </w:r>
    </w:p>
    <w:p>
      <w:pPr>
        <w:pStyle w:val="Heading2"/>
        <w:spacing w:before="240" w:after="80"/>
      </w:pPr>
      <w:r>
        <w:rPr>
          <w:rFonts w:ascii="Segoe UI" w:hAnsi="Segoe UI"/>
          <w:b/>
          <w:color w:val="FF7F6C"/>
          <w:sz w:val="26"/>
        </w:rPr>
        <w:t>6.4 Customer Payment Posting</w:t>
      </w:r>
    </w:p>
    <w:p>
      <w:pPr>
        <w:spacing w:before="2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14732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6_customer_payment_flow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47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Segoe UI" w:hAnsi="Segoe UI"/>
          <w:i/>
          <w:color w:val="475569"/>
          <w:sz w:val="18"/>
        </w:rPr>
        <w:t>Figure 6 - Customer payment allocation and accounting flow</w:t>
      </w:r>
    </w:p>
    <w:p>
      <w:pPr>
        <w:spacing w:before="40" w:after="80" w:line="276" w:lineRule="auto"/>
      </w:pPr>
      <w:r>
        <w:rPr>
          <w:rFonts w:ascii="Segoe UI" w:hAnsi="Segoe UI"/>
        </w:rPr>
        <w:t>When a customer pays:</w:t>
      </w:r>
    </w:p>
    <w:p>
      <w:pPr>
        <w:pStyle w:val="ListBullet"/>
        <w:spacing w:before="20" w:after="40"/>
      </w:pPr>
      <w:r>
        <w:rPr>
          <w:rFonts w:ascii="Segoe UI" w:hAnsi="Segoe UI"/>
        </w:rPr>
        <w:t xml:space="preserve">Updates authoritative invoice state to </w:t>
      </w:r>
      <w:r>
        <w:rPr>
          <w:rFonts w:ascii="Consolas" w:hAnsi="Consolas"/>
          <w:color w:val="B42828"/>
          <w:sz w:val="19"/>
        </w:rPr>
        <w:t>PARTIALLY_PAID</w:t>
      </w:r>
      <w:r>
        <w:rPr>
          <w:rFonts w:ascii="Segoe UI" w:hAnsi="Segoe UI"/>
        </w:rPr>
        <w:t xml:space="preserve"> or </w:t>
      </w:r>
      <w:r>
        <w:rPr>
          <w:rFonts w:ascii="Consolas" w:hAnsi="Consolas"/>
          <w:color w:val="B42828"/>
          <w:sz w:val="19"/>
        </w:rPr>
        <w:t>PAID</w:t>
      </w:r>
      <w:r>
        <w:rPr>
          <w:rFonts w:ascii="Segoe UI" w:hAnsi="Segoe UI"/>
        </w:rPr>
        <w:t>.</w:t>
      </w:r>
    </w:p>
    <w:p>
      <w:pPr>
        <w:pStyle w:val="ListBullet"/>
        <w:spacing w:before="20" w:after="40"/>
      </w:pPr>
      <w:r>
        <w:rPr>
          <w:rFonts w:ascii="Segoe UI" w:hAnsi="Segoe UI"/>
        </w:rPr>
        <w:t>Posts General Ledger entries:</w:t>
      </w:r>
    </w:p>
    <w:p>
      <w:pPr>
        <w:pStyle w:val="ListBullet"/>
        <w:spacing w:before="20" w:after="40"/>
      </w:pPr>
      <w:r>
        <w:rPr>
          <w:rFonts w:ascii="Consolas" w:hAnsi="Consolas"/>
          <w:color w:val="B42828"/>
          <w:sz w:val="19"/>
        </w:rPr>
        <w:t>DR Bank (1000)</w:t>
      </w:r>
    </w:p>
    <w:p>
      <w:pPr>
        <w:pStyle w:val="ListBullet"/>
        <w:spacing w:before="20" w:after="40"/>
      </w:pPr>
      <w:r>
        <w:rPr>
          <w:rFonts w:ascii="Consolas" w:hAnsi="Consolas"/>
          <w:color w:val="B42828"/>
          <w:sz w:val="19"/>
        </w:rPr>
        <w:t>CR Accounts Receivable (1100)</w:t>
      </w:r>
      <w:r>
        <w:rPr>
          <w:rFonts w:ascii="Segoe UI" w:hAnsi="Segoe UI"/>
        </w:rPr>
        <w:t xml:space="preserve"> (tagged with </w:t>
      </w:r>
      <w:r>
        <w:rPr>
          <w:rFonts w:ascii="Consolas" w:hAnsi="Consolas"/>
          <w:color w:val="B42828"/>
          <w:sz w:val="19"/>
        </w:rPr>
        <w:t>contactId</w:t>
      </w:r>
      <w:r>
        <w:rPr>
          <w:rFonts w:ascii="Segoe UI" w:hAnsi="Segoe UI"/>
        </w:rPr>
        <w:t>).</w:t>
      </w:r>
    </w:p>
    <w:p>
      <w:pPr>
        <w:pStyle w:val="Heading2"/>
        <w:spacing w:before="240" w:after="80"/>
      </w:pPr>
      <w:r>
        <w:rPr>
          <w:rFonts w:ascii="Segoe UI" w:hAnsi="Segoe UI"/>
          <w:b/>
          <w:color w:val="FF7F6C"/>
          <w:sz w:val="26"/>
        </w:rPr>
        <w:t>6.5 Accounting Invariants</w:t>
      </w:r>
    </w:p>
    <w:p>
      <w:pPr>
        <w:pStyle w:val="ListBullet"/>
        <w:spacing w:before="20" w:after="40"/>
      </w:pPr>
      <w:r>
        <w:rPr>
          <w:rFonts w:ascii="Segoe UI" w:hAnsi="Segoe UI"/>
        </w:rPr>
        <w:t>Total debits equal total credits for every posted journal.</w:t>
      </w:r>
    </w:p>
    <w:p>
      <w:pPr>
        <w:pStyle w:val="ListBullet"/>
        <w:spacing w:before="20" w:after="40"/>
      </w:pPr>
      <w:r>
        <w:rPr>
          <w:rFonts w:ascii="Segoe UI" w:hAnsi="Segoe UI"/>
        </w:rPr>
        <w:t>DRAFT and VALIDATED journals have no ledger impact.</w:t>
      </w:r>
    </w:p>
    <w:p>
      <w:pPr>
        <w:pStyle w:val="ListBullet"/>
        <w:spacing w:before="20" w:after="40"/>
      </w:pPr>
      <w:r>
        <w:rPr>
          <w:rFonts w:ascii="Segoe UI" w:hAnsi="Segoe UI"/>
        </w:rPr>
        <w:t>A POSTED journal affects the ledger exactly once.</w:t>
      </w:r>
    </w:p>
    <w:p>
      <w:pPr>
        <w:pStyle w:val="ListBullet"/>
        <w:spacing w:before="20" w:after="40"/>
      </w:pPr>
      <w:r>
        <w:rPr>
          <w:rFonts w:ascii="Segoe UI" w:hAnsi="Segoe UI"/>
        </w:rPr>
        <w:t>Posted journal headers and lines are immutable.</w:t>
      </w:r>
    </w:p>
    <w:p>
      <w:pPr>
        <w:pStyle w:val="ListBullet"/>
        <w:spacing w:before="20" w:after="40"/>
      </w:pPr>
      <w:r>
        <w:rPr>
          <w:rFonts w:ascii="Segoe UI" w:hAnsi="Segoe UI"/>
        </w:rPr>
        <w:t>Reversal produces an opposite posted journal rather than editing history.</w:t>
      </w:r>
    </w:p>
    <w:p>
      <w:pPr>
        <w:pStyle w:val="ListBullet"/>
        <w:spacing w:before="20" w:after="40"/>
      </w:pPr>
      <w:r>
        <w:rPr>
          <w:rFonts w:ascii="Segoe UI" w:hAnsi="Segoe UI"/>
        </w:rPr>
        <w:t>Reports derive strictly from posted and reversed journal lines.</w:t>
      </w:r>
    </w:p>
    <w:p>
      <w:pPr>
        <w:pStyle w:val="ListBullet"/>
        <w:spacing w:before="20" w:after="40"/>
      </w:pPr>
      <w:r>
        <w:rPr>
          <w:rFonts w:ascii="Segoe UI" w:hAnsi="Segoe UI"/>
        </w:rPr>
        <w:t>Control accounts protect subledger integrity and cannot be manually posted to where prohibited.</w:t>
      </w:r>
    </w:p>
    <w:p>
      <w:pPr>
        <w:spacing w:after="120"/>
      </w:pPr>
    </w:p>
    <w:p>
      <w:pPr>
        <w:pStyle w:val="Heading1"/>
        <w:spacing w:before="320" w:after="120"/>
      </w:pPr>
      <w:r>
        <w:rPr>
          <w:rFonts w:ascii="Segoe UI" w:hAnsi="Segoe UI"/>
          <w:b/>
          <w:color w:val="162D5F"/>
          <w:sz w:val="34"/>
        </w:rPr>
        <w:t>7. Security &amp; Multi-Tenancy</w:t>
      </w:r>
    </w:p>
    <w:p>
      <w:pPr>
        <w:pStyle w:val="Heading2"/>
        <w:spacing w:before="240" w:after="80"/>
      </w:pPr>
      <w:r>
        <w:rPr>
          <w:rFonts w:ascii="Segoe UI" w:hAnsi="Segoe UI"/>
          <w:b/>
          <w:color w:val="FF7F6C"/>
          <w:sz w:val="26"/>
        </w:rPr>
        <w:t>7.1 Tenant Isolation</w:t>
      </w:r>
    </w:p>
    <w:p>
      <w:pPr>
        <w:spacing w:before="2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456918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7_tenant_isolation_flow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5691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Segoe UI" w:hAnsi="Segoe UI"/>
          <w:i/>
          <w:color w:val="475569"/>
          <w:sz w:val="18"/>
        </w:rPr>
        <w:t>Figure 7 - Request authorisation and tenant-isolation flow</w:t>
      </w:r>
    </w:p>
    <w:p>
      <w:pPr>
        <w:spacing w:before="40" w:after="80" w:line="276" w:lineRule="auto"/>
      </w:pPr>
      <w:r>
        <w:rPr>
          <w:rFonts w:ascii="Segoe UI" w:hAnsi="Segoe UI"/>
        </w:rPr>
        <w:t>Every API request follows a 5-step verification gate:</w:t>
      </w:r>
    </w:p>
    <w:p>
      <w:pPr>
        <w:pStyle w:val="ListNumber"/>
        <w:spacing w:before="20" w:after="40"/>
      </w:pPr>
      <w:r>
        <w:rPr>
          <w:rFonts w:ascii="Consolas" w:hAnsi="Consolas"/>
          <w:color w:val="B42828"/>
          <w:sz w:val="19"/>
        </w:rPr>
        <w:t>API Request</w:t>
      </w:r>
      <w:r>
        <w:rPr>
          <w:rFonts w:ascii="Segoe UI" w:hAnsi="Segoe UI"/>
        </w:rPr>
        <w:t xml:space="preserve"> $</w:t>
        <w:tab/>
        <w:t xml:space="preserve">o$ </w:t>
      </w:r>
      <w:r>
        <w:rPr>
          <w:rFonts w:ascii="Consolas" w:hAnsi="Consolas"/>
          <w:color w:val="B42828"/>
          <w:sz w:val="19"/>
        </w:rPr>
        <w:t>Authenticate Session</w:t>
      </w:r>
    </w:p>
    <w:p>
      <w:pPr>
        <w:pStyle w:val="ListNumber"/>
        <w:spacing w:before="20" w:after="40"/>
      </w:pPr>
      <w:r>
        <w:rPr>
          <w:rFonts w:ascii="Consolas" w:hAnsi="Consolas"/>
          <w:color w:val="B42828"/>
          <w:sz w:val="19"/>
        </w:rPr>
        <w:t>Resolve Organisation Context</w:t>
      </w:r>
    </w:p>
    <w:p>
      <w:pPr>
        <w:pStyle w:val="ListNumber"/>
        <w:spacing w:before="20" w:after="40"/>
      </w:pPr>
      <w:r>
        <w:rPr>
          <w:rFonts w:ascii="Consolas" w:hAnsi="Consolas"/>
          <w:color w:val="B42828"/>
          <w:sz w:val="19"/>
        </w:rPr>
        <w:t>Verify Membership</w:t>
      </w:r>
    </w:p>
    <w:p>
      <w:pPr>
        <w:pStyle w:val="ListNumber"/>
        <w:spacing w:before="20" w:after="40"/>
      </w:pPr>
      <w:r>
        <w:rPr>
          <w:rFonts w:ascii="Consolas" w:hAnsi="Consolas"/>
          <w:color w:val="B42828"/>
          <w:sz w:val="19"/>
        </w:rPr>
        <w:t>Verify Permission</w:t>
      </w:r>
    </w:p>
    <w:p>
      <w:pPr>
        <w:pStyle w:val="ListNumber"/>
        <w:spacing w:before="20" w:after="40"/>
      </w:pPr>
      <w:r>
        <w:rPr>
          <w:rFonts w:ascii="Consolas" w:hAnsi="Consolas"/>
          <w:color w:val="B42828"/>
          <w:sz w:val="19"/>
        </w:rPr>
        <w:t>Verify Resource organizationId</w:t>
      </w:r>
      <w:r>
        <w:rPr>
          <w:rFonts w:ascii="Segoe UI" w:hAnsi="Segoe UI"/>
        </w:rPr>
        <w:t xml:space="preserve"> $</w:t>
        <w:tab/>
        <w:t xml:space="preserve">o$ </w:t>
      </w:r>
      <w:r>
        <w:rPr>
          <w:rFonts w:ascii="Consolas" w:hAnsi="Consolas"/>
          <w:color w:val="B42828"/>
          <w:sz w:val="19"/>
        </w:rPr>
        <w:t>Execute Domain Service</w:t>
      </w:r>
    </w:p>
    <w:p>
      <w:pPr>
        <w:pStyle w:val="ListBullet"/>
        <w:spacing w:before="20" w:after="40"/>
      </w:pPr>
      <w:r>
        <w:rPr>
          <w:rFonts w:ascii="Segoe UI" w:hAnsi="Segoe UI"/>
        </w:rPr>
        <w:t xml:space="preserve">Any failure branch returns HTTP 401, 403, or </w:t>
      </w:r>
      <w:r>
        <w:rPr>
          <w:rFonts w:ascii="Consolas" w:hAnsi="Consolas"/>
          <w:color w:val="B42828"/>
          <w:sz w:val="19"/>
        </w:rPr>
        <w:t>TENANT_MISMATCH</w:t>
      </w:r>
      <w:r>
        <w:rPr>
          <w:rFonts w:ascii="Segoe UI" w:hAnsi="Segoe UI"/>
        </w:rPr>
        <w:t>.</w:t>
      </w:r>
    </w:p>
    <w:p>
      <w:pPr>
        <w:pStyle w:val="Heading2"/>
        <w:spacing w:before="240" w:after="80"/>
      </w:pPr>
      <w:r>
        <w:rPr>
          <w:rFonts w:ascii="Segoe UI" w:hAnsi="Segoe UI"/>
          <w:b/>
          <w:color w:val="FF7F6C"/>
          <w:sz w:val="26"/>
        </w:rPr>
        <w:t>7.2 Authentication</w:t>
      </w:r>
    </w:p>
    <w:p>
      <w:pPr>
        <w:spacing w:before="40" w:after="80" w:line="276" w:lineRule="auto"/>
      </w:pPr>
      <w:r>
        <w:rPr>
          <w:rFonts w:ascii="Segoe UI" w:hAnsi="Segoe UI"/>
        </w:rPr>
        <w:t>Secure session authentication, refresh-token rotation, progressive lockout, invite acceptance, and password resets are enforced. Production hardening keeps CSRF, CORS, and session validation intact; security controls must never be disabled merely to resolve deployment hurdles.</w:t>
      </w:r>
    </w:p>
    <w:p>
      <w:pPr>
        <w:pStyle w:val="Heading2"/>
        <w:spacing w:before="240" w:after="80"/>
      </w:pPr>
      <w:r>
        <w:rPr>
          <w:rFonts w:ascii="Segoe UI" w:hAnsi="Segoe UI"/>
          <w:b/>
          <w:color w:val="FF7F6C"/>
          <w:sz w:val="26"/>
        </w:rPr>
        <w:t>7.3 Future Security Controls</w:t>
      </w:r>
    </w:p>
    <w:p>
      <w:pPr>
        <w:pStyle w:val="ListBullet"/>
        <w:spacing w:before="20" w:after="40"/>
      </w:pPr>
      <w:r>
        <w:rPr>
          <w:rFonts w:ascii="Segoe UI" w:hAnsi="Segoe UI"/>
        </w:rPr>
        <w:t>Mandatory Super Admin MFA and MFA for customer accounts.</w:t>
      </w:r>
    </w:p>
    <w:p>
      <w:pPr>
        <w:pStyle w:val="ListBullet"/>
        <w:spacing w:before="20" w:after="40"/>
      </w:pPr>
      <w:r>
        <w:rPr>
          <w:rFonts w:ascii="Segoe UI" w:hAnsi="Segoe UI"/>
        </w:rPr>
        <w:t>Recent-auth requirement for high-risk administrative operations.</w:t>
      </w:r>
    </w:p>
    <w:p>
      <w:pPr>
        <w:pStyle w:val="ListBullet"/>
        <w:spacing w:before="20" w:after="40"/>
      </w:pPr>
      <w:r>
        <w:rPr>
          <w:rFonts w:ascii="Segoe UI" w:hAnsi="Segoe UI"/>
        </w:rPr>
        <w:t>Production Content Security Policy (CSP) and hardened security headers.</w:t>
      </w:r>
    </w:p>
    <w:p>
      <w:pPr>
        <w:pStyle w:val="ListBullet"/>
        <w:spacing w:before="20" w:after="40"/>
      </w:pPr>
      <w:r>
        <w:rPr>
          <w:rFonts w:ascii="Segoe UI" w:hAnsi="Segoe UI"/>
        </w:rPr>
        <w:t>GitHub OIDC to AWS instead of static access keys.</w:t>
      </w:r>
    </w:p>
    <w:p>
      <w:pPr>
        <w:pStyle w:val="ListBullet"/>
        <w:spacing w:before="20" w:after="40"/>
      </w:pPr>
      <w:r>
        <w:rPr>
          <w:rFonts w:ascii="Segoe UI" w:hAnsi="Segoe UI"/>
        </w:rPr>
        <w:t>Central secrets management and rotation via AWS Secrets Manager.</w:t>
      </w:r>
    </w:p>
    <w:p>
      <w:pPr>
        <w:pStyle w:val="ListBullet"/>
        <w:spacing w:before="20" w:after="40"/>
      </w:pPr>
      <w:r>
        <w:rPr>
          <w:rFonts w:ascii="Segoe UI" w:hAnsi="Segoe UI"/>
        </w:rPr>
        <w:t>Dependency, secret, and SAST scanning in CI.</w:t>
      </w:r>
    </w:p>
    <w:p>
      <w:pPr>
        <w:pStyle w:val="ListBullet"/>
        <w:spacing w:before="20" w:after="40"/>
      </w:pPr>
      <w:r>
        <w:rPr>
          <w:rFonts w:ascii="Segoe UI" w:hAnsi="Segoe UI"/>
        </w:rPr>
        <w:t>Backup/restore drills, incident response plans, and penetration testing.</w:t>
      </w:r>
    </w:p>
    <w:p>
      <w:pPr>
        <w:spacing w:after="120"/>
      </w:pPr>
    </w:p>
    <w:p>
      <w:pPr>
        <w:pStyle w:val="Heading1"/>
        <w:spacing w:before="320" w:after="120"/>
      </w:pPr>
      <w:r>
        <w:rPr>
          <w:rFonts w:ascii="Segoe UI" w:hAnsi="Segoe UI"/>
          <w:b/>
          <w:color w:val="162D5F"/>
          <w:sz w:val="34"/>
        </w:rPr>
        <w:t>8. Functional Modules Scope Matrix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tcMar>
              <w:top w:w="65" w:type="dxa"/>
              <w:bottom w:w="65" w:type="dxa"/>
              <w:left w:w="100" w:type="dxa"/>
              <w:right w:w="100" w:type="dxa"/>
            </w:tcMar>
            <w:shd w:fill="162D5F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Module</w:t>
            </w:r>
          </w:p>
        </w:tc>
        <w:tc>
          <w:tcPr>
            <w:tcW w:type="dxa" w:w="3216"/>
            <w:tcMar>
              <w:top w:w="65" w:type="dxa"/>
              <w:bottom w:w="65" w:type="dxa"/>
              <w:left w:w="100" w:type="dxa"/>
              <w:right w:w="100" w:type="dxa"/>
            </w:tcMar>
            <w:shd w:fill="162D5F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Status</w:t>
            </w:r>
          </w:p>
        </w:tc>
        <w:tc>
          <w:tcPr>
            <w:tcW w:type="dxa" w:w="3216"/>
            <w:tcMar>
              <w:top w:w="65" w:type="dxa"/>
              <w:bottom w:w="65" w:type="dxa"/>
              <w:left w:w="100" w:type="dxa"/>
              <w:right w:w="100" w:type="dxa"/>
            </w:tcMar>
            <w:shd w:fill="162D5F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Detailed Scope &amp; Functional Boundaries</w:t>
            </w:r>
          </w:p>
        </w:tc>
      </w:tr>
      <w:tr>
        <w:tc>
          <w:tcPr>
            <w:tcW w:type="dxa" w:w="3216"/>
            <w:tcMar>
              <w:top w:w="65" w:type="dxa"/>
              <w:bottom w:w="65" w:type="dxa"/>
              <w:left w:w="100" w:type="dxa"/>
              <w:right w:w="10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sz w:val="18"/>
              </w:rPr>
              <w:t>Authentication</w:t>
            </w:r>
          </w:p>
        </w:tc>
        <w:tc>
          <w:tcPr>
            <w:tcW w:type="dxa" w:w="3216"/>
            <w:tcMar>
              <w:top w:w="65" w:type="dxa"/>
              <w:bottom w:w="65" w:type="dxa"/>
              <w:left w:w="100" w:type="dxa"/>
              <w:right w:w="10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Implemented foundation</w:t>
            </w:r>
          </w:p>
        </w:tc>
        <w:tc>
          <w:tcPr>
            <w:tcW w:type="dxa" w:w="3216"/>
            <w:tcMar>
              <w:top w:w="65" w:type="dxa"/>
              <w:bottom w:w="65" w:type="dxa"/>
              <w:left w:w="100" w:type="dxa"/>
              <w:right w:w="10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Sessions, scrypt password lifecycle, invites, resets, device metadata</w:t>
            </w:r>
          </w:p>
        </w:tc>
      </w:tr>
      <w:tr>
        <w:tc>
          <w:tcPr>
            <w:tcW w:type="dxa" w:w="3216"/>
            <w:tcMar>
              <w:top w:w="65" w:type="dxa"/>
              <w:bottom w:w="65" w:type="dxa"/>
              <w:left w:w="100" w:type="dxa"/>
              <w:right w:w="10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sz w:val="18"/>
              </w:rPr>
              <w:t>Organisations / RBAC</w:t>
            </w:r>
          </w:p>
        </w:tc>
        <w:tc>
          <w:tcPr>
            <w:tcW w:type="dxa" w:w="3216"/>
            <w:tcMar>
              <w:top w:w="65" w:type="dxa"/>
              <w:bottom w:w="65" w:type="dxa"/>
              <w:left w:w="100" w:type="dxa"/>
              <w:right w:w="10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Implemented foundation</w:t>
            </w:r>
          </w:p>
        </w:tc>
        <w:tc>
          <w:tcPr>
            <w:tcW w:type="dxa" w:w="3216"/>
            <w:tcMar>
              <w:top w:w="65" w:type="dxa"/>
              <w:bottom w:w="65" w:type="dxa"/>
              <w:left w:w="100" w:type="dxa"/>
              <w:right w:w="10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Multi-org membership and permission enforcement (</w:t>
            </w:r>
            <w:r>
              <w:rPr>
                <w:rFonts w:ascii="Consolas" w:hAnsi="Consolas"/>
                <w:color w:val="B42828"/>
                <w:sz w:val="18"/>
              </w:rPr>
              <w:t>OWNER</w:t>
            </w:r>
            <w:r>
              <w:rPr>
                <w:rFonts w:ascii="Segoe UI" w:hAnsi="Segoe UI"/>
                <w:sz w:val="18"/>
              </w:rPr>
              <w:t xml:space="preserve"> to </w:t>
            </w:r>
            <w:r>
              <w:rPr>
                <w:rFonts w:ascii="Consolas" w:hAnsi="Consolas"/>
                <w:color w:val="B42828"/>
                <w:sz w:val="18"/>
              </w:rPr>
              <w:t>VIEWER</w:t>
            </w:r>
            <w:r>
              <w:rPr>
                <w:rFonts w:ascii="Segoe UI" w:hAnsi="Segoe UI"/>
                <w:sz w:val="18"/>
              </w:rPr>
              <w:t>)</w:t>
            </w:r>
          </w:p>
        </w:tc>
      </w:tr>
      <w:tr>
        <w:tc>
          <w:tcPr>
            <w:tcW w:type="dxa" w:w="3216"/>
            <w:tcMar>
              <w:top w:w="65" w:type="dxa"/>
              <w:bottom w:w="65" w:type="dxa"/>
              <w:left w:w="100" w:type="dxa"/>
              <w:right w:w="10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sz w:val="18"/>
              </w:rPr>
              <w:t>Chart of Accounts</w:t>
            </w:r>
          </w:p>
        </w:tc>
        <w:tc>
          <w:tcPr>
            <w:tcW w:type="dxa" w:w="3216"/>
            <w:tcMar>
              <w:top w:w="65" w:type="dxa"/>
              <w:bottom w:w="65" w:type="dxa"/>
              <w:left w:w="100" w:type="dxa"/>
              <w:right w:w="10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Implemented</w:t>
            </w:r>
          </w:p>
        </w:tc>
        <w:tc>
          <w:tcPr>
            <w:tcW w:type="dxa" w:w="3216"/>
            <w:tcMar>
              <w:top w:w="65" w:type="dxa"/>
              <w:bottom w:w="65" w:type="dxa"/>
              <w:left w:w="100" w:type="dxa"/>
              <w:right w:w="10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Hierarchy, nominal types (1000-8999), control account flags</w:t>
            </w:r>
          </w:p>
        </w:tc>
      </w:tr>
      <w:tr>
        <w:tc>
          <w:tcPr>
            <w:tcW w:type="dxa" w:w="3216"/>
            <w:tcMar>
              <w:top w:w="65" w:type="dxa"/>
              <w:bottom w:w="65" w:type="dxa"/>
              <w:left w:w="100" w:type="dxa"/>
              <w:right w:w="10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sz w:val="18"/>
              </w:rPr>
              <w:t>Financial Years / Periods</w:t>
            </w:r>
          </w:p>
        </w:tc>
        <w:tc>
          <w:tcPr>
            <w:tcW w:type="dxa" w:w="3216"/>
            <w:tcMar>
              <w:top w:w="65" w:type="dxa"/>
              <w:bottom w:w="65" w:type="dxa"/>
              <w:left w:w="100" w:type="dxa"/>
              <w:right w:w="10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Implemented</w:t>
            </w:r>
          </w:p>
        </w:tc>
        <w:tc>
          <w:tcPr>
            <w:tcW w:type="dxa" w:w="3216"/>
            <w:tcMar>
              <w:top w:w="65" w:type="dxa"/>
              <w:bottom w:w="65" w:type="dxa"/>
              <w:left w:w="100" w:type="dxa"/>
              <w:right w:w="10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color w:val="B42828"/>
                <w:sz w:val="18"/>
              </w:rPr>
              <w:t>OPEN</w:t>
            </w:r>
            <w:r>
              <w:rPr>
                <w:rFonts w:ascii="Segoe UI" w:hAnsi="Segoe UI"/>
                <w:sz w:val="18"/>
              </w:rPr>
              <w:t xml:space="preserve"> / </w:t>
            </w:r>
            <w:r>
              <w:rPr>
                <w:rFonts w:ascii="Consolas" w:hAnsi="Consolas"/>
                <w:color w:val="B42828"/>
                <w:sz w:val="18"/>
              </w:rPr>
              <w:t>SOFT_LOCKED</w:t>
            </w:r>
            <w:r>
              <w:rPr>
                <w:rFonts w:ascii="Segoe UI" w:hAnsi="Segoe UI"/>
                <w:sz w:val="18"/>
              </w:rPr>
              <w:t xml:space="preserve"> / </w:t>
            </w:r>
            <w:r>
              <w:rPr>
                <w:rFonts w:ascii="Consolas" w:hAnsi="Consolas"/>
                <w:color w:val="B42828"/>
                <w:sz w:val="18"/>
              </w:rPr>
              <w:t>HARD_LOCKED</w:t>
            </w:r>
            <w:r>
              <w:rPr>
                <w:rFonts w:ascii="Segoe UI" w:hAnsi="Segoe UI"/>
                <w:sz w:val="18"/>
              </w:rPr>
              <w:t xml:space="preserve"> state machine</w:t>
            </w:r>
          </w:p>
        </w:tc>
      </w:tr>
      <w:tr>
        <w:tc>
          <w:tcPr>
            <w:tcW w:type="dxa" w:w="3216"/>
            <w:tcMar>
              <w:top w:w="65" w:type="dxa"/>
              <w:bottom w:w="65" w:type="dxa"/>
              <w:left w:w="100" w:type="dxa"/>
              <w:right w:w="10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sz w:val="18"/>
              </w:rPr>
              <w:t>Journals / Reversals</w:t>
            </w:r>
          </w:p>
        </w:tc>
        <w:tc>
          <w:tcPr>
            <w:tcW w:type="dxa" w:w="3216"/>
            <w:tcMar>
              <w:top w:w="65" w:type="dxa"/>
              <w:bottom w:w="65" w:type="dxa"/>
              <w:left w:w="100" w:type="dxa"/>
              <w:right w:w="10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Implemented</w:t>
            </w:r>
          </w:p>
        </w:tc>
        <w:tc>
          <w:tcPr>
            <w:tcW w:type="dxa" w:w="3216"/>
            <w:tcMar>
              <w:top w:w="65" w:type="dxa"/>
              <w:bottom w:w="65" w:type="dxa"/>
              <w:left w:w="100" w:type="dxa"/>
              <w:right w:w="10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Draft $</w:t>
              <w:tab/>
              <w:t>o$ Validated $</w:t>
              <w:tab/>
              <w:t>o$ Posted $</w:t>
              <w:tab/>
              <w:t>o$ Reversed</w:t>
            </w:r>
          </w:p>
        </w:tc>
      </w:tr>
      <w:tr>
        <w:tc>
          <w:tcPr>
            <w:tcW w:type="dxa" w:w="3216"/>
            <w:tcMar>
              <w:top w:w="65" w:type="dxa"/>
              <w:bottom w:w="65" w:type="dxa"/>
              <w:left w:w="100" w:type="dxa"/>
              <w:right w:w="10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sz w:val="18"/>
              </w:rPr>
              <w:t>General Ledger</w:t>
            </w:r>
          </w:p>
        </w:tc>
        <w:tc>
          <w:tcPr>
            <w:tcW w:type="dxa" w:w="3216"/>
            <w:tcMar>
              <w:top w:w="65" w:type="dxa"/>
              <w:bottom w:w="65" w:type="dxa"/>
              <w:left w:w="100" w:type="dxa"/>
              <w:right w:w="10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Implemented</w:t>
            </w:r>
          </w:p>
        </w:tc>
        <w:tc>
          <w:tcPr>
            <w:tcW w:type="dxa" w:w="3216"/>
            <w:tcMar>
              <w:top w:w="65" w:type="dxa"/>
              <w:bottom w:w="65" w:type="dxa"/>
              <w:left w:w="100" w:type="dxa"/>
              <w:right w:w="10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Authoritative posted activity with running balances</w:t>
            </w:r>
          </w:p>
        </w:tc>
      </w:tr>
      <w:tr>
        <w:tc>
          <w:tcPr>
            <w:tcW w:type="dxa" w:w="3216"/>
            <w:tcMar>
              <w:top w:w="65" w:type="dxa"/>
              <w:bottom w:w="65" w:type="dxa"/>
              <w:left w:w="100" w:type="dxa"/>
              <w:right w:w="10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sz w:val="18"/>
              </w:rPr>
              <w:t>Trial Balance</w:t>
            </w:r>
          </w:p>
        </w:tc>
        <w:tc>
          <w:tcPr>
            <w:tcW w:type="dxa" w:w="3216"/>
            <w:tcMar>
              <w:top w:w="65" w:type="dxa"/>
              <w:bottom w:w="65" w:type="dxa"/>
              <w:left w:w="100" w:type="dxa"/>
              <w:right w:w="10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Implemented</w:t>
            </w:r>
          </w:p>
        </w:tc>
        <w:tc>
          <w:tcPr>
            <w:tcW w:type="dxa" w:w="3216"/>
            <w:tcMar>
              <w:top w:w="65" w:type="dxa"/>
              <w:bottom w:w="65" w:type="dxa"/>
              <w:left w:w="100" w:type="dxa"/>
              <w:right w:w="10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Real-time posted ledger-derived balances</w:t>
            </w:r>
          </w:p>
        </w:tc>
      </w:tr>
      <w:tr>
        <w:tc>
          <w:tcPr>
            <w:tcW w:type="dxa" w:w="3216"/>
            <w:tcMar>
              <w:top w:w="65" w:type="dxa"/>
              <w:bottom w:w="65" w:type="dxa"/>
              <w:left w:w="100" w:type="dxa"/>
              <w:right w:w="10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sz w:val="18"/>
              </w:rPr>
              <w:t>Contacts</w:t>
            </w:r>
          </w:p>
        </w:tc>
        <w:tc>
          <w:tcPr>
            <w:tcW w:type="dxa" w:w="3216"/>
            <w:tcMar>
              <w:top w:w="65" w:type="dxa"/>
              <w:bottom w:w="65" w:type="dxa"/>
              <w:left w:w="100" w:type="dxa"/>
              <w:right w:w="10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Active (V2)</w:t>
            </w:r>
          </w:p>
        </w:tc>
        <w:tc>
          <w:tcPr>
            <w:tcW w:type="dxa" w:w="3216"/>
            <w:tcMar>
              <w:top w:w="65" w:type="dxa"/>
              <w:bottom w:w="65" w:type="dxa"/>
              <w:left w:w="100" w:type="dxa"/>
              <w:right w:w="10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Customer/supplier/both; master data and statement generation</w:t>
            </w:r>
          </w:p>
        </w:tc>
      </w:tr>
      <w:tr>
        <w:tc>
          <w:tcPr>
            <w:tcW w:type="dxa" w:w="3216"/>
            <w:tcMar>
              <w:top w:w="65" w:type="dxa"/>
              <w:bottom w:w="65" w:type="dxa"/>
              <w:left w:w="100" w:type="dxa"/>
              <w:right w:w="10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sz w:val="18"/>
              </w:rPr>
              <w:t>Sales Invoices</w:t>
            </w:r>
          </w:p>
        </w:tc>
        <w:tc>
          <w:tcPr>
            <w:tcW w:type="dxa" w:w="3216"/>
            <w:tcMar>
              <w:top w:w="65" w:type="dxa"/>
              <w:bottom w:w="65" w:type="dxa"/>
              <w:left w:w="100" w:type="dxa"/>
              <w:right w:w="10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Active (V2)</w:t>
            </w:r>
          </w:p>
        </w:tc>
        <w:tc>
          <w:tcPr>
            <w:tcW w:type="dxa" w:w="3216"/>
            <w:tcMar>
              <w:top w:w="65" w:type="dxa"/>
              <w:bottom w:w="65" w:type="dxa"/>
              <w:left w:w="100" w:type="dxa"/>
              <w:right w:w="10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Draft/edit/post/void; VAT calculation and GL auto-posting</w:t>
            </w:r>
          </w:p>
        </w:tc>
      </w:tr>
      <w:tr>
        <w:tc>
          <w:tcPr>
            <w:tcW w:type="dxa" w:w="3216"/>
            <w:tcMar>
              <w:top w:w="65" w:type="dxa"/>
              <w:bottom w:w="65" w:type="dxa"/>
              <w:left w:w="100" w:type="dxa"/>
              <w:right w:w="10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sz w:val="18"/>
              </w:rPr>
              <w:t>Customer Payments</w:t>
            </w:r>
          </w:p>
        </w:tc>
        <w:tc>
          <w:tcPr>
            <w:tcW w:type="dxa" w:w="3216"/>
            <w:tcMar>
              <w:top w:w="65" w:type="dxa"/>
              <w:bottom w:w="65" w:type="dxa"/>
              <w:left w:w="100" w:type="dxa"/>
              <w:right w:w="10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Planned</w:t>
            </w:r>
          </w:p>
        </w:tc>
        <w:tc>
          <w:tcPr>
            <w:tcW w:type="dxa" w:w="3216"/>
            <w:tcMar>
              <w:top w:w="65" w:type="dxa"/>
              <w:bottom w:w="65" w:type="dxa"/>
              <w:left w:w="100" w:type="dxa"/>
              <w:right w:w="10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AR receipts and multi-invoice allocations</w:t>
            </w:r>
          </w:p>
        </w:tc>
      </w:tr>
      <w:tr>
        <w:tc>
          <w:tcPr>
            <w:tcW w:type="dxa" w:w="3216"/>
            <w:tcMar>
              <w:top w:w="65" w:type="dxa"/>
              <w:bottom w:w="65" w:type="dxa"/>
              <w:left w:w="100" w:type="dxa"/>
              <w:right w:w="10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sz w:val="18"/>
              </w:rPr>
              <w:t>Credit Notes</w:t>
            </w:r>
          </w:p>
        </w:tc>
        <w:tc>
          <w:tcPr>
            <w:tcW w:type="dxa" w:w="3216"/>
            <w:tcMar>
              <w:top w:w="65" w:type="dxa"/>
              <w:bottom w:w="65" w:type="dxa"/>
              <w:left w:w="100" w:type="dxa"/>
              <w:right w:w="10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Planned</w:t>
            </w:r>
          </w:p>
        </w:tc>
        <w:tc>
          <w:tcPr>
            <w:tcW w:type="dxa" w:w="3216"/>
            <w:tcMar>
              <w:top w:w="65" w:type="dxa"/>
              <w:bottom w:w="65" w:type="dxa"/>
              <w:left w:w="100" w:type="dxa"/>
              <w:right w:w="10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Non-destructive invoice corrections</w:t>
            </w:r>
          </w:p>
        </w:tc>
      </w:tr>
      <w:tr>
        <w:tc>
          <w:tcPr>
            <w:tcW w:type="dxa" w:w="3216"/>
            <w:tcMar>
              <w:top w:w="65" w:type="dxa"/>
              <w:bottom w:w="65" w:type="dxa"/>
              <w:left w:w="100" w:type="dxa"/>
              <w:right w:w="10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sz w:val="18"/>
              </w:rPr>
              <w:t>Supplier Bills / AP</w:t>
            </w:r>
          </w:p>
        </w:tc>
        <w:tc>
          <w:tcPr>
            <w:tcW w:type="dxa" w:w="3216"/>
            <w:tcMar>
              <w:top w:w="65" w:type="dxa"/>
              <w:bottom w:w="65" w:type="dxa"/>
              <w:left w:w="100" w:type="dxa"/>
              <w:right w:w="10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Planned</w:t>
            </w:r>
          </w:p>
        </w:tc>
        <w:tc>
          <w:tcPr>
            <w:tcW w:type="dxa" w:w="3216"/>
            <w:tcMar>
              <w:top w:w="65" w:type="dxa"/>
              <w:bottom w:w="65" w:type="dxa"/>
              <w:left w:w="100" w:type="dxa"/>
              <w:right w:w="10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Purchase-side bills and AP control-account engine</w:t>
            </w:r>
          </w:p>
        </w:tc>
      </w:tr>
      <w:tr>
        <w:tc>
          <w:tcPr>
            <w:tcW w:type="dxa" w:w="3216"/>
            <w:tcMar>
              <w:top w:w="65" w:type="dxa"/>
              <w:bottom w:w="65" w:type="dxa"/>
              <w:left w:w="100" w:type="dxa"/>
              <w:right w:w="10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sz w:val="18"/>
              </w:rPr>
              <w:t>Supplier Payments</w:t>
            </w:r>
          </w:p>
        </w:tc>
        <w:tc>
          <w:tcPr>
            <w:tcW w:type="dxa" w:w="3216"/>
            <w:tcMar>
              <w:top w:w="65" w:type="dxa"/>
              <w:bottom w:w="65" w:type="dxa"/>
              <w:left w:w="100" w:type="dxa"/>
              <w:right w:w="10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Planned</w:t>
            </w:r>
          </w:p>
        </w:tc>
        <w:tc>
          <w:tcPr>
            <w:tcW w:type="dxa" w:w="3216"/>
            <w:tcMar>
              <w:top w:w="65" w:type="dxa"/>
              <w:bottom w:w="65" w:type="dxa"/>
              <w:left w:w="100" w:type="dxa"/>
              <w:right w:w="10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AP settlement and payment runs</w:t>
            </w:r>
          </w:p>
        </w:tc>
      </w:tr>
      <w:tr>
        <w:tc>
          <w:tcPr>
            <w:tcW w:type="dxa" w:w="3216"/>
            <w:tcMar>
              <w:top w:w="65" w:type="dxa"/>
              <w:bottom w:w="65" w:type="dxa"/>
              <w:left w:w="100" w:type="dxa"/>
              <w:right w:w="10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sz w:val="18"/>
              </w:rPr>
              <w:t>Expenses</w:t>
            </w:r>
          </w:p>
        </w:tc>
        <w:tc>
          <w:tcPr>
            <w:tcW w:type="dxa" w:w="3216"/>
            <w:tcMar>
              <w:top w:w="65" w:type="dxa"/>
              <w:bottom w:w="65" w:type="dxa"/>
              <w:left w:w="100" w:type="dxa"/>
              <w:right w:w="10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Planned</w:t>
            </w:r>
          </w:p>
        </w:tc>
        <w:tc>
          <w:tcPr>
            <w:tcW w:type="dxa" w:w="3216"/>
            <w:tcMar>
              <w:top w:w="65" w:type="dxa"/>
              <w:bottom w:w="65" w:type="dxa"/>
              <w:left w:w="100" w:type="dxa"/>
              <w:right w:w="10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Fast cash/card expense capture</w:t>
            </w:r>
          </w:p>
        </w:tc>
      </w:tr>
      <w:tr>
        <w:tc>
          <w:tcPr>
            <w:tcW w:type="dxa" w:w="3216"/>
            <w:tcMar>
              <w:top w:w="65" w:type="dxa"/>
              <w:bottom w:w="65" w:type="dxa"/>
              <w:left w:w="100" w:type="dxa"/>
              <w:right w:w="10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sz w:val="18"/>
              </w:rPr>
              <w:t>UK VAT Engine</w:t>
            </w:r>
          </w:p>
        </w:tc>
        <w:tc>
          <w:tcPr>
            <w:tcW w:type="dxa" w:w="3216"/>
            <w:tcMar>
              <w:top w:w="65" w:type="dxa"/>
              <w:bottom w:w="65" w:type="dxa"/>
              <w:left w:w="100" w:type="dxa"/>
              <w:right w:w="10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Planned</w:t>
            </w:r>
          </w:p>
        </w:tc>
        <w:tc>
          <w:tcPr>
            <w:tcW w:type="dxa" w:w="3216"/>
            <w:tcMar>
              <w:top w:w="65" w:type="dxa"/>
              <w:bottom w:w="65" w:type="dxa"/>
              <w:left w:w="100" w:type="dxa"/>
              <w:right w:w="10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Configurable 9-box VAT return compiler</w:t>
            </w:r>
          </w:p>
        </w:tc>
      </w:tr>
      <w:tr>
        <w:tc>
          <w:tcPr>
            <w:tcW w:type="dxa" w:w="3216"/>
            <w:tcMar>
              <w:top w:w="65" w:type="dxa"/>
              <w:bottom w:w="65" w:type="dxa"/>
              <w:left w:w="100" w:type="dxa"/>
              <w:right w:w="10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sz w:val="18"/>
              </w:rPr>
              <w:t>Banking</w:t>
            </w:r>
          </w:p>
        </w:tc>
        <w:tc>
          <w:tcPr>
            <w:tcW w:type="dxa" w:w="3216"/>
            <w:tcMar>
              <w:top w:w="65" w:type="dxa"/>
              <w:bottom w:w="65" w:type="dxa"/>
              <w:left w:w="100" w:type="dxa"/>
              <w:right w:w="10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Planned</w:t>
            </w:r>
          </w:p>
        </w:tc>
        <w:tc>
          <w:tcPr>
            <w:tcW w:type="dxa" w:w="3216"/>
            <w:tcMar>
              <w:top w:w="65" w:type="dxa"/>
              <w:bottom w:w="65" w:type="dxa"/>
              <w:left w:w="100" w:type="dxa"/>
              <w:right w:w="10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Bank accounts and CSV transaction import</w:t>
            </w:r>
          </w:p>
        </w:tc>
      </w:tr>
      <w:tr>
        <w:tc>
          <w:tcPr>
            <w:tcW w:type="dxa" w:w="3216"/>
            <w:tcMar>
              <w:top w:w="65" w:type="dxa"/>
              <w:bottom w:w="65" w:type="dxa"/>
              <w:left w:w="100" w:type="dxa"/>
              <w:right w:w="10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sz w:val="18"/>
              </w:rPr>
              <w:t>Reconciliation</w:t>
            </w:r>
          </w:p>
        </w:tc>
        <w:tc>
          <w:tcPr>
            <w:tcW w:type="dxa" w:w="3216"/>
            <w:tcMar>
              <w:top w:w="65" w:type="dxa"/>
              <w:bottom w:w="65" w:type="dxa"/>
              <w:left w:w="100" w:type="dxa"/>
              <w:right w:w="10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Planned</w:t>
            </w:r>
          </w:p>
        </w:tc>
        <w:tc>
          <w:tcPr>
            <w:tcW w:type="dxa" w:w="3216"/>
            <w:tcMar>
              <w:top w:w="65" w:type="dxa"/>
              <w:bottom w:w="65" w:type="dxa"/>
              <w:left w:w="100" w:type="dxa"/>
              <w:right w:w="10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Suggested matching and £0.00 reconciliation</w:t>
            </w:r>
          </w:p>
        </w:tc>
      </w:tr>
      <w:tr>
        <w:tc>
          <w:tcPr>
            <w:tcW w:type="dxa" w:w="3216"/>
            <w:tcMar>
              <w:top w:w="65" w:type="dxa"/>
              <w:bottom w:w="65" w:type="dxa"/>
              <w:left w:w="100" w:type="dxa"/>
              <w:right w:w="10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sz w:val="18"/>
              </w:rPr>
              <w:t>Financial Reports</w:t>
            </w:r>
          </w:p>
        </w:tc>
        <w:tc>
          <w:tcPr>
            <w:tcW w:type="dxa" w:w="3216"/>
            <w:tcMar>
              <w:top w:w="65" w:type="dxa"/>
              <w:bottom w:w="65" w:type="dxa"/>
              <w:left w:w="100" w:type="dxa"/>
              <w:right w:w="10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Planned</w:t>
            </w:r>
          </w:p>
        </w:tc>
        <w:tc>
          <w:tcPr>
            <w:tcW w:type="dxa" w:w="3216"/>
            <w:tcMar>
              <w:top w:w="65" w:type="dxa"/>
              <w:bottom w:w="65" w:type="dxa"/>
              <w:left w:w="100" w:type="dxa"/>
              <w:right w:w="10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P&amp;L, Balance Sheet, Cash Flow, AR/AP ageing</w:t>
            </w:r>
          </w:p>
        </w:tc>
      </w:tr>
      <w:tr>
        <w:tc>
          <w:tcPr>
            <w:tcW w:type="dxa" w:w="3216"/>
            <w:tcMar>
              <w:top w:w="65" w:type="dxa"/>
              <w:bottom w:w="65" w:type="dxa"/>
              <w:left w:w="100" w:type="dxa"/>
              <w:right w:w="10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sz w:val="18"/>
              </w:rPr>
              <w:t>Documents</w:t>
            </w:r>
          </w:p>
        </w:tc>
        <w:tc>
          <w:tcPr>
            <w:tcW w:type="dxa" w:w="3216"/>
            <w:tcMar>
              <w:top w:w="65" w:type="dxa"/>
              <w:bottom w:w="65" w:type="dxa"/>
              <w:left w:w="100" w:type="dxa"/>
              <w:right w:w="10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Planned</w:t>
            </w:r>
          </w:p>
        </w:tc>
        <w:tc>
          <w:tcPr>
            <w:tcW w:type="dxa" w:w="3216"/>
            <w:tcMar>
              <w:top w:w="65" w:type="dxa"/>
              <w:bottom w:w="65" w:type="dxa"/>
              <w:left w:w="100" w:type="dxa"/>
              <w:right w:w="10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Private S3 storage with signed access URLs</w:t>
            </w:r>
          </w:p>
        </w:tc>
      </w:tr>
      <w:tr>
        <w:tc>
          <w:tcPr>
            <w:tcW w:type="dxa" w:w="3216"/>
            <w:tcMar>
              <w:top w:w="65" w:type="dxa"/>
              <w:bottom w:w="65" w:type="dxa"/>
              <w:left w:w="100" w:type="dxa"/>
              <w:right w:w="10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sz w:val="18"/>
              </w:rPr>
              <w:t>Notifications</w:t>
            </w:r>
          </w:p>
        </w:tc>
        <w:tc>
          <w:tcPr>
            <w:tcW w:type="dxa" w:w="3216"/>
            <w:tcMar>
              <w:top w:w="65" w:type="dxa"/>
              <w:bottom w:w="65" w:type="dxa"/>
              <w:left w:w="100" w:type="dxa"/>
              <w:right w:w="10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Planned</w:t>
            </w:r>
          </w:p>
        </w:tc>
        <w:tc>
          <w:tcPr>
            <w:tcW w:type="dxa" w:w="3216"/>
            <w:tcMar>
              <w:top w:w="65" w:type="dxa"/>
              <w:bottom w:w="65" w:type="dxa"/>
              <w:left w:w="100" w:type="dxa"/>
              <w:right w:w="10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In-app and email operational alerts</w:t>
            </w:r>
          </w:p>
        </w:tc>
      </w:tr>
      <w:tr>
        <w:tc>
          <w:tcPr>
            <w:tcW w:type="dxa" w:w="3216"/>
            <w:tcMar>
              <w:top w:w="65" w:type="dxa"/>
              <w:bottom w:w="65" w:type="dxa"/>
              <w:left w:w="100" w:type="dxa"/>
              <w:right w:w="10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sz w:val="18"/>
              </w:rPr>
              <w:t>Customer Portal</w:t>
            </w:r>
          </w:p>
        </w:tc>
        <w:tc>
          <w:tcPr>
            <w:tcW w:type="dxa" w:w="3216"/>
            <w:tcMar>
              <w:top w:w="65" w:type="dxa"/>
              <w:bottom w:w="65" w:type="dxa"/>
              <w:left w:w="100" w:type="dxa"/>
              <w:right w:w="10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Planned</w:t>
            </w:r>
          </w:p>
        </w:tc>
        <w:tc>
          <w:tcPr>
            <w:tcW w:type="dxa" w:w="3216"/>
            <w:tcMar>
              <w:top w:w="65" w:type="dxa"/>
              <w:bottom w:w="65" w:type="dxa"/>
              <w:left w:w="100" w:type="dxa"/>
              <w:right w:w="10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External customer access to invoices and statements</w:t>
            </w:r>
          </w:p>
        </w:tc>
      </w:tr>
      <w:tr>
        <w:tc>
          <w:tcPr>
            <w:tcW w:type="dxa" w:w="3216"/>
            <w:tcMar>
              <w:top w:w="65" w:type="dxa"/>
              <w:bottom w:w="65" w:type="dxa"/>
              <w:left w:w="100" w:type="dxa"/>
              <w:right w:w="10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sz w:val="18"/>
              </w:rPr>
              <w:t>Public API</w:t>
            </w:r>
          </w:p>
        </w:tc>
        <w:tc>
          <w:tcPr>
            <w:tcW w:type="dxa" w:w="3216"/>
            <w:tcMar>
              <w:top w:w="65" w:type="dxa"/>
              <w:bottom w:w="65" w:type="dxa"/>
              <w:left w:w="100" w:type="dxa"/>
              <w:right w:w="10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Planned</w:t>
            </w:r>
          </w:p>
        </w:tc>
        <w:tc>
          <w:tcPr>
            <w:tcW w:type="dxa" w:w="3216"/>
            <w:tcMar>
              <w:top w:w="65" w:type="dxa"/>
              <w:bottom w:w="65" w:type="dxa"/>
              <w:left w:w="100" w:type="dxa"/>
              <w:right w:w="10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Scoped API keys, rate limits, webhooks</w:t>
            </w:r>
          </w:p>
        </w:tc>
      </w:tr>
      <w:tr>
        <w:tc>
          <w:tcPr>
            <w:tcW w:type="dxa" w:w="3216"/>
            <w:tcMar>
              <w:top w:w="65" w:type="dxa"/>
              <w:bottom w:w="65" w:type="dxa"/>
              <w:left w:w="100" w:type="dxa"/>
              <w:right w:w="10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sz w:val="18"/>
              </w:rPr>
              <w:t>Subscriptions</w:t>
            </w:r>
          </w:p>
        </w:tc>
        <w:tc>
          <w:tcPr>
            <w:tcW w:type="dxa" w:w="3216"/>
            <w:tcMar>
              <w:top w:w="65" w:type="dxa"/>
              <w:bottom w:w="65" w:type="dxa"/>
              <w:left w:w="100" w:type="dxa"/>
              <w:right w:w="10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Planned</w:t>
            </w:r>
          </w:p>
        </w:tc>
        <w:tc>
          <w:tcPr>
            <w:tcW w:type="dxa" w:w="3216"/>
            <w:tcMar>
              <w:top w:w="65" w:type="dxa"/>
              <w:bottom w:w="65" w:type="dxa"/>
              <w:left w:w="100" w:type="dxa"/>
              <w:right w:w="10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blynt platform SaaS billing via Stripe</w:t>
            </w:r>
          </w:p>
        </w:tc>
      </w:tr>
      <w:tr>
        <w:tc>
          <w:tcPr>
            <w:tcW w:type="dxa" w:w="3216"/>
            <w:tcMar>
              <w:top w:w="65" w:type="dxa"/>
              <w:bottom w:w="65" w:type="dxa"/>
              <w:left w:w="100" w:type="dxa"/>
              <w:right w:w="10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sz w:val="18"/>
              </w:rPr>
              <w:t>Onboarding / Import</w:t>
            </w:r>
          </w:p>
        </w:tc>
        <w:tc>
          <w:tcPr>
            <w:tcW w:type="dxa" w:w="3216"/>
            <w:tcMar>
              <w:top w:w="65" w:type="dxa"/>
              <w:bottom w:w="65" w:type="dxa"/>
              <w:left w:w="100" w:type="dxa"/>
              <w:right w:w="10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Planned</w:t>
            </w:r>
          </w:p>
        </w:tc>
        <w:tc>
          <w:tcPr>
            <w:tcW w:type="dxa" w:w="3216"/>
            <w:tcMar>
              <w:top w:w="65" w:type="dxa"/>
              <w:bottom w:w="65" w:type="dxa"/>
              <w:left w:w="100" w:type="dxa"/>
              <w:right w:w="10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First-run setup and CSV migration wizard</w:t>
            </w:r>
          </w:p>
        </w:tc>
      </w:tr>
    </w:tbl>
    <w:p>
      <w:pPr>
        <w:spacing w:after="80"/>
      </w:pPr>
    </w:p>
    <w:p>
      <w:pPr>
        <w:spacing w:after="120"/>
      </w:pPr>
    </w:p>
    <w:p>
      <w:pPr>
        <w:pStyle w:val="Heading1"/>
        <w:spacing w:before="320" w:after="120"/>
      </w:pPr>
      <w:r>
        <w:rPr>
          <w:rFonts w:ascii="Segoe UI" w:hAnsi="Segoe UI"/>
          <w:b/>
          <w:color w:val="162D5F"/>
          <w:sz w:val="34"/>
        </w:rPr>
        <w:t>9. Phase Roadmap P00–P30 (Comprehensive Engineering Breakdown)</w:t>
      </w:r>
    </w:p>
    <w:p>
      <w:pPr>
        <w:spacing w:before="40" w:after="80" w:line="276" w:lineRule="auto"/>
      </w:pPr>
      <w:r>
        <w:rPr>
          <w:rFonts w:ascii="Segoe UI" w:hAnsi="Segoe UI"/>
        </w:rPr>
        <w:t>The roadmap is sequenced to protect accounting integrity: stabilise delivery and brand foundations first, complete AR, add AP and VAT, then banking/reconciliation and reporting, followed by commercial capabilities and AWS production hardening.</w:t>
      </w:r>
    </w:p>
    <w:p>
      <w:pPr>
        <w:pStyle w:val="Heading3"/>
        <w:spacing w:before="160" w:after="40"/>
      </w:pPr>
      <w:r>
        <w:rPr>
          <w:rFonts w:ascii="Segoe UI" w:hAnsi="Segoe UI"/>
          <w:b/>
          <w:color w:val="475569"/>
          <w:sz w:val="22"/>
        </w:rPr>
        <w:t>P00 — Foundation, CI &amp; Deployment Fixes</w:t>
      </w:r>
    </w:p>
    <w:p>
      <w:pPr>
        <w:pStyle w:val="ListBullet"/>
        <w:spacing w:before="20" w:after="40"/>
      </w:pPr>
      <w:r>
        <w:rPr>
          <w:rFonts w:ascii="Segoe UI" w:hAnsi="Segoe UI"/>
          <w:b/>
        </w:rPr>
        <w:t>Status:</w:t>
      </w:r>
      <w:r>
        <w:rPr>
          <w:rFonts w:ascii="Segoe UI" w:hAnsi="Segoe UI"/>
        </w:rPr>
        <w:t xml:space="preserve"> In progress / verified</w:t>
      </w:r>
    </w:p>
    <w:p>
      <w:pPr>
        <w:pStyle w:val="ListBullet"/>
        <w:spacing w:before="20" w:after="40"/>
      </w:pPr>
      <w:r>
        <w:rPr>
          <w:rFonts w:ascii="Segoe UI" w:hAnsi="Segoe UI"/>
          <w:b/>
        </w:rPr>
        <w:t>Objective:</w:t>
      </w:r>
      <w:r>
        <w:rPr>
          <w:rFonts w:ascii="Segoe UI" w:hAnsi="Segoe UI"/>
        </w:rPr>
        <w:t xml:space="preserve"> Stabilise CI and temporary hosting before feature expansion.</w:t>
      </w:r>
    </w:p>
    <w:p>
      <w:pPr>
        <w:pStyle w:val="ListBullet"/>
        <w:spacing w:before="20" w:after="40"/>
      </w:pPr>
      <w:r>
        <w:rPr>
          <w:rFonts w:ascii="Segoe UI" w:hAnsi="Segoe UI"/>
          <w:b/>
        </w:rPr>
        <w:t>Key Deliverables:</w:t>
      </w:r>
      <w:r>
        <w:rPr>
          <w:rFonts w:ascii="Segoe UI" w:hAnsi="Segoe UI"/>
        </w:rPr>
        <w:t xml:space="preserve"> Verify test-only DB seed in CI; Ensure production build/start commands are deterministic; Keep current hosting available during AWS migration.</w:t>
      </w:r>
    </w:p>
    <w:p>
      <w:pPr>
        <w:pStyle w:val="ListBullet"/>
        <w:spacing w:before="20" w:after="40"/>
      </w:pPr>
      <w:r>
        <w:rPr>
          <w:rFonts w:ascii="Segoe UI" w:hAnsi="Segoe UI"/>
          <w:b/>
        </w:rPr>
        <w:t>Accounting:</w:t>
      </w:r>
      <w:r>
        <w:rPr>
          <w:rFonts w:ascii="Segoe UI" w:hAnsi="Segoe UI"/>
        </w:rPr>
        <w:t xml:space="preserve"> No accounting behaviour changes.</w:t>
      </w:r>
    </w:p>
    <w:p>
      <w:pPr>
        <w:pStyle w:val="ListBullet"/>
        <w:spacing w:before="20" w:after="40"/>
      </w:pPr>
      <w:r>
        <w:rPr>
          <w:rFonts w:ascii="Segoe UI" w:hAnsi="Segoe UI"/>
          <w:b/>
        </w:rPr>
        <w:t>Primary Test Gate:</w:t>
      </w:r>
      <w:r>
        <w:rPr>
          <w:rFonts w:ascii="Segoe UI" w:hAnsi="Segoe UI"/>
        </w:rPr>
        <w:t xml:space="preserve"> CI must run lint, typecheck, unit (26 suites), E2E and builds; no production seed.</w:t>
      </w:r>
    </w:p>
    <w:p>
      <w:pPr>
        <w:pStyle w:val="Heading3"/>
        <w:spacing w:before="160" w:after="40"/>
      </w:pPr>
      <w:r>
        <w:rPr>
          <w:rFonts w:ascii="Segoe UI" w:hAnsi="Segoe UI"/>
          <w:b/>
          <w:color w:val="475569"/>
          <w:sz w:val="22"/>
        </w:rPr>
        <w:t>P01 — Official blynt Brand System</w:t>
      </w:r>
    </w:p>
    <w:p>
      <w:pPr>
        <w:pStyle w:val="ListBullet"/>
        <w:spacing w:before="20" w:after="40"/>
      </w:pPr>
      <w:r>
        <w:rPr>
          <w:rFonts w:ascii="Segoe UI" w:hAnsi="Segoe UI"/>
          <w:b/>
        </w:rPr>
        <w:t>Status:</w:t>
      </w:r>
      <w:r>
        <w:rPr>
          <w:rFonts w:ascii="Segoe UI" w:hAnsi="Segoe UI"/>
        </w:rPr>
        <w:t xml:space="preserve"> Complete / Active</w:t>
      </w:r>
    </w:p>
    <w:p>
      <w:pPr>
        <w:pStyle w:val="ListBullet"/>
        <w:spacing w:before="20" w:after="40"/>
      </w:pPr>
      <w:r>
        <w:rPr>
          <w:rFonts w:ascii="Segoe UI" w:hAnsi="Segoe UI"/>
          <w:b/>
        </w:rPr>
        <w:t>Objective:</w:t>
      </w:r>
      <w:r>
        <w:rPr>
          <w:rFonts w:ascii="Segoe UI" w:hAnsi="Segoe UI"/>
        </w:rPr>
        <w:t xml:space="preserve"> Replace legacy customer-facing identities with the official navy/coral blynt system.</w:t>
      </w:r>
    </w:p>
    <w:p>
      <w:pPr>
        <w:pStyle w:val="ListBullet"/>
        <w:spacing w:before="20" w:after="40"/>
      </w:pPr>
      <w:r>
        <w:rPr>
          <w:rFonts w:ascii="Segoe UI" w:hAnsi="Segoe UI"/>
          <w:b/>
        </w:rPr>
        <w:t>Key Deliverables:</w:t>
      </w:r>
      <w:r>
        <w:rPr>
          <w:rFonts w:ascii="Segoe UI" w:hAnsi="Segoe UI"/>
        </w:rPr>
        <w:t xml:space="preserve"> Official logo assets, reusable BlyntLogo/BlyntMark; Central design tokens; Metadata, favicon, emails and PDFs branding sweep.</w:t>
      </w:r>
    </w:p>
    <w:p>
      <w:pPr>
        <w:pStyle w:val="ListBullet"/>
        <w:spacing w:before="20" w:after="40"/>
      </w:pPr>
      <w:r>
        <w:rPr>
          <w:rFonts w:ascii="Segoe UI" w:hAnsi="Segoe UI"/>
          <w:b/>
        </w:rPr>
        <w:t>Accounting:</w:t>
      </w:r>
      <w:r>
        <w:rPr>
          <w:rFonts w:ascii="Segoe UI" w:hAnsi="Segoe UI"/>
        </w:rPr>
        <w:t xml:space="preserve"> Brand-only; do not touch ledger logic.</w:t>
      </w:r>
    </w:p>
    <w:p>
      <w:pPr>
        <w:pStyle w:val="ListBullet"/>
        <w:spacing w:before="20" w:after="40"/>
      </w:pPr>
      <w:r>
        <w:rPr>
          <w:rFonts w:ascii="Segoe UI" w:hAnsi="Segoe UI"/>
          <w:b/>
        </w:rPr>
        <w:t>Primary Test Gate:</w:t>
      </w:r>
      <w:r>
        <w:rPr>
          <w:rFonts w:ascii="Segoe UI" w:hAnsi="Segoe UI"/>
        </w:rPr>
        <w:t xml:space="preserve"> Visual regression, accessibility contrast and legacy-name sweep.</w:t>
      </w:r>
    </w:p>
    <w:p>
      <w:pPr>
        <w:pStyle w:val="Heading3"/>
        <w:spacing w:before="160" w:after="40"/>
      </w:pPr>
      <w:r>
        <w:rPr>
          <w:rFonts w:ascii="Segoe UI" w:hAnsi="Segoe UI"/>
          <w:b/>
          <w:color w:val="475569"/>
          <w:sz w:val="22"/>
        </w:rPr>
        <w:t>P02 — Authentication, App Shell &amp; Dashboard V2</w:t>
      </w:r>
    </w:p>
    <w:p>
      <w:pPr>
        <w:pStyle w:val="ListBullet"/>
        <w:spacing w:before="20" w:after="40"/>
      </w:pPr>
      <w:r>
        <w:rPr>
          <w:rFonts w:ascii="Segoe UI" w:hAnsi="Segoe UI"/>
          <w:b/>
        </w:rPr>
        <w:t>Status:</w:t>
      </w:r>
      <w:r>
        <w:rPr>
          <w:rFonts w:ascii="Segoe UI" w:hAnsi="Segoe UI"/>
        </w:rPr>
        <w:t xml:space="preserve"> Implemented foundation</w:t>
      </w:r>
    </w:p>
    <w:p>
      <w:pPr>
        <w:pStyle w:val="ListBullet"/>
        <w:spacing w:before="20" w:after="40"/>
      </w:pPr>
      <w:r>
        <w:rPr>
          <w:rFonts w:ascii="Segoe UI" w:hAnsi="Segoe UI"/>
          <w:b/>
        </w:rPr>
        <w:t>Objective:</w:t>
      </w:r>
      <w:r>
        <w:rPr>
          <w:rFonts w:ascii="Segoe UI" w:hAnsi="Segoe UI"/>
        </w:rPr>
        <w:t xml:space="preserve"> Modernise login/register, navigation and dashboard while preserving secure cookie auth.</w:t>
      </w:r>
    </w:p>
    <w:p>
      <w:pPr>
        <w:pStyle w:val="ListBullet"/>
        <w:spacing w:before="20" w:after="40"/>
      </w:pPr>
      <w:r>
        <w:rPr>
          <w:rFonts w:ascii="Segoe UI" w:hAnsi="Segoe UI"/>
          <w:b/>
        </w:rPr>
        <w:t>Key Deliverables:</w:t>
      </w:r>
      <w:r>
        <w:rPr>
          <w:rFonts w:ascii="Segoe UI" w:hAnsi="Segoe UI"/>
        </w:rPr>
        <w:t xml:space="preserve"> Two-column auth experience; Grouped finance navigation; Real-data dashboard cards and quick actions.</w:t>
      </w:r>
    </w:p>
    <w:p>
      <w:pPr>
        <w:pStyle w:val="ListBullet"/>
        <w:spacing w:before="20" w:after="40"/>
      </w:pPr>
      <w:r>
        <w:rPr>
          <w:rFonts w:ascii="Segoe UI" w:hAnsi="Segoe UI"/>
          <w:b/>
        </w:rPr>
        <w:t>Accounting:</w:t>
      </w:r>
      <w:r>
        <w:rPr>
          <w:rFonts w:ascii="Segoe UI" w:hAnsi="Segoe UI"/>
        </w:rPr>
        <w:t xml:space="preserve"> No new posting rules.</w:t>
      </w:r>
    </w:p>
    <w:p>
      <w:pPr>
        <w:pStyle w:val="ListBullet"/>
        <w:spacing w:before="20" w:after="40"/>
      </w:pPr>
      <w:r>
        <w:rPr>
          <w:rFonts w:ascii="Segoe UI" w:hAnsi="Segoe UI"/>
          <w:b/>
        </w:rPr>
        <w:t>Primary Test Gate:</w:t>
      </w:r>
      <w:r>
        <w:rPr>
          <w:rFonts w:ascii="Segoe UI" w:hAnsi="Segoe UI"/>
        </w:rPr>
        <w:t xml:space="preserve"> Auth regression: login, refresh, logout, CSRF, organisation switch, RBAC.</w:t>
      </w:r>
    </w:p>
    <w:p>
      <w:pPr>
        <w:pStyle w:val="Heading3"/>
        <w:spacing w:before="160" w:after="40"/>
      </w:pPr>
      <w:r>
        <w:rPr>
          <w:rFonts w:ascii="Segoe UI" w:hAnsi="Segoe UI"/>
          <w:b/>
          <w:color w:val="475569"/>
          <w:sz w:val="22"/>
        </w:rPr>
        <w:t>P03 — Contacts V2</w:t>
      </w:r>
    </w:p>
    <w:p>
      <w:pPr>
        <w:pStyle w:val="ListBullet"/>
        <w:spacing w:before="20" w:after="40"/>
      </w:pPr>
      <w:r>
        <w:rPr>
          <w:rFonts w:ascii="Segoe UI" w:hAnsi="Segoe UI"/>
          <w:b/>
        </w:rPr>
        <w:t>Status:</w:t>
      </w:r>
      <w:r>
        <w:rPr>
          <w:rFonts w:ascii="Segoe UI" w:hAnsi="Segoe UI"/>
        </w:rPr>
        <w:t xml:space="preserve"> Implemented foundation</w:t>
      </w:r>
    </w:p>
    <w:p>
      <w:pPr>
        <w:pStyle w:val="ListBullet"/>
        <w:spacing w:before="20" w:after="40"/>
      </w:pPr>
      <w:r>
        <w:rPr>
          <w:rFonts w:ascii="Segoe UI" w:hAnsi="Segoe UI"/>
          <w:b/>
        </w:rPr>
        <w:t>Objective:</w:t>
      </w:r>
      <w:r>
        <w:rPr>
          <w:rFonts w:ascii="Segoe UI" w:hAnsi="Segoe UI"/>
        </w:rPr>
        <w:t xml:space="preserve"> Turn basic contacts into customer/supplier financial master data.</w:t>
      </w:r>
    </w:p>
    <w:p>
      <w:pPr>
        <w:pStyle w:val="ListBullet"/>
        <w:spacing w:before="20" w:after="40"/>
      </w:pPr>
      <w:r>
        <w:rPr>
          <w:rFonts w:ascii="Segoe UI" w:hAnsi="Segoe UI"/>
          <w:b/>
        </w:rPr>
        <w:t>Key Deliverables:</w:t>
      </w:r>
      <w:r>
        <w:rPr>
          <w:rFonts w:ascii="Segoe UI" w:hAnsi="Segoe UI"/>
        </w:rPr>
        <w:t xml:space="preserve"> Billing/shipping details, VAT/company data, terms and notes; AR/AP control-account relationships; Statements, balances, archive/restore.</w:t>
      </w:r>
    </w:p>
    <w:p>
      <w:pPr>
        <w:pStyle w:val="ListBullet"/>
        <w:spacing w:before="20" w:after="40"/>
      </w:pPr>
      <w:r>
        <w:rPr>
          <w:rFonts w:ascii="Segoe UI" w:hAnsi="Segoe UI"/>
          <w:b/>
        </w:rPr>
        <w:t>Accounting:</w:t>
      </w:r>
      <w:r>
        <w:rPr>
          <w:rFonts w:ascii="Segoe UI" w:hAnsi="Segoe UI"/>
        </w:rPr>
        <w:t xml:space="preserve"> Contacts never update ledger directly.</w:t>
      </w:r>
    </w:p>
    <w:p>
      <w:pPr>
        <w:pStyle w:val="ListBullet"/>
        <w:spacing w:before="20" w:after="40"/>
      </w:pPr>
      <w:r>
        <w:rPr>
          <w:rFonts w:ascii="Segoe UI" w:hAnsi="Segoe UI"/>
          <w:b/>
        </w:rPr>
        <w:t>Primary Test Gate:</w:t>
      </w:r>
      <w:r>
        <w:rPr>
          <w:rFonts w:ascii="Segoe UI" w:hAnsi="Segoe UI"/>
        </w:rPr>
        <w:t xml:space="preserve"> Tenant isolation, archive constraints and statement accuracy.</w:t>
      </w:r>
    </w:p>
    <w:p>
      <w:pPr>
        <w:pStyle w:val="Heading3"/>
        <w:spacing w:before="160" w:after="40"/>
      </w:pPr>
      <w:r>
        <w:rPr>
          <w:rFonts w:ascii="Segoe UI" w:hAnsi="Segoe UI"/>
          <w:b/>
          <w:color w:val="475569"/>
          <w:sz w:val="22"/>
        </w:rPr>
        <w:t>P04 — Sales Invoices &amp; PDF Engine</w:t>
      </w:r>
    </w:p>
    <w:p>
      <w:pPr>
        <w:pStyle w:val="ListBullet"/>
        <w:spacing w:before="20" w:after="40"/>
      </w:pPr>
      <w:r>
        <w:rPr>
          <w:rFonts w:ascii="Segoe UI" w:hAnsi="Segoe UI"/>
          <w:b/>
        </w:rPr>
        <w:t>Status:</w:t>
      </w:r>
      <w:r>
        <w:rPr>
          <w:rFonts w:ascii="Segoe UI" w:hAnsi="Segoe UI"/>
        </w:rPr>
        <w:t xml:space="preserve"> Implemented foundation</w:t>
      </w:r>
    </w:p>
    <w:p>
      <w:pPr>
        <w:pStyle w:val="ListBullet"/>
        <w:spacing w:before="20" w:after="40"/>
      </w:pPr>
      <w:r>
        <w:rPr>
          <w:rFonts w:ascii="Segoe UI" w:hAnsi="Segoe UI"/>
          <w:b/>
        </w:rPr>
        <w:t>Objective:</w:t>
      </w:r>
      <w:r>
        <w:rPr>
          <w:rFonts w:ascii="Segoe UI" w:hAnsi="Segoe UI"/>
        </w:rPr>
        <w:t xml:space="preserve"> Complete invoice lifecycle and branded PDF output.</w:t>
      </w:r>
    </w:p>
    <w:p>
      <w:pPr>
        <w:pStyle w:val="ListBullet"/>
        <w:spacing w:before="20" w:after="40"/>
      </w:pPr>
      <w:r>
        <w:rPr>
          <w:rFonts w:ascii="Segoe UI" w:hAnsi="Segoe UI"/>
          <w:b/>
        </w:rPr>
        <w:t>Key Deliverables:</w:t>
      </w:r>
      <w:r>
        <w:rPr>
          <w:rFonts w:ascii="Segoe UI" w:hAnsi="Segoe UI"/>
        </w:rPr>
        <w:t xml:space="preserve"> Payment terms, discounts, VAT integration, notes; Professional blynt PDF and email; Concurrency-safe numbering and accounting preview.</w:t>
      </w:r>
    </w:p>
    <w:p>
      <w:pPr>
        <w:pStyle w:val="ListBullet"/>
        <w:spacing w:before="20" w:after="40"/>
      </w:pPr>
      <w:r>
        <w:rPr>
          <w:rFonts w:ascii="Segoe UI" w:hAnsi="Segoe UI"/>
          <w:b/>
        </w:rPr>
        <w:t>Accounting:</w:t>
      </w:r>
      <w:r>
        <w:rPr>
          <w:rFonts w:ascii="Segoe UI" w:hAnsi="Segoe UI"/>
        </w:rPr>
        <w:t xml:space="preserve"> Post via central engine: DR AR; CR Revenue; CR Output VAT when applicable.</w:t>
      </w:r>
    </w:p>
    <w:p>
      <w:pPr>
        <w:pStyle w:val="ListBullet"/>
        <w:spacing w:before="20" w:after="40"/>
      </w:pPr>
      <w:r>
        <w:rPr>
          <w:rFonts w:ascii="Segoe UI" w:hAnsi="Segoe UI"/>
          <w:b/>
        </w:rPr>
        <w:t>Primary Test Gate:</w:t>
      </w:r>
      <w:r>
        <w:rPr>
          <w:rFonts w:ascii="Segoe UI" w:hAnsi="Segoe UI"/>
        </w:rPr>
        <w:t xml:space="preserve"> Posting idempotency, decimal precision, period locks, PDF data parity.</w:t>
      </w:r>
    </w:p>
    <w:p>
      <w:pPr>
        <w:pStyle w:val="Heading3"/>
        <w:spacing w:before="160" w:after="40"/>
      </w:pPr>
      <w:r>
        <w:rPr>
          <w:rFonts w:ascii="Segoe UI" w:hAnsi="Segoe UI"/>
          <w:b/>
          <w:color w:val="475569"/>
          <w:sz w:val="22"/>
        </w:rPr>
        <w:t>P05 — Customer Payments &amp; Allocations</w:t>
      </w:r>
    </w:p>
    <w:p>
      <w:pPr>
        <w:pStyle w:val="ListBullet"/>
        <w:spacing w:before="20" w:after="40"/>
      </w:pPr>
      <w:r>
        <w:rPr>
          <w:rFonts w:ascii="Segoe UI" w:hAnsi="Segoe UI"/>
          <w:b/>
        </w:rPr>
        <w:t>Status:</w:t>
      </w:r>
      <w:r>
        <w:rPr>
          <w:rFonts w:ascii="Segoe UI" w:hAnsi="Segoe UI"/>
        </w:rPr>
        <w:t xml:space="preserve"> Planned</w:t>
      </w:r>
    </w:p>
    <w:p>
      <w:pPr>
        <w:pStyle w:val="ListBullet"/>
        <w:spacing w:before="20" w:after="40"/>
      </w:pPr>
      <w:r>
        <w:rPr>
          <w:rFonts w:ascii="Segoe UI" w:hAnsi="Segoe UI"/>
          <w:b/>
        </w:rPr>
        <w:t>Objective:</w:t>
      </w:r>
      <w:r>
        <w:rPr>
          <w:rFonts w:ascii="Segoe UI" w:hAnsi="Segoe UI"/>
        </w:rPr>
        <w:t xml:space="preserve"> Record receipts and allocate them to one or more invoices.</w:t>
      </w:r>
    </w:p>
    <w:p>
      <w:pPr>
        <w:pStyle w:val="ListBullet"/>
        <w:spacing w:before="20" w:after="40"/>
      </w:pPr>
      <w:r>
        <w:rPr>
          <w:rFonts w:ascii="Segoe UI" w:hAnsi="Segoe UI"/>
          <w:b/>
        </w:rPr>
        <w:t>Key Deliverables:</w:t>
      </w:r>
      <w:r>
        <w:rPr>
          <w:rFonts w:ascii="Segoe UI" w:hAnsi="Segoe UI"/>
        </w:rPr>
        <w:t xml:space="preserve"> Full/partial/multi-invoice allocation; Overpayments and unapplied receipts; Receipts and payment history.</w:t>
      </w:r>
    </w:p>
    <w:p>
      <w:pPr>
        <w:pStyle w:val="ListBullet"/>
        <w:spacing w:before="20" w:after="40"/>
      </w:pPr>
      <w:r>
        <w:rPr>
          <w:rFonts w:ascii="Segoe UI" w:hAnsi="Segoe UI"/>
          <w:b/>
        </w:rPr>
        <w:t>Accounting:</w:t>
      </w:r>
      <w:r>
        <w:rPr>
          <w:rFonts w:ascii="Segoe UI" w:hAnsi="Segoe UI"/>
        </w:rPr>
        <w:t xml:space="preserve"> DR Bank; CR Accounts Receivable.</w:t>
      </w:r>
    </w:p>
    <w:p>
      <w:pPr>
        <w:pStyle w:val="ListBullet"/>
        <w:spacing w:before="20" w:after="40"/>
      </w:pPr>
      <w:r>
        <w:rPr>
          <w:rFonts w:ascii="Segoe UI" w:hAnsi="Segoe UI"/>
          <w:b/>
        </w:rPr>
        <w:t>Primary Test Gate:</w:t>
      </w:r>
      <w:r>
        <w:rPr>
          <w:rFonts w:ascii="Segoe UI" w:hAnsi="Segoe UI"/>
        </w:rPr>
        <w:t xml:space="preserve"> No double allocation, backend-authoritative outstanding balance, idempotent posting.</w:t>
      </w:r>
    </w:p>
    <w:p>
      <w:pPr>
        <w:pStyle w:val="Heading3"/>
        <w:spacing w:before="160" w:after="40"/>
      </w:pPr>
      <w:r>
        <w:rPr>
          <w:rFonts w:ascii="Segoe UI" w:hAnsi="Segoe UI"/>
          <w:b/>
          <w:color w:val="475569"/>
          <w:sz w:val="22"/>
        </w:rPr>
        <w:t>P06 — Credit Notes &amp; Refunds</w:t>
      </w:r>
    </w:p>
    <w:p>
      <w:pPr>
        <w:pStyle w:val="ListBullet"/>
        <w:spacing w:before="20" w:after="40"/>
      </w:pPr>
      <w:r>
        <w:rPr>
          <w:rFonts w:ascii="Segoe UI" w:hAnsi="Segoe UI"/>
          <w:b/>
        </w:rPr>
        <w:t>Status:</w:t>
      </w:r>
      <w:r>
        <w:rPr>
          <w:rFonts w:ascii="Segoe UI" w:hAnsi="Segoe UI"/>
        </w:rPr>
        <w:t xml:space="preserve"> Planned</w:t>
      </w:r>
    </w:p>
    <w:p>
      <w:pPr>
        <w:pStyle w:val="ListBullet"/>
        <w:spacing w:before="20" w:after="40"/>
      </w:pPr>
      <w:r>
        <w:rPr>
          <w:rFonts w:ascii="Segoe UI" w:hAnsi="Segoe UI"/>
          <w:b/>
        </w:rPr>
        <w:t>Objective:</w:t>
      </w:r>
      <w:r>
        <w:rPr>
          <w:rFonts w:ascii="Segoe UI" w:hAnsi="Segoe UI"/>
        </w:rPr>
        <w:t xml:space="preserve"> Correct sales invoices without mutating posted history.</w:t>
      </w:r>
    </w:p>
    <w:p>
      <w:pPr>
        <w:pStyle w:val="ListBullet"/>
        <w:spacing w:before="20" w:after="40"/>
      </w:pPr>
      <w:r>
        <w:rPr>
          <w:rFonts w:ascii="Segoe UI" w:hAnsi="Segoe UI"/>
          <w:b/>
        </w:rPr>
        <w:t>Key Deliverables:</w:t>
      </w:r>
      <w:r>
        <w:rPr>
          <w:rFonts w:ascii="Segoe UI" w:hAnsi="Segoe UI"/>
        </w:rPr>
        <w:t xml:space="preserve"> Full/partial credit notes; Apply credits and manage customer credit; Refund workflow.</w:t>
      </w:r>
    </w:p>
    <w:p>
      <w:pPr>
        <w:pStyle w:val="ListBullet"/>
        <w:spacing w:before="20" w:after="40"/>
      </w:pPr>
      <w:r>
        <w:rPr>
          <w:rFonts w:ascii="Segoe UI" w:hAnsi="Segoe UI"/>
          <w:b/>
        </w:rPr>
        <w:t>Accounting:</w:t>
      </w:r>
      <w:r>
        <w:rPr>
          <w:rFonts w:ascii="Segoe UI" w:hAnsi="Segoe UI"/>
        </w:rPr>
        <w:t xml:space="preserve"> Reverse relevant AR, revenue and VAT through new accounting events.</w:t>
      </w:r>
    </w:p>
    <w:p>
      <w:pPr>
        <w:pStyle w:val="ListBullet"/>
        <w:spacing w:before="20" w:after="40"/>
      </w:pPr>
      <w:r>
        <w:rPr>
          <w:rFonts w:ascii="Segoe UI" w:hAnsi="Segoe UI"/>
          <w:b/>
        </w:rPr>
        <w:t>Primary Test Gate:</w:t>
      </w:r>
      <w:r>
        <w:rPr>
          <w:rFonts w:ascii="Segoe UI" w:hAnsi="Segoe UI"/>
        </w:rPr>
        <w:t xml:space="preserve"> Original invoice/journal immutable; allocation and VAT tests.</w:t>
      </w:r>
    </w:p>
    <w:p>
      <w:pPr>
        <w:pStyle w:val="Heading3"/>
        <w:spacing w:before="160" w:after="40"/>
      </w:pPr>
      <w:r>
        <w:rPr>
          <w:rFonts w:ascii="Segoe UI" w:hAnsi="Segoe UI"/>
          <w:b/>
          <w:color w:val="475569"/>
          <w:sz w:val="22"/>
        </w:rPr>
        <w:t>P07 — Supplier Bills &amp; Accounts Payable</w:t>
      </w:r>
    </w:p>
    <w:p>
      <w:pPr>
        <w:pStyle w:val="ListBullet"/>
        <w:spacing w:before="20" w:after="40"/>
      </w:pPr>
      <w:r>
        <w:rPr>
          <w:rFonts w:ascii="Segoe UI" w:hAnsi="Segoe UI"/>
          <w:b/>
        </w:rPr>
        <w:t>Status:</w:t>
      </w:r>
      <w:r>
        <w:rPr>
          <w:rFonts w:ascii="Segoe UI" w:hAnsi="Segoe UI"/>
        </w:rPr>
        <w:t xml:space="preserve"> Planned</w:t>
      </w:r>
    </w:p>
    <w:p>
      <w:pPr>
        <w:pStyle w:val="ListBullet"/>
        <w:spacing w:before="20" w:after="40"/>
      </w:pPr>
      <w:r>
        <w:rPr>
          <w:rFonts w:ascii="Segoe UI" w:hAnsi="Segoe UI"/>
          <w:b/>
        </w:rPr>
        <w:t>Objective:</w:t>
      </w:r>
      <w:r>
        <w:rPr>
          <w:rFonts w:ascii="Segoe UI" w:hAnsi="Segoe UI"/>
        </w:rPr>
        <w:t xml:space="preserve"> Introduce purchase-side liabilities and supplier bills.</w:t>
      </w:r>
    </w:p>
    <w:p>
      <w:pPr>
        <w:pStyle w:val="ListBullet"/>
        <w:spacing w:before="20" w:after="40"/>
      </w:pPr>
      <w:r>
        <w:rPr>
          <w:rFonts w:ascii="Segoe UI" w:hAnsi="Segoe UI"/>
          <w:b/>
        </w:rPr>
        <w:t>Key Deliverables:</w:t>
      </w:r>
      <w:r>
        <w:rPr>
          <w:rFonts w:ascii="Segoe UI" w:hAnsi="Segoe UI"/>
        </w:rPr>
        <w:t xml:space="preserve"> Supplier bill lifecycle and line items; Attachments and duplicate-reference protection; AP ageing-ready data model.</w:t>
      </w:r>
    </w:p>
    <w:p>
      <w:pPr>
        <w:pStyle w:val="ListBullet"/>
        <w:spacing w:before="20" w:after="40"/>
      </w:pPr>
      <w:r>
        <w:rPr>
          <w:rFonts w:ascii="Segoe UI" w:hAnsi="Segoe UI"/>
          <w:b/>
        </w:rPr>
        <w:t>Accounting:</w:t>
      </w:r>
      <w:r>
        <w:rPr>
          <w:rFonts w:ascii="Segoe UI" w:hAnsi="Segoe UI"/>
        </w:rPr>
        <w:t xml:space="preserve"> DR Expense/Asset; DR Input VAT; CR Accounts Payable.</w:t>
      </w:r>
    </w:p>
    <w:p>
      <w:pPr>
        <w:pStyle w:val="ListBullet"/>
        <w:spacing w:before="20" w:after="40"/>
      </w:pPr>
      <w:r>
        <w:rPr>
          <w:rFonts w:ascii="Segoe UI" w:hAnsi="Segoe UI"/>
          <w:b/>
        </w:rPr>
        <w:t>Primary Test Gate:</w:t>
      </w:r>
      <w:r>
        <w:rPr>
          <w:rFonts w:ascii="Segoe UI" w:hAnsi="Segoe UI"/>
        </w:rPr>
        <w:t xml:space="preserve"> Duplicate detection, tenant FK safety, period lock tests.</w:t>
      </w:r>
    </w:p>
    <w:p>
      <w:pPr>
        <w:pStyle w:val="Heading3"/>
        <w:spacing w:before="160" w:after="40"/>
      </w:pPr>
      <w:r>
        <w:rPr>
          <w:rFonts w:ascii="Segoe UI" w:hAnsi="Segoe UI"/>
          <w:b/>
          <w:color w:val="475569"/>
          <w:sz w:val="22"/>
        </w:rPr>
        <w:t>P08 — Supplier Payments</w:t>
      </w:r>
    </w:p>
    <w:p>
      <w:pPr>
        <w:pStyle w:val="ListBullet"/>
        <w:spacing w:before="20" w:after="40"/>
      </w:pPr>
      <w:r>
        <w:rPr>
          <w:rFonts w:ascii="Segoe UI" w:hAnsi="Segoe UI"/>
          <w:b/>
        </w:rPr>
        <w:t>Status:</w:t>
      </w:r>
      <w:r>
        <w:rPr>
          <w:rFonts w:ascii="Segoe UI" w:hAnsi="Segoe UI"/>
        </w:rPr>
        <w:t xml:space="preserve"> Planned</w:t>
      </w:r>
    </w:p>
    <w:p>
      <w:pPr>
        <w:pStyle w:val="ListBullet"/>
        <w:spacing w:before="20" w:after="40"/>
      </w:pPr>
      <w:r>
        <w:rPr>
          <w:rFonts w:ascii="Segoe UI" w:hAnsi="Segoe UI"/>
          <w:b/>
        </w:rPr>
        <w:t>Objective:</w:t>
      </w:r>
      <w:r>
        <w:rPr>
          <w:rFonts w:ascii="Segoe UI" w:hAnsi="Segoe UI"/>
        </w:rPr>
        <w:t xml:space="preserve"> Settle supplier liabilities with complete allocation history.</w:t>
      </w:r>
    </w:p>
    <w:p>
      <w:pPr>
        <w:pStyle w:val="ListBullet"/>
        <w:spacing w:before="20" w:after="40"/>
      </w:pPr>
      <w:r>
        <w:rPr>
          <w:rFonts w:ascii="Segoe UI" w:hAnsi="Segoe UI"/>
          <w:b/>
        </w:rPr>
        <w:t>Key Deliverables:</w:t>
      </w:r>
      <w:r>
        <w:rPr>
          <w:rFonts w:ascii="Segoe UI" w:hAnsi="Segoe UI"/>
        </w:rPr>
        <w:t xml:space="preserve"> Full/partial/multi-bill allocation; Supplier credits; Payment references and bank account.</w:t>
      </w:r>
    </w:p>
    <w:p>
      <w:pPr>
        <w:pStyle w:val="ListBullet"/>
        <w:spacing w:before="20" w:after="40"/>
      </w:pPr>
      <w:r>
        <w:rPr>
          <w:rFonts w:ascii="Segoe UI" w:hAnsi="Segoe UI"/>
          <w:b/>
        </w:rPr>
        <w:t>Accounting:</w:t>
      </w:r>
      <w:r>
        <w:rPr>
          <w:rFonts w:ascii="Segoe UI" w:hAnsi="Segoe UI"/>
        </w:rPr>
        <w:t xml:space="preserve"> DR Accounts Payable; CR Bank.</w:t>
      </w:r>
    </w:p>
    <w:p>
      <w:pPr>
        <w:pStyle w:val="ListBullet"/>
        <w:spacing w:before="20" w:after="40"/>
      </w:pPr>
      <w:r>
        <w:rPr>
          <w:rFonts w:ascii="Segoe UI" w:hAnsi="Segoe UI"/>
          <w:b/>
        </w:rPr>
        <w:t>Primary Test Gate:</w:t>
      </w:r>
      <w:r>
        <w:rPr>
          <w:rFonts w:ascii="Segoe UI" w:hAnsi="Segoe UI"/>
        </w:rPr>
        <w:t xml:space="preserve"> No over-allocation, idempotency and AP reconciliation.</w:t>
      </w:r>
    </w:p>
    <w:p>
      <w:pPr>
        <w:pStyle w:val="Heading3"/>
        <w:spacing w:before="160" w:after="40"/>
      </w:pPr>
      <w:r>
        <w:rPr>
          <w:rFonts w:ascii="Segoe UI" w:hAnsi="Segoe UI"/>
          <w:b/>
          <w:color w:val="475569"/>
          <w:sz w:val="22"/>
        </w:rPr>
        <w:t>P09 — Expenses</w:t>
      </w:r>
    </w:p>
    <w:p>
      <w:pPr>
        <w:pStyle w:val="ListBullet"/>
        <w:spacing w:before="20" w:after="40"/>
      </w:pPr>
      <w:r>
        <w:rPr>
          <w:rFonts w:ascii="Segoe UI" w:hAnsi="Segoe UI"/>
          <w:b/>
        </w:rPr>
        <w:t>Status:</w:t>
      </w:r>
      <w:r>
        <w:rPr>
          <w:rFonts w:ascii="Segoe UI" w:hAnsi="Segoe UI"/>
        </w:rPr>
        <w:t xml:space="preserve"> Planned</w:t>
      </w:r>
    </w:p>
    <w:p>
      <w:pPr>
        <w:pStyle w:val="ListBullet"/>
        <w:spacing w:before="20" w:after="40"/>
      </w:pPr>
      <w:r>
        <w:rPr>
          <w:rFonts w:ascii="Segoe UI" w:hAnsi="Segoe UI"/>
          <w:b/>
        </w:rPr>
        <w:t>Objective:</w:t>
      </w:r>
      <w:r>
        <w:rPr>
          <w:rFonts w:ascii="Segoe UI" w:hAnsi="Segoe UI"/>
        </w:rPr>
        <w:t xml:space="preserve"> Provide fast cash/bank/card expense capture.</w:t>
      </w:r>
    </w:p>
    <w:p>
      <w:pPr>
        <w:pStyle w:val="ListBullet"/>
        <w:spacing w:before="20" w:after="40"/>
      </w:pPr>
      <w:r>
        <w:rPr>
          <w:rFonts w:ascii="Segoe UI" w:hAnsi="Segoe UI"/>
          <w:b/>
        </w:rPr>
        <w:t>Key Deliverables:</w:t>
      </w:r>
      <w:r>
        <w:rPr>
          <w:rFonts w:ascii="Segoe UI" w:hAnsi="Segoe UI"/>
        </w:rPr>
        <w:t xml:space="preserve"> Category/account, supplier, VAT, receipt; Payment account and reference; Optional reimbursement support.</w:t>
      </w:r>
    </w:p>
    <w:p>
      <w:pPr>
        <w:pStyle w:val="ListBullet"/>
        <w:spacing w:before="20" w:after="40"/>
      </w:pPr>
      <w:r>
        <w:rPr>
          <w:rFonts w:ascii="Segoe UI" w:hAnsi="Segoe UI"/>
          <w:b/>
        </w:rPr>
        <w:t>Accounting:</w:t>
      </w:r>
      <w:r>
        <w:rPr>
          <w:rFonts w:ascii="Segoe UI" w:hAnsi="Segoe UI"/>
        </w:rPr>
        <w:t xml:space="preserve"> Post expense through central engine; never direct balances.</w:t>
      </w:r>
    </w:p>
    <w:p>
      <w:pPr>
        <w:pStyle w:val="ListBullet"/>
        <w:spacing w:before="20" w:after="40"/>
      </w:pPr>
      <w:r>
        <w:rPr>
          <w:rFonts w:ascii="Segoe UI" w:hAnsi="Segoe UI"/>
          <w:b/>
        </w:rPr>
        <w:t>Primary Test Gate:</w:t>
      </w:r>
      <w:r>
        <w:rPr>
          <w:rFonts w:ascii="Segoe UI" w:hAnsi="Segoe UI"/>
        </w:rPr>
        <w:t xml:space="preserve"> Decimal/VAT validation, attachments, permissions.</w:t>
      </w:r>
    </w:p>
    <w:p>
      <w:pPr>
        <w:pStyle w:val="Heading3"/>
        <w:spacing w:before="160" w:after="40"/>
      </w:pPr>
      <w:r>
        <w:rPr>
          <w:rFonts w:ascii="Segoe UI" w:hAnsi="Segoe UI"/>
          <w:b/>
          <w:color w:val="475569"/>
          <w:sz w:val="22"/>
        </w:rPr>
        <w:t>P10 — UK VAT Engine</w:t>
      </w:r>
    </w:p>
    <w:p>
      <w:pPr>
        <w:pStyle w:val="ListBullet"/>
        <w:spacing w:before="20" w:after="40"/>
      </w:pPr>
      <w:r>
        <w:rPr>
          <w:rFonts w:ascii="Segoe UI" w:hAnsi="Segoe UI"/>
          <w:b/>
        </w:rPr>
        <w:t>Status:</w:t>
      </w:r>
      <w:r>
        <w:rPr>
          <w:rFonts w:ascii="Segoe UI" w:hAnsi="Segoe UI"/>
        </w:rPr>
        <w:t xml:space="preserve"> Planned</w:t>
      </w:r>
    </w:p>
    <w:p>
      <w:pPr>
        <w:pStyle w:val="ListBullet"/>
        <w:spacing w:before="20" w:after="40"/>
      </w:pPr>
      <w:r>
        <w:rPr>
          <w:rFonts w:ascii="Segoe UI" w:hAnsi="Segoe UI"/>
          <w:b/>
        </w:rPr>
        <w:t>Objective:</w:t>
      </w:r>
      <w:r>
        <w:rPr>
          <w:rFonts w:ascii="Segoe UI" w:hAnsi="Segoe UI"/>
        </w:rPr>
        <w:t xml:space="preserve"> Create configurable UK tax logic and VAT-control accounting.</w:t>
      </w:r>
    </w:p>
    <w:p>
      <w:pPr>
        <w:pStyle w:val="ListBullet"/>
        <w:spacing w:before="20" w:after="40"/>
      </w:pPr>
      <w:r>
        <w:rPr>
          <w:rFonts w:ascii="Segoe UI" w:hAnsi="Segoe UI"/>
          <w:b/>
        </w:rPr>
        <w:t>Key Deliverables:</w:t>
      </w:r>
      <w:r>
        <w:rPr>
          <w:rFonts w:ascii="Segoe UI" w:hAnsi="Segoe UI"/>
        </w:rPr>
        <w:t xml:space="preserve"> TaxRate entities and codes; Inclusive/exclusive calculations and rounding; VAT periods and return preview.</w:t>
      </w:r>
    </w:p>
    <w:p>
      <w:pPr>
        <w:pStyle w:val="ListBullet"/>
        <w:spacing w:before="20" w:after="40"/>
      </w:pPr>
      <w:r>
        <w:rPr>
          <w:rFonts w:ascii="Segoe UI" w:hAnsi="Segoe UI"/>
          <w:b/>
        </w:rPr>
        <w:t>Accounting:</w:t>
      </w:r>
      <w:r>
        <w:rPr>
          <w:rFonts w:ascii="Segoe UI" w:hAnsi="Segoe UI"/>
        </w:rPr>
        <w:t xml:space="preserve"> Use input/output VAT control accounts and central posting.</w:t>
      </w:r>
    </w:p>
    <w:p>
      <w:pPr>
        <w:pStyle w:val="ListBullet"/>
        <w:spacing w:before="20" w:after="40"/>
      </w:pPr>
      <w:r>
        <w:rPr>
          <w:rFonts w:ascii="Segoe UI" w:hAnsi="Segoe UI"/>
          <w:b/>
        </w:rPr>
        <w:t>Primary Test Gate:</w:t>
      </w:r>
      <w:r>
        <w:rPr>
          <w:rFonts w:ascii="Segoe UI" w:hAnsi="Segoe UI"/>
        </w:rPr>
        <w:t xml:space="preserve"> Exact tax arithmetic, rate-effective dates, mixed-rate cases.</w:t>
      </w:r>
    </w:p>
    <w:p>
      <w:pPr>
        <w:pStyle w:val="Heading3"/>
        <w:spacing w:before="160" w:after="40"/>
      </w:pPr>
      <w:r>
        <w:rPr>
          <w:rFonts w:ascii="Segoe UI" w:hAnsi="Segoe UI"/>
          <w:b/>
          <w:color w:val="475569"/>
          <w:sz w:val="22"/>
        </w:rPr>
        <w:t>P11 — Banking</w:t>
      </w:r>
    </w:p>
    <w:p>
      <w:pPr>
        <w:pStyle w:val="ListBullet"/>
        <w:spacing w:before="20" w:after="40"/>
      </w:pPr>
      <w:r>
        <w:rPr>
          <w:rFonts w:ascii="Segoe UI" w:hAnsi="Segoe UI"/>
          <w:b/>
        </w:rPr>
        <w:t>Status:</w:t>
      </w:r>
      <w:r>
        <w:rPr>
          <w:rFonts w:ascii="Segoe UI" w:hAnsi="Segoe UI"/>
        </w:rPr>
        <w:t xml:space="preserve"> Planned</w:t>
      </w:r>
    </w:p>
    <w:p>
      <w:pPr>
        <w:pStyle w:val="ListBullet"/>
        <w:spacing w:before="20" w:after="40"/>
      </w:pPr>
      <w:r>
        <w:rPr>
          <w:rFonts w:ascii="Segoe UI" w:hAnsi="Segoe UI"/>
          <w:b/>
        </w:rPr>
        <w:t>Objective:</w:t>
      </w:r>
      <w:r>
        <w:rPr>
          <w:rFonts w:ascii="Segoe UI" w:hAnsi="Segoe UI"/>
        </w:rPr>
        <w:t xml:space="preserve"> Model organisation bank accounts and import statements.</w:t>
      </w:r>
    </w:p>
    <w:p>
      <w:pPr>
        <w:pStyle w:val="ListBullet"/>
        <w:spacing w:before="20" w:after="40"/>
      </w:pPr>
      <w:r>
        <w:rPr>
          <w:rFonts w:ascii="Segoe UI" w:hAnsi="Segoe UI"/>
          <w:b/>
        </w:rPr>
        <w:t>Key Deliverables:</w:t>
      </w:r>
      <w:r>
        <w:rPr>
          <w:rFonts w:ascii="Segoe UI" w:hAnsi="Segoe UI"/>
        </w:rPr>
        <w:t xml:space="preserve"> Bank accounts mapped to GL; CSV transaction import and duplicate detection; Import mapping/history.</w:t>
      </w:r>
    </w:p>
    <w:p>
      <w:pPr>
        <w:pStyle w:val="ListBullet"/>
        <w:spacing w:before="20" w:after="40"/>
      </w:pPr>
      <w:r>
        <w:rPr>
          <w:rFonts w:ascii="Segoe UI" w:hAnsi="Segoe UI"/>
          <w:b/>
        </w:rPr>
        <w:t>Accounting:</w:t>
      </w:r>
      <w:r>
        <w:rPr>
          <w:rFonts w:ascii="Segoe UI" w:hAnsi="Segoe UI"/>
        </w:rPr>
        <w:t xml:space="preserve"> Imported transactions do not change ledger until matched/posted.</w:t>
      </w:r>
    </w:p>
    <w:p>
      <w:pPr>
        <w:pStyle w:val="ListBullet"/>
        <w:spacing w:before="20" w:after="40"/>
      </w:pPr>
      <w:r>
        <w:rPr>
          <w:rFonts w:ascii="Segoe UI" w:hAnsi="Segoe UI"/>
          <w:b/>
        </w:rPr>
        <w:t>Primary Test Gate:</w:t>
      </w:r>
      <w:r>
        <w:rPr>
          <w:rFonts w:ascii="Segoe UI" w:hAnsi="Segoe UI"/>
        </w:rPr>
        <w:t xml:space="preserve"> Import validation, masked bank data, tenant separation.</w:t>
      </w:r>
    </w:p>
    <w:p>
      <w:pPr>
        <w:pStyle w:val="Heading3"/>
        <w:spacing w:before="160" w:after="40"/>
      </w:pPr>
      <w:r>
        <w:rPr>
          <w:rFonts w:ascii="Segoe UI" w:hAnsi="Segoe UI"/>
          <w:b/>
          <w:color w:val="475569"/>
          <w:sz w:val="22"/>
        </w:rPr>
        <w:t>P12 — Bank Reconciliation</w:t>
      </w:r>
    </w:p>
    <w:p>
      <w:pPr>
        <w:pStyle w:val="ListBullet"/>
        <w:spacing w:before="20" w:after="40"/>
      </w:pPr>
      <w:r>
        <w:rPr>
          <w:rFonts w:ascii="Segoe UI" w:hAnsi="Segoe UI"/>
          <w:b/>
        </w:rPr>
        <w:t>Status:</w:t>
      </w:r>
      <w:r>
        <w:rPr>
          <w:rFonts w:ascii="Segoe UI" w:hAnsi="Segoe UI"/>
        </w:rPr>
        <w:t xml:space="preserve"> Planned</w:t>
      </w:r>
    </w:p>
    <w:p>
      <w:pPr>
        <w:pStyle w:val="ListBullet"/>
        <w:spacing w:before="20" w:after="40"/>
      </w:pPr>
      <w:r>
        <w:rPr>
          <w:rFonts w:ascii="Segoe UI" w:hAnsi="Segoe UI"/>
          <w:b/>
        </w:rPr>
        <w:t>Objective:</w:t>
      </w:r>
      <w:r>
        <w:rPr>
          <w:rFonts w:ascii="Segoe UI" w:hAnsi="Segoe UI"/>
        </w:rPr>
        <w:t xml:space="preserve"> Match bank activity with blynt accounting transactions.</w:t>
      </w:r>
    </w:p>
    <w:p>
      <w:pPr>
        <w:pStyle w:val="ListBullet"/>
        <w:spacing w:before="20" w:after="40"/>
      </w:pPr>
      <w:r>
        <w:rPr>
          <w:rFonts w:ascii="Segoe UI" w:hAnsi="Segoe UI"/>
          <w:b/>
        </w:rPr>
        <w:t>Key Deliverables:</w:t>
      </w:r>
      <w:r>
        <w:rPr>
          <w:rFonts w:ascii="Segoe UI" w:hAnsi="Segoe UI"/>
        </w:rPr>
        <w:t xml:space="preserve"> Suggested matches; Match/create expense/payment/transfer/split/ignore; Reconciliation history and progress.</w:t>
      </w:r>
    </w:p>
    <w:p>
      <w:pPr>
        <w:pStyle w:val="ListBullet"/>
        <w:spacing w:before="20" w:after="40"/>
      </w:pPr>
      <w:r>
        <w:rPr>
          <w:rFonts w:ascii="Segoe UI" w:hAnsi="Segoe UI"/>
          <w:b/>
        </w:rPr>
        <w:t>Accounting:</w:t>
      </w:r>
      <w:r>
        <w:rPr>
          <w:rFonts w:ascii="Segoe UI" w:hAnsi="Segoe UI"/>
        </w:rPr>
        <w:t xml:space="preserve"> Accounting events created only for approved create actions.</w:t>
      </w:r>
    </w:p>
    <w:p>
      <w:pPr>
        <w:pStyle w:val="ListBullet"/>
        <w:spacing w:before="20" w:after="40"/>
      </w:pPr>
      <w:r>
        <w:rPr>
          <w:rFonts w:ascii="Segoe UI" w:hAnsi="Segoe UI"/>
          <w:b/>
        </w:rPr>
        <w:t>Primary Test Gate:</w:t>
      </w:r>
      <w:r>
        <w:rPr>
          <w:rFonts w:ascii="Segoe UI" w:hAnsi="Segoe UI"/>
        </w:rPr>
        <w:t xml:space="preserve"> Difference must reconcile to £0.00; repeat-safe matching.</w:t>
      </w:r>
    </w:p>
    <w:p>
      <w:pPr>
        <w:pStyle w:val="Heading3"/>
        <w:spacing w:before="160" w:after="40"/>
      </w:pPr>
      <w:r>
        <w:rPr>
          <w:rFonts w:ascii="Segoe UI" w:hAnsi="Segoe UI"/>
          <w:b/>
          <w:color w:val="475569"/>
          <w:sz w:val="22"/>
        </w:rPr>
        <w:t>P13 — Profit &amp; Loss</w:t>
      </w:r>
    </w:p>
    <w:p>
      <w:pPr>
        <w:pStyle w:val="ListBullet"/>
        <w:spacing w:before="20" w:after="40"/>
      </w:pPr>
      <w:r>
        <w:rPr>
          <w:rFonts w:ascii="Segoe UI" w:hAnsi="Segoe UI"/>
          <w:b/>
        </w:rPr>
        <w:t>Status:</w:t>
      </w:r>
      <w:r>
        <w:rPr>
          <w:rFonts w:ascii="Segoe UI" w:hAnsi="Segoe UI"/>
        </w:rPr>
        <w:t xml:space="preserve"> Planned</w:t>
      </w:r>
    </w:p>
    <w:p>
      <w:pPr>
        <w:pStyle w:val="ListBullet"/>
        <w:spacing w:before="20" w:after="40"/>
      </w:pPr>
      <w:r>
        <w:rPr>
          <w:rFonts w:ascii="Segoe UI" w:hAnsi="Segoe UI"/>
          <w:b/>
        </w:rPr>
        <w:t>Objective:</w:t>
      </w:r>
      <w:r>
        <w:rPr>
          <w:rFonts w:ascii="Segoe UI" w:hAnsi="Segoe UI"/>
        </w:rPr>
        <w:t xml:space="preserve"> Generate income/expense performance reporting from posted ledger lines.</w:t>
      </w:r>
    </w:p>
    <w:p>
      <w:pPr>
        <w:pStyle w:val="ListBullet"/>
        <w:spacing w:before="20" w:after="40"/>
      </w:pPr>
      <w:r>
        <w:rPr>
          <w:rFonts w:ascii="Segoe UI" w:hAnsi="Segoe UI"/>
          <w:b/>
        </w:rPr>
        <w:t>Key Deliverables:</w:t>
      </w:r>
      <w:r>
        <w:rPr>
          <w:rFonts w:ascii="Segoe UI" w:hAnsi="Segoe UI"/>
        </w:rPr>
        <w:t xml:space="preserve"> Period/custom range; Comparatives; Drill-down to account/journal/source.</w:t>
      </w:r>
    </w:p>
    <w:p>
      <w:pPr>
        <w:pStyle w:val="ListBullet"/>
        <w:spacing w:before="20" w:after="40"/>
      </w:pPr>
      <w:r>
        <w:rPr>
          <w:rFonts w:ascii="Segoe UI" w:hAnsi="Segoe UI"/>
          <w:b/>
        </w:rPr>
        <w:t>Accounting:</w:t>
      </w:r>
      <w:r>
        <w:rPr>
          <w:rFonts w:ascii="Segoe UI" w:hAnsi="Segoe UI"/>
        </w:rPr>
        <w:t xml:space="preserve"> Report derives from GL only.</w:t>
      </w:r>
    </w:p>
    <w:p>
      <w:pPr>
        <w:pStyle w:val="ListBullet"/>
        <w:spacing w:before="20" w:after="40"/>
      </w:pPr>
      <w:r>
        <w:rPr>
          <w:rFonts w:ascii="Segoe UI" w:hAnsi="Segoe UI"/>
          <w:b/>
        </w:rPr>
        <w:t>Primary Test Gate:</w:t>
      </w:r>
      <w:r>
        <w:rPr>
          <w:rFonts w:ascii="Segoe UI" w:hAnsi="Segoe UI"/>
        </w:rPr>
        <w:t xml:space="preserve"> Report total tests against journal fixtures.</w:t>
      </w:r>
    </w:p>
    <w:p>
      <w:pPr>
        <w:pStyle w:val="Heading3"/>
        <w:spacing w:before="160" w:after="40"/>
      </w:pPr>
      <w:r>
        <w:rPr>
          <w:rFonts w:ascii="Segoe UI" w:hAnsi="Segoe UI"/>
          <w:b/>
          <w:color w:val="475569"/>
          <w:sz w:val="22"/>
        </w:rPr>
        <w:t>P14 — Balance Sheet</w:t>
      </w:r>
    </w:p>
    <w:p>
      <w:pPr>
        <w:pStyle w:val="ListBullet"/>
        <w:spacing w:before="20" w:after="40"/>
      </w:pPr>
      <w:r>
        <w:rPr>
          <w:rFonts w:ascii="Segoe UI" w:hAnsi="Segoe UI"/>
          <w:b/>
        </w:rPr>
        <w:t>Status:</w:t>
      </w:r>
      <w:r>
        <w:rPr>
          <w:rFonts w:ascii="Segoe UI" w:hAnsi="Segoe UI"/>
        </w:rPr>
        <w:t xml:space="preserve"> Planned</w:t>
      </w:r>
    </w:p>
    <w:p>
      <w:pPr>
        <w:pStyle w:val="ListBullet"/>
        <w:spacing w:before="20" w:after="40"/>
      </w:pPr>
      <w:r>
        <w:rPr>
          <w:rFonts w:ascii="Segoe UI" w:hAnsi="Segoe UI"/>
          <w:b/>
        </w:rPr>
        <w:t>Objective:</w:t>
      </w:r>
      <w:r>
        <w:rPr>
          <w:rFonts w:ascii="Segoe UI" w:hAnsi="Segoe UI"/>
        </w:rPr>
        <w:t xml:space="preserve"> Report assets, liabilities and equity from ledger state.</w:t>
      </w:r>
    </w:p>
    <w:p>
      <w:pPr>
        <w:pStyle w:val="ListBullet"/>
        <w:spacing w:before="20" w:after="40"/>
      </w:pPr>
      <w:r>
        <w:rPr>
          <w:rFonts w:ascii="Segoe UI" w:hAnsi="Segoe UI"/>
          <w:b/>
        </w:rPr>
        <w:t>Key Deliverables:</w:t>
      </w:r>
      <w:r>
        <w:rPr>
          <w:rFonts w:ascii="Segoe UI" w:hAnsi="Segoe UI"/>
        </w:rPr>
        <w:t xml:space="preserve"> Current/prior comparative views; Account grouping; Drill-down.</w:t>
      </w:r>
    </w:p>
    <w:p>
      <w:pPr>
        <w:pStyle w:val="ListBullet"/>
        <w:spacing w:before="20" w:after="40"/>
      </w:pPr>
      <w:r>
        <w:rPr>
          <w:rFonts w:ascii="Segoe UI" w:hAnsi="Segoe UI"/>
          <w:b/>
        </w:rPr>
        <w:t>Accounting:</w:t>
      </w:r>
      <w:r>
        <w:rPr>
          <w:rFonts w:ascii="Segoe UI" w:hAnsi="Segoe UI"/>
        </w:rPr>
        <w:t xml:space="preserve"> Assets = Liabilities + Equity.</w:t>
      </w:r>
    </w:p>
    <w:p>
      <w:pPr>
        <w:pStyle w:val="ListBullet"/>
        <w:spacing w:before="20" w:after="40"/>
      </w:pPr>
      <w:r>
        <w:rPr>
          <w:rFonts w:ascii="Segoe UI" w:hAnsi="Segoe UI"/>
          <w:b/>
        </w:rPr>
        <w:t>Primary Test Gate:</w:t>
      </w:r>
      <w:r>
        <w:rPr>
          <w:rFonts w:ascii="Segoe UI" w:hAnsi="Segoe UI"/>
        </w:rPr>
        <w:t xml:space="preserve"> Equation invariant across test organisations and dates.</w:t>
      </w:r>
    </w:p>
    <w:p>
      <w:pPr>
        <w:pStyle w:val="Heading3"/>
        <w:spacing w:before="160" w:after="40"/>
      </w:pPr>
      <w:r>
        <w:rPr>
          <w:rFonts w:ascii="Segoe UI" w:hAnsi="Segoe UI"/>
          <w:b/>
          <w:color w:val="475569"/>
          <w:sz w:val="22"/>
        </w:rPr>
        <w:t>P15 — Cash Flow Statement</w:t>
      </w:r>
    </w:p>
    <w:p>
      <w:pPr>
        <w:pStyle w:val="ListBullet"/>
        <w:spacing w:before="20" w:after="40"/>
      </w:pPr>
      <w:r>
        <w:rPr>
          <w:rFonts w:ascii="Segoe UI" w:hAnsi="Segoe UI"/>
          <w:b/>
        </w:rPr>
        <w:t>Status:</w:t>
      </w:r>
      <w:r>
        <w:rPr>
          <w:rFonts w:ascii="Segoe UI" w:hAnsi="Segoe UI"/>
        </w:rPr>
        <w:t xml:space="preserve"> Planned</w:t>
      </w:r>
    </w:p>
    <w:p>
      <w:pPr>
        <w:pStyle w:val="ListBullet"/>
        <w:spacing w:before="20" w:after="40"/>
      </w:pPr>
      <w:r>
        <w:rPr>
          <w:rFonts w:ascii="Segoe UI" w:hAnsi="Segoe UI"/>
          <w:b/>
        </w:rPr>
        <w:t>Objective:</w:t>
      </w:r>
      <w:r>
        <w:rPr>
          <w:rFonts w:ascii="Segoe UI" w:hAnsi="Segoe UI"/>
        </w:rPr>
        <w:t xml:space="preserve"> Produce a proper accounting cash-flow statement.</w:t>
      </w:r>
    </w:p>
    <w:p>
      <w:pPr>
        <w:pStyle w:val="ListBullet"/>
        <w:spacing w:before="20" w:after="40"/>
      </w:pPr>
      <w:r>
        <w:rPr>
          <w:rFonts w:ascii="Segoe UI" w:hAnsi="Segoe UI"/>
          <w:b/>
        </w:rPr>
        <w:t>Key Deliverables:</w:t>
      </w:r>
      <w:r>
        <w:rPr>
          <w:rFonts w:ascii="Segoe UI" w:hAnsi="Segoe UI"/>
        </w:rPr>
        <w:t xml:space="preserve"> Cash flow classification; Period comparison; Drill-down.</w:t>
      </w:r>
    </w:p>
    <w:p>
      <w:pPr>
        <w:pStyle w:val="ListBullet"/>
        <w:spacing w:before="20" w:after="40"/>
      </w:pPr>
      <w:r>
        <w:rPr>
          <w:rFonts w:ascii="Segoe UI" w:hAnsi="Segoe UI"/>
          <w:b/>
        </w:rPr>
        <w:t>Accounting:</w:t>
      </w:r>
      <w:r>
        <w:rPr>
          <w:rFonts w:ascii="Segoe UI" w:hAnsi="Segoe UI"/>
        </w:rPr>
        <w:t xml:space="preserve"> Derived from posted accounting data, not a simplistic bank movement chart.</w:t>
      </w:r>
    </w:p>
    <w:p>
      <w:pPr>
        <w:pStyle w:val="ListBullet"/>
        <w:spacing w:before="20" w:after="40"/>
      </w:pPr>
      <w:r>
        <w:rPr>
          <w:rFonts w:ascii="Segoe UI" w:hAnsi="Segoe UI"/>
          <w:b/>
        </w:rPr>
        <w:t>Primary Test Gate:</w:t>
      </w:r>
      <w:r>
        <w:rPr>
          <w:rFonts w:ascii="Segoe UI" w:hAnsi="Segoe UI"/>
        </w:rPr>
        <w:t xml:space="preserve"> Cross-check against controlled fixtures.</w:t>
      </w:r>
    </w:p>
    <w:p>
      <w:pPr>
        <w:pStyle w:val="Heading3"/>
        <w:spacing w:before="160" w:after="40"/>
      </w:pPr>
      <w:r>
        <w:rPr>
          <w:rFonts w:ascii="Segoe UI" w:hAnsi="Segoe UI"/>
          <w:b/>
          <w:color w:val="475569"/>
          <w:sz w:val="22"/>
        </w:rPr>
        <w:t>P16 — AR/AP Ageing</w:t>
      </w:r>
    </w:p>
    <w:p>
      <w:pPr>
        <w:pStyle w:val="ListBullet"/>
        <w:spacing w:before="20" w:after="40"/>
      </w:pPr>
      <w:r>
        <w:rPr>
          <w:rFonts w:ascii="Segoe UI" w:hAnsi="Segoe UI"/>
          <w:b/>
        </w:rPr>
        <w:t>Status:</w:t>
      </w:r>
      <w:r>
        <w:rPr>
          <w:rFonts w:ascii="Segoe UI" w:hAnsi="Segoe UI"/>
        </w:rPr>
        <w:t xml:space="preserve"> Planned</w:t>
      </w:r>
    </w:p>
    <w:p>
      <w:pPr>
        <w:pStyle w:val="ListBullet"/>
        <w:spacing w:before="20" w:after="40"/>
      </w:pPr>
      <w:r>
        <w:rPr>
          <w:rFonts w:ascii="Segoe UI" w:hAnsi="Segoe UI"/>
          <w:b/>
        </w:rPr>
        <w:t>Objective:</w:t>
      </w:r>
      <w:r>
        <w:rPr>
          <w:rFonts w:ascii="Segoe UI" w:hAnsi="Segoe UI"/>
        </w:rPr>
        <w:t xml:space="preserve"> Show receivable/payable exposure by ageing bucket.</w:t>
      </w:r>
    </w:p>
    <w:p>
      <w:pPr>
        <w:pStyle w:val="ListBullet"/>
        <w:spacing w:before="20" w:after="40"/>
      </w:pPr>
      <w:r>
        <w:rPr>
          <w:rFonts w:ascii="Segoe UI" w:hAnsi="Segoe UI"/>
          <w:b/>
        </w:rPr>
        <w:t>Key Deliverables:</w:t>
      </w:r>
      <w:r>
        <w:rPr>
          <w:rFonts w:ascii="Segoe UI" w:hAnsi="Segoe UI"/>
        </w:rPr>
        <w:t xml:space="preserve"> Current, 1-30, 31-60, 61-90, 90+; Contact and document drill-down; Export.</w:t>
      </w:r>
    </w:p>
    <w:p>
      <w:pPr>
        <w:pStyle w:val="ListBullet"/>
        <w:spacing w:before="20" w:after="40"/>
      </w:pPr>
      <w:r>
        <w:rPr>
          <w:rFonts w:ascii="Segoe UI" w:hAnsi="Segoe UI"/>
          <w:b/>
        </w:rPr>
        <w:t>Accounting:</w:t>
      </w:r>
      <w:r>
        <w:rPr>
          <w:rFonts w:ascii="Segoe UI" w:hAnsi="Segoe UI"/>
        </w:rPr>
        <w:t xml:space="preserve"> Uses posted invoice/bill and allocation data reconciled to control accounts.</w:t>
      </w:r>
    </w:p>
    <w:p>
      <w:pPr>
        <w:pStyle w:val="ListBullet"/>
        <w:spacing w:before="20" w:after="40"/>
      </w:pPr>
      <w:r>
        <w:rPr>
          <w:rFonts w:ascii="Segoe UI" w:hAnsi="Segoe UI"/>
          <w:b/>
        </w:rPr>
        <w:t>Primary Test Gate:</w:t>
      </w:r>
      <w:r>
        <w:rPr>
          <w:rFonts w:ascii="Segoe UI" w:hAnsi="Segoe UI"/>
        </w:rPr>
        <w:t xml:space="preserve"> Ageing totals reconcile to AR/AP control accounts.</w:t>
      </w:r>
    </w:p>
    <w:p>
      <w:pPr>
        <w:pStyle w:val="Heading3"/>
        <w:spacing w:before="160" w:after="40"/>
      </w:pPr>
      <w:r>
        <w:rPr>
          <w:rFonts w:ascii="Segoe UI" w:hAnsi="Segoe UI"/>
          <w:b/>
          <w:color w:val="475569"/>
          <w:sz w:val="22"/>
        </w:rPr>
        <w:t>P17 — Report Drill-down</w:t>
      </w:r>
    </w:p>
    <w:p>
      <w:pPr>
        <w:pStyle w:val="ListBullet"/>
        <w:spacing w:before="20" w:after="40"/>
      </w:pPr>
      <w:r>
        <w:rPr>
          <w:rFonts w:ascii="Segoe UI" w:hAnsi="Segoe UI"/>
          <w:b/>
        </w:rPr>
        <w:t>Status:</w:t>
      </w:r>
      <w:r>
        <w:rPr>
          <w:rFonts w:ascii="Segoe UI" w:hAnsi="Segoe UI"/>
        </w:rPr>
        <w:t xml:space="preserve"> Planned</w:t>
      </w:r>
    </w:p>
    <w:p>
      <w:pPr>
        <w:pStyle w:val="ListBullet"/>
        <w:spacing w:before="20" w:after="40"/>
      </w:pPr>
      <w:r>
        <w:rPr>
          <w:rFonts w:ascii="Segoe UI" w:hAnsi="Segoe UI"/>
          <w:b/>
        </w:rPr>
        <w:t>Objective:</w:t>
      </w:r>
      <w:r>
        <w:rPr>
          <w:rFonts w:ascii="Segoe UI" w:hAnsi="Segoe UI"/>
        </w:rPr>
        <w:t xml:space="preserve"> Make every material report number traceable to its source.</w:t>
      </w:r>
    </w:p>
    <w:p>
      <w:pPr>
        <w:pStyle w:val="ListBullet"/>
        <w:spacing w:before="20" w:after="40"/>
      </w:pPr>
      <w:r>
        <w:rPr>
          <w:rFonts w:ascii="Segoe UI" w:hAnsi="Segoe UI"/>
          <w:b/>
        </w:rPr>
        <w:t>Key Deliverables:</w:t>
      </w:r>
      <w:r>
        <w:rPr>
          <w:rFonts w:ascii="Segoe UI" w:hAnsi="Segoe UI"/>
        </w:rPr>
        <w:t xml:space="preserve"> Report $</w:t>
        <w:tab/>
        <w:t>o$ account $</w:t>
        <w:tab/>
        <w:t>o$ journal $</w:t>
        <w:tab/>
        <w:t>o$ business document $</w:t>
        <w:tab/>
        <w:t>o$ audit trail; Deep-link model; Permission-aware detail views.</w:t>
      </w:r>
    </w:p>
    <w:p>
      <w:pPr>
        <w:pStyle w:val="ListBullet"/>
        <w:spacing w:before="20" w:after="40"/>
      </w:pPr>
      <w:r>
        <w:rPr>
          <w:rFonts w:ascii="Segoe UI" w:hAnsi="Segoe UI"/>
          <w:b/>
        </w:rPr>
        <w:t>Accounting:</w:t>
      </w:r>
      <w:r>
        <w:rPr>
          <w:rFonts w:ascii="Segoe UI" w:hAnsi="Segoe UI"/>
        </w:rPr>
        <w:t xml:space="preserve"> Read-only traversal of authoritative accounting records.</w:t>
      </w:r>
    </w:p>
    <w:p>
      <w:pPr>
        <w:pStyle w:val="ListBullet"/>
        <w:spacing w:before="20" w:after="40"/>
      </w:pPr>
      <w:r>
        <w:rPr>
          <w:rFonts w:ascii="Segoe UI" w:hAnsi="Segoe UI"/>
          <w:b/>
        </w:rPr>
        <w:t>Primary Test Gate:</w:t>
      </w:r>
      <w:r>
        <w:rPr>
          <w:rFonts w:ascii="Segoe UI" w:hAnsi="Segoe UI"/>
        </w:rPr>
        <w:t xml:space="preserve"> RBAC, tenant isolation, no hidden cross-tenant references.</w:t>
      </w:r>
    </w:p>
    <w:p>
      <w:pPr>
        <w:pStyle w:val="Heading3"/>
        <w:spacing w:before="160" w:after="40"/>
      </w:pPr>
      <w:r>
        <w:rPr>
          <w:rFonts w:ascii="Segoe UI" w:hAnsi="Segoe UI"/>
          <w:b/>
          <w:color w:val="475569"/>
          <w:sz w:val="22"/>
        </w:rPr>
        <w:t>P18 — Recurring Transactions</w:t>
      </w:r>
    </w:p>
    <w:p>
      <w:pPr>
        <w:pStyle w:val="ListBullet"/>
        <w:spacing w:before="20" w:after="40"/>
      </w:pPr>
      <w:r>
        <w:rPr>
          <w:rFonts w:ascii="Segoe UI" w:hAnsi="Segoe UI"/>
          <w:b/>
        </w:rPr>
        <w:t>Status:</w:t>
      </w:r>
      <w:r>
        <w:rPr>
          <w:rFonts w:ascii="Segoe UI" w:hAnsi="Segoe UI"/>
        </w:rPr>
        <w:t xml:space="preserve"> Planned</w:t>
      </w:r>
    </w:p>
    <w:p>
      <w:pPr>
        <w:pStyle w:val="ListBullet"/>
        <w:spacing w:before="20" w:after="40"/>
      </w:pPr>
      <w:r>
        <w:rPr>
          <w:rFonts w:ascii="Segoe UI" w:hAnsi="Segoe UI"/>
          <w:b/>
        </w:rPr>
        <w:t>Objective:</w:t>
      </w:r>
      <w:r>
        <w:rPr>
          <w:rFonts w:ascii="Segoe UI" w:hAnsi="Segoe UI"/>
        </w:rPr>
        <w:t xml:space="preserve"> Generate repeatable drafts for predictable activity.</w:t>
      </w:r>
    </w:p>
    <w:p>
      <w:pPr>
        <w:pStyle w:val="ListBullet"/>
        <w:spacing w:before="20" w:after="40"/>
      </w:pPr>
      <w:r>
        <w:rPr>
          <w:rFonts w:ascii="Segoe UI" w:hAnsi="Segoe UI"/>
          <w:b/>
        </w:rPr>
        <w:t>Key Deliverables:</w:t>
      </w:r>
      <w:r>
        <w:rPr>
          <w:rFonts w:ascii="Segoe UI" w:hAnsi="Segoe UI"/>
        </w:rPr>
        <w:t xml:space="preserve"> Recurring invoice/bill/expense/journal definitions; Frequency and next-run logic; Manual approval by default.</w:t>
      </w:r>
    </w:p>
    <w:p>
      <w:pPr>
        <w:pStyle w:val="ListBullet"/>
        <w:spacing w:before="20" w:after="40"/>
      </w:pPr>
      <w:r>
        <w:rPr>
          <w:rFonts w:ascii="Segoe UI" w:hAnsi="Segoe UI"/>
          <w:b/>
        </w:rPr>
        <w:t>Accounting:</w:t>
      </w:r>
      <w:r>
        <w:rPr>
          <w:rFonts w:ascii="Segoe UI" w:hAnsi="Segoe UI"/>
        </w:rPr>
        <w:t xml:space="preserve"> Draft generation only unless safe explicit auto-post is configured.</w:t>
      </w:r>
    </w:p>
    <w:p>
      <w:pPr>
        <w:pStyle w:val="ListBullet"/>
        <w:spacing w:before="20" w:after="40"/>
      </w:pPr>
      <w:r>
        <w:rPr>
          <w:rFonts w:ascii="Segoe UI" w:hAnsi="Segoe UI"/>
          <w:b/>
        </w:rPr>
        <w:t>Primary Test Gate:</w:t>
      </w:r>
      <w:r>
        <w:rPr>
          <w:rFonts w:ascii="Segoe UI" w:hAnsi="Segoe UI"/>
        </w:rPr>
        <w:t xml:space="preserve"> Scheduler idempotency and timezone/date tests.</w:t>
      </w:r>
    </w:p>
    <w:p>
      <w:pPr>
        <w:pStyle w:val="Heading3"/>
        <w:spacing w:before="160" w:after="40"/>
      </w:pPr>
      <w:r>
        <w:rPr>
          <w:rFonts w:ascii="Segoe UI" w:hAnsi="Segoe UI"/>
          <w:b/>
          <w:color w:val="475569"/>
          <w:sz w:val="22"/>
        </w:rPr>
        <w:t>P19 — Multi-Currency</w:t>
      </w:r>
    </w:p>
    <w:p>
      <w:pPr>
        <w:pStyle w:val="ListBullet"/>
        <w:spacing w:before="20" w:after="40"/>
      </w:pPr>
      <w:r>
        <w:rPr>
          <w:rFonts w:ascii="Segoe UI" w:hAnsi="Segoe UI"/>
          <w:b/>
        </w:rPr>
        <w:t>Status:</w:t>
      </w:r>
      <w:r>
        <w:rPr>
          <w:rFonts w:ascii="Segoe UI" w:hAnsi="Segoe UI"/>
        </w:rPr>
        <w:t xml:space="preserve"> Planned</w:t>
      </w:r>
    </w:p>
    <w:p>
      <w:pPr>
        <w:pStyle w:val="ListBullet"/>
        <w:spacing w:before="20" w:after="40"/>
      </w:pPr>
      <w:r>
        <w:rPr>
          <w:rFonts w:ascii="Segoe UI" w:hAnsi="Segoe UI"/>
          <w:b/>
        </w:rPr>
        <w:t>Objective:</w:t>
      </w:r>
      <w:r>
        <w:rPr>
          <w:rFonts w:ascii="Segoe UI" w:hAnsi="Segoe UI"/>
        </w:rPr>
        <w:t xml:space="preserve"> Support foreign-currency transactions after GBP core stabilises.</w:t>
      </w:r>
    </w:p>
    <w:p>
      <w:pPr>
        <w:pStyle w:val="ListBullet"/>
        <w:spacing w:before="20" w:after="40"/>
      </w:pPr>
      <w:r>
        <w:rPr>
          <w:rFonts w:ascii="Segoe UI" w:hAnsi="Segoe UI"/>
          <w:b/>
        </w:rPr>
        <w:t>Key Deliverables:</w:t>
      </w:r>
      <w:r>
        <w:rPr>
          <w:rFonts w:ascii="Segoe UI" w:hAnsi="Segoe UI"/>
        </w:rPr>
        <w:t xml:space="preserve"> Transaction/base currency; FX rates and rate date; Realised FX; unrealised FX later.</w:t>
      </w:r>
    </w:p>
    <w:p>
      <w:pPr>
        <w:pStyle w:val="ListBullet"/>
        <w:spacing w:before="20" w:after="40"/>
      </w:pPr>
      <w:r>
        <w:rPr>
          <w:rFonts w:ascii="Segoe UI" w:hAnsi="Segoe UI"/>
          <w:b/>
        </w:rPr>
        <w:t>Accounting:</w:t>
      </w:r>
      <w:r>
        <w:rPr>
          <w:rFonts w:ascii="Segoe UI" w:hAnsi="Segoe UI"/>
        </w:rPr>
        <w:t xml:space="preserve"> All amounts decimal-safe; FX differences posted through journals.</w:t>
      </w:r>
    </w:p>
    <w:p>
      <w:pPr>
        <w:pStyle w:val="ListBullet"/>
        <w:spacing w:before="20" w:after="40"/>
      </w:pPr>
      <w:r>
        <w:rPr>
          <w:rFonts w:ascii="Segoe UI" w:hAnsi="Segoe UI"/>
          <w:b/>
        </w:rPr>
        <w:t>Primary Test Gate:</w:t>
      </w:r>
      <w:r>
        <w:rPr>
          <w:rFonts w:ascii="Segoe UI" w:hAnsi="Segoe UI"/>
        </w:rPr>
        <w:t xml:space="preserve"> Precision, rate provenance and currency-specific fixtures.</w:t>
      </w:r>
    </w:p>
    <w:p>
      <w:pPr>
        <w:pStyle w:val="Heading3"/>
        <w:spacing w:before="160" w:after="40"/>
      </w:pPr>
      <w:r>
        <w:rPr>
          <w:rFonts w:ascii="Segoe UI" w:hAnsi="Segoe UI"/>
          <w:b/>
          <w:color w:val="475569"/>
          <w:sz w:val="22"/>
        </w:rPr>
        <w:t>P20 — Document Management</w:t>
      </w:r>
    </w:p>
    <w:p>
      <w:pPr>
        <w:pStyle w:val="ListBullet"/>
        <w:spacing w:before="20" w:after="40"/>
      </w:pPr>
      <w:r>
        <w:rPr>
          <w:rFonts w:ascii="Segoe UI" w:hAnsi="Segoe UI"/>
          <w:b/>
        </w:rPr>
        <w:t>Status:</w:t>
      </w:r>
      <w:r>
        <w:rPr>
          <w:rFonts w:ascii="Segoe UI" w:hAnsi="Segoe UI"/>
        </w:rPr>
        <w:t xml:space="preserve"> Planned</w:t>
      </w:r>
    </w:p>
    <w:p>
      <w:pPr>
        <w:pStyle w:val="ListBullet"/>
        <w:spacing w:before="20" w:after="40"/>
      </w:pPr>
      <w:r>
        <w:rPr>
          <w:rFonts w:ascii="Segoe UI" w:hAnsi="Segoe UI"/>
          <w:b/>
        </w:rPr>
        <w:t>Objective:</w:t>
      </w:r>
      <w:r>
        <w:rPr>
          <w:rFonts w:ascii="Segoe UI" w:hAnsi="Segoe UI"/>
        </w:rPr>
        <w:t xml:space="preserve"> Securely store receipts, bills, invoices and supporting files.</w:t>
      </w:r>
    </w:p>
    <w:p>
      <w:pPr>
        <w:pStyle w:val="ListBullet"/>
        <w:spacing w:before="20" w:after="40"/>
      </w:pPr>
      <w:r>
        <w:rPr>
          <w:rFonts w:ascii="Segoe UI" w:hAnsi="Segoe UI"/>
          <w:b/>
        </w:rPr>
        <w:t>Key Deliverables:</w:t>
      </w:r>
      <w:r>
        <w:rPr>
          <w:rFonts w:ascii="Segoe UI" w:hAnsi="Segoe UI"/>
        </w:rPr>
        <w:t xml:space="preserve"> StorageService abstraction; Private S3 with signed URLs; Tenant-separated object keys and validation.</w:t>
      </w:r>
    </w:p>
    <w:p>
      <w:pPr>
        <w:pStyle w:val="ListBullet"/>
        <w:spacing w:before="20" w:after="40"/>
      </w:pPr>
      <w:r>
        <w:rPr>
          <w:rFonts w:ascii="Segoe UI" w:hAnsi="Segoe UI"/>
          <w:b/>
        </w:rPr>
        <w:t>Accounting:</w:t>
      </w:r>
      <w:r>
        <w:rPr>
          <w:rFonts w:ascii="Segoe UI" w:hAnsi="Segoe UI"/>
        </w:rPr>
        <w:t xml:space="preserve"> Documents represent/support transactions; they do not create accounting themselves.</w:t>
      </w:r>
    </w:p>
    <w:p>
      <w:pPr>
        <w:pStyle w:val="ListBullet"/>
        <w:spacing w:before="20" w:after="40"/>
      </w:pPr>
      <w:r>
        <w:rPr>
          <w:rFonts w:ascii="Segoe UI" w:hAnsi="Segoe UI"/>
          <w:b/>
        </w:rPr>
        <w:t>Primary Test Gate:</w:t>
      </w:r>
      <w:r>
        <w:rPr>
          <w:rFonts w:ascii="Segoe UI" w:hAnsi="Segoe UI"/>
        </w:rPr>
        <w:t xml:space="preserve"> File type/size validation, permission checks, malware architecture.</w:t>
      </w:r>
    </w:p>
    <w:p>
      <w:pPr>
        <w:pStyle w:val="Heading3"/>
        <w:spacing w:before="160" w:after="40"/>
      </w:pPr>
      <w:r>
        <w:rPr>
          <w:rFonts w:ascii="Segoe UI" w:hAnsi="Segoe UI"/>
          <w:b/>
          <w:color w:val="475569"/>
          <w:sz w:val="22"/>
        </w:rPr>
        <w:t>P21 — Notifications</w:t>
      </w:r>
    </w:p>
    <w:p>
      <w:pPr>
        <w:pStyle w:val="ListBullet"/>
        <w:spacing w:before="20" w:after="40"/>
      </w:pPr>
      <w:r>
        <w:rPr>
          <w:rFonts w:ascii="Segoe UI" w:hAnsi="Segoe UI"/>
          <w:b/>
        </w:rPr>
        <w:t>Status:</w:t>
      </w:r>
      <w:r>
        <w:rPr>
          <w:rFonts w:ascii="Segoe UI" w:hAnsi="Segoe UI"/>
        </w:rPr>
        <w:t xml:space="preserve"> Planned</w:t>
      </w:r>
    </w:p>
    <w:p>
      <w:pPr>
        <w:pStyle w:val="ListBullet"/>
        <w:spacing w:before="20" w:after="40"/>
      </w:pPr>
      <w:r>
        <w:rPr>
          <w:rFonts w:ascii="Segoe UI" w:hAnsi="Segoe UI"/>
          <w:b/>
        </w:rPr>
        <w:t>Objective:</w:t>
      </w:r>
      <w:r>
        <w:rPr>
          <w:rFonts w:ascii="Segoe UI" w:hAnsi="Segoe UI"/>
        </w:rPr>
        <w:t xml:space="preserve"> Provide in-app and email operational alerts.</w:t>
      </w:r>
    </w:p>
    <w:p>
      <w:pPr>
        <w:pStyle w:val="ListBullet"/>
        <w:spacing w:before="20" w:after="40"/>
      </w:pPr>
      <w:r>
        <w:rPr>
          <w:rFonts w:ascii="Segoe UI" w:hAnsi="Segoe UI"/>
          <w:b/>
        </w:rPr>
        <w:t>Key Deliverables:</w:t>
      </w:r>
      <w:r>
        <w:rPr>
          <w:rFonts w:ascii="Segoe UI" w:hAnsi="Segoe UI"/>
        </w:rPr>
        <w:t xml:space="preserve"> Invoice overdue/paid, bill due, period lock, security events; Preferences; Delivery history.</w:t>
      </w:r>
    </w:p>
    <w:p>
      <w:pPr>
        <w:pStyle w:val="ListBullet"/>
        <w:spacing w:before="20" w:after="40"/>
      </w:pPr>
      <w:r>
        <w:rPr>
          <w:rFonts w:ascii="Segoe UI" w:hAnsi="Segoe UI"/>
          <w:b/>
        </w:rPr>
        <w:t>Accounting:</w:t>
      </w:r>
      <w:r>
        <w:rPr>
          <w:rFonts w:ascii="Segoe UI" w:hAnsi="Segoe UI"/>
        </w:rPr>
        <w:t xml:space="preserve"> Read-only notification side effects; never auto-post.</w:t>
      </w:r>
    </w:p>
    <w:p>
      <w:pPr>
        <w:pStyle w:val="ListBullet"/>
        <w:spacing w:before="20" w:after="40"/>
      </w:pPr>
      <w:r>
        <w:rPr>
          <w:rFonts w:ascii="Segoe UI" w:hAnsi="Segoe UI"/>
          <w:b/>
        </w:rPr>
        <w:t>Primary Test Gate:</w:t>
      </w:r>
      <w:r>
        <w:rPr>
          <w:rFonts w:ascii="Segoe UI" w:hAnsi="Segoe UI"/>
        </w:rPr>
        <w:t xml:space="preserve"> Deduplication, preferences and delivery failure handling.</w:t>
      </w:r>
    </w:p>
    <w:p>
      <w:pPr>
        <w:pStyle w:val="Heading3"/>
        <w:spacing w:before="160" w:after="40"/>
      </w:pPr>
      <w:r>
        <w:rPr>
          <w:rFonts w:ascii="Segoe UI" w:hAnsi="Segoe UI"/>
          <w:b/>
          <w:color w:val="475569"/>
          <w:sz w:val="22"/>
        </w:rPr>
        <w:t>P22 — Customer Portal</w:t>
      </w:r>
    </w:p>
    <w:p>
      <w:pPr>
        <w:pStyle w:val="ListBullet"/>
        <w:spacing w:before="20" w:after="40"/>
      </w:pPr>
      <w:r>
        <w:rPr>
          <w:rFonts w:ascii="Segoe UI" w:hAnsi="Segoe UI"/>
          <w:b/>
        </w:rPr>
        <w:t>Status:</w:t>
      </w:r>
      <w:r>
        <w:rPr>
          <w:rFonts w:ascii="Segoe UI" w:hAnsi="Segoe UI"/>
        </w:rPr>
        <w:t xml:space="preserve"> Planned</w:t>
      </w:r>
    </w:p>
    <w:p>
      <w:pPr>
        <w:pStyle w:val="ListBullet"/>
        <w:spacing w:before="20" w:after="40"/>
      </w:pPr>
      <w:r>
        <w:rPr>
          <w:rFonts w:ascii="Segoe UI" w:hAnsi="Segoe UI"/>
          <w:b/>
        </w:rPr>
        <w:t>Objective:</w:t>
      </w:r>
      <w:r>
        <w:rPr>
          <w:rFonts w:ascii="Segoe UI" w:hAnsi="Segoe UI"/>
        </w:rPr>
        <w:t xml:space="preserve"> Give customers secure external access to their own financial documents.</w:t>
      </w:r>
    </w:p>
    <w:p>
      <w:pPr>
        <w:pStyle w:val="ListBullet"/>
        <w:spacing w:before="20" w:after="40"/>
      </w:pPr>
      <w:r>
        <w:rPr>
          <w:rFonts w:ascii="Segoe UI" w:hAnsi="Segoe UI"/>
          <w:b/>
        </w:rPr>
        <w:t>Key Deliverables:</w:t>
      </w:r>
      <w:r>
        <w:rPr>
          <w:rFonts w:ascii="Segoe UI" w:hAnsi="Segoe UI"/>
        </w:rPr>
        <w:t xml:space="preserve"> Invoices, credits, payments, balances; PDF download; Online payment later.</w:t>
      </w:r>
    </w:p>
    <w:p>
      <w:pPr>
        <w:pStyle w:val="ListBullet"/>
        <w:spacing w:before="20" w:after="40"/>
      </w:pPr>
      <w:r>
        <w:rPr>
          <w:rFonts w:ascii="Segoe UI" w:hAnsi="Segoe UI"/>
          <w:b/>
        </w:rPr>
        <w:t>Accounting:</w:t>
      </w:r>
      <w:r>
        <w:rPr>
          <w:rFonts w:ascii="Segoe UI" w:hAnsi="Segoe UI"/>
        </w:rPr>
        <w:t xml:space="preserve"> Portal actions must map to existing business/accounting services.</w:t>
      </w:r>
    </w:p>
    <w:p>
      <w:pPr>
        <w:pStyle w:val="ListBullet"/>
        <w:spacing w:before="20" w:after="40"/>
      </w:pPr>
      <w:r>
        <w:rPr>
          <w:rFonts w:ascii="Segoe UI" w:hAnsi="Segoe UI"/>
          <w:b/>
        </w:rPr>
        <w:t>Primary Test Gate:</w:t>
      </w:r>
      <w:r>
        <w:rPr>
          <w:rFonts w:ascii="Segoe UI" w:hAnsi="Segoe UI"/>
        </w:rPr>
        <w:t xml:space="preserve"> Strict contact token/identity isolation and expiring access.</w:t>
      </w:r>
    </w:p>
    <w:p>
      <w:pPr>
        <w:pStyle w:val="Heading3"/>
        <w:spacing w:before="160" w:after="40"/>
      </w:pPr>
      <w:r>
        <w:rPr>
          <w:rFonts w:ascii="Segoe UI" w:hAnsi="Segoe UI"/>
          <w:b/>
          <w:color w:val="475569"/>
          <w:sz w:val="22"/>
        </w:rPr>
        <w:t>P23 — Import Centre</w:t>
      </w:r>
    </w:p>
    <w:p>
      <w:pPr>
        <w:pStyle w:val="ListBullet"/>
        <w:spacing w:before="20" w:after="40"/>
      </w:pPr>
      <w:r>
        <w:rPr>
          <w:rFonts w:ascii="Segoe UI" w:hAnsi="Segoe UI"/>
          <w:b/>
        </w:rPr>
        <w:t>Status:</w:t>
      </w:r>
      <w:r>
        <w:rPr>
          <w:rFonts w:ascii="Segoe UI" w:hAnsi="Segoe UI"/>
        </w:rPr>
        <w:t xml:space="preserve"> Planned</w:t>
      </w:r>
    </w:p>
    <w:p>
      <w:pPr>
        <w:pStyle w:val="ListBullet"/>
        <w:spacing w:before="20" w:after="40"/>
      </w:pPr>
      <w:r>
        <w:rPr>
          <w:rFonts w:ascii="Segoe UI" w:hAnsi="Segoe UI"/>
          <w:b/>
        </w:rPr>
        <w:t>Objective:</w:t>
      </w:r>
      <w:r>
        <w:rPr>
          <w:rFonts w:ascii="Segoe UI" w:hAnsi="Segoe UI"/>
        </w:rPr>
        <w:t xml:space="preserve"> Support controlled bulk onboarding and migration.</w:t>
      </w:r>
    </w:p>
    <w:p>
      <w:pPr>
        <w:pStyle w:val="ListBullet"/>
        <w:spacing w:before="20" w:after="40"/>
      </w:pPr>
      <w:r>
        <w:rPr>
          <w:rFonts w:ascii="Segoe UI" w:hAnsi="Segoe UI"/>
          <w:b/>
        </w:rPr>
        <w:t>Key Deliverables:</w:t>
      </w:r>
      <w:r>
        <w:rPr>
          <w:rFonts w:ascii="Segoe UI" w:hAnsi="Segoe UI"/>
        </w:rPr>
        <w:t xml:space="preserve"> Contacts, COA, opening balances, invoices, bills, bank CSV; Field mapping and validation preview; Error report and import history.</w:t>
      </w:r>
    </w:p>
    <w:p>
      <w:pPr>
        <w:pStyle w:val="ListBullet"/>
        <w:spacing w:before="20" w:after="40"/>
      </w:pPr>
      <w:r>
        <w:rPr>
          <w:rFonts w:ascii="Segoe UI" w:hAnsi="Segoe UI"/>
          <w:b/>
        </w:rPr>
        <w:t>Accounting:</w:t>
      </w:r>
      <w:r>
        <w:rPr>
          <w:rFonts w:ascii="Segoe UI" w:hAnsi="Segoe UI"/>
        </w:rPr>
        <w:t xml:space="preserve"> Financial imports require explicit validated accounting treatment.</w:t>
      </w:r>
    </w:p>
    <w:p>
      <w:pPr>
        <w:pStyle w:val="ListBullet"/>
        <w:spacing w:before="20" w:after="40"/>
      </w:pPr>
      <w:r>
        <w:rPr>
          <w:rFonts w:ascii="Segoe UI" w:hAnsi="Segoe UI"/>
          <w:b/>
        </w:rPr>
        <w:t>Primary Test Gate:</w:t>
      </w:r>
      <w:r>
        <w:rPr>
          <w:rFonts w:ascii="Segoe UI" w:hAnsi="Segoe UI"/>
        </w:rPr>
        <w:t xml:space="preserve"> Transactional imports, duplicate prevention, rollback strategy.</w:t>
      </w:r>
    </w:p>
    <w:p>
      <w:pPr>
        <w:pStyle w:val="Heading3"/>
        <w:spacing w:before="160" w:after="40"/>
      </w:pPr>
      <w:r>
        <w:rPr>
          <w:rFonts w:ascii="Segoe UI" w:hAnsi="Segoe UI"/>
          <w:b/>
          <w:color w:val="475569"/>
          <w:sz w:val="22"/>
        </w:rPr>
        <w:t>P24 — Onboarding</w:t>
      </w:r>
    </w:p>
    <w:p>
      <w:pPr>
        <w:pStyle w:val="ListBullet"/>
        <w:spacing w:before="20" w:after="40"/>
      </w:pPr>
      <w:r>
        <w:rPr>
          <w:rFonts w:ascii="Segoe UI" w:hAnsi="Segoe UI"/>
          <w:b/>
        </w:rPr>
        <w:t>Status:</w:t>
      </w:r>
      <w:r>
        <w:rPr>
          <w:rFonts w:ascii="Segoe UI" w:hAnsi="Segoe UI"/>
        </w:rPr>
        <w:t xml:space="preserve"> Planned</w:t>
      </w:r>
    </w:p>
    <w:p>
      <w:pPr>
        <w:pStyle w:val="ListBullet"/>
        <w:spacing w:before="20" w:after="40"/>
      </w:pPr>
      <w:r>
        <w:rPr>
          <w:rFonts w:ascii="Segoe UI" w:hAnsi="Segoe UI"/>
          <w:b/>
        </w:rPr>
        <w:t>Objective:</w:t>
      </w:r>
      <w:r>
        <w:rPr>
          <w:rFonts w:ascii="Segoe UI" w:hAnsi="Segoe UI"/>
        </w:rPr>
        <w:t xml:space="preserve"> Guide a new business to first usable accounting workflow.</w:t>
      </w:r>
    </w:p>
    <w:p>
      <w:pPr>
        <w:pStyle w:val="ListBullet"/>
        <w:spacing w:before="20" w:after="40"/>
      </w:pPr>
      <w:r>
        <w:rPr>
          <w:rFonts w:ascii="Segoe UI" w:hAnsi="Segoe UI"/>
          <w:b/>
        </w:rPr>
        <w:t>Key Deliverables:</w:t>
      </w:r>
      <w:r>
        <w:rPr>
          <w:rFonts w:ascii="Segoe UI" w:hAnsi="Segoe UI"/>
        </w:rPr>
        <w:t xml:space="preserve"> Organisation, financial year, currency, COA, bank, contacts; Progress tracking; First invoice.</w:t>
      </w:r>
    </w:p>
    <w:p>
      <w:pPr>
        <w:pStyle w:val="ListBullet"/>
        <w:spacing w:before="20" w:after="40"/>
      </w:pPr>
      <w:r>
        <w:rPr>
          <w:rFonts w:ascii="Segoe UI" w:hAnsi="Segoe UI"/>
          <w:b/>
        </w:rPr>
        <w:t>Accounting:</w:t>
      </w:r>
      <w:r>
        <w:rPr>
          <w:rFonts w:ascii="Segoe UI" w:hAnsi="Segoe UI"/>
        </w:rPr>
        <w:t xml:space="preserve"> Opening balances and finance setup must use controlled accounting flows.</w:t>
      </w:r>
    </w:p>
    <w:p>
      <w:pPr>
        <w:pStyle w:val="ListBullet"/>
        <w:spacing w:before="20" w:after="40"/>
      </w:pPr>
      <w:r>
        <w:rPr>
          <w:rFonts w:ascii="Segoe UI" w:hAnsi="Segoe UI"/>
          <w:b/>
        </w:rPr>
        <w:t>Primary Test Gate:</w:t>
      </w:r>
      <w:r>
        <w:rPr>
          <w:rFonts w:ascii="Segoe UI" w:hAnsi="Segoe UI"/>
        </w:rPr>
        <w:t xml:space="preserve"> Resume/skip rules, permissions, no hidden defaults.</w:t>
      </w:r>
    </w:p>
    <w:p>
      <w:pPr>
        <w:pStyle w:val="Heading3"/>
        <w:spacing w:before="160" w:after="40"/>
      </w:pPr>
      <w:r>
        <w:rPr>
          <w:rFonts w:ascii="Segoe UI" w:hAnsi="Segoe UI"/>
          <w:b/>
          <w:color w:val="475569"/>
          <w:sz w:val="22"/>
        </w:rPr>
        <w:t>P25 — blynt Subscriptions</w:t>
      </w:r>
    </w:p>
    <w:p>
      <w:pPr>
        <w:pStyle w:val="ListBullet"/>
        <w:spacing w:before="20" w:after="40"/>
      </w:pPr>
      <w:r>
        <w:rPr>
          <w:rFonts w:ascii="Segoe UI" w:hAnsi="Segoe UI"/>
          <w:b/>
        </w:rPr>
        <w:t>Status:</w:t>
      </w:r>
      <w:r>
        <w:rPr>
          <w:rFonts w:ascii="Segoe UI" w:hAnsi="Segoe UI"/>
        </w:rPr>
        <w:t xml:space="preserve"> Planned</w:t>
      </w:r>
    </w:p>
    <w:p>
      <w:pPr>
        <w:pStyle w:val="ListBullet"/>
        <w:spacing w:before="20" w:after="40"/>
      </w:pPr>
      <w:r>
        <w:rPr>
          <w:rFonts w:ascii="Segoe UI" w:hAnsi="Segoe UI"/>
          <w:b/>
        </w:rPr>
        <w:t>Objective:</w:t>
      </w:r>
      <w:r>
        <w:rPr>
          <w:rFonts w:ascii="Segoe UI" w:hAnsi="Segoe UI"/>
        </w:rPr>
        <w:t xml:space="preserve"> Monetise blynt with configurable SaaS plans.</w:t>
      </w:r>
    </w:p>
    <w:p>
      <w:pPr>
        <w:pStyle w:val="ListBullet"/>
        <w:spacing w:before="20" w:after="40"/>
      </w:pPr>
      <w:r>
        <w:rPr>
          <w:rFonts w:ascii="Segoe UI" w:hAnsi="Segoe UI"/>
          <w:b/>
        </w:rPr>
        <w:t>Key Deliverables:</w:t>
      </w:r>
      <w:r>
        <w:rPr>
          <w:rFonts w:ascii="Segoe UI" w:hAnsi="Segoe UI"/>
        </w:rPr>
        <w:t xml:space="preserve"> Stripe Billing architecture; Trials/upgrades/downgrades/cancellation; Plan capability/limit model.</w:t>
      </w:r>
    </w:p>
    <w:p>
      <w:pPr>
        <w:pStyle w:val="ListBullet"/>
        <w:spacing w:before="20" w:after="40"/>
      </w:pPr>
      <w:r>
        <w:rPr>
          <w:rFonts w:ascii="Segoe UI" w:hAnsi="Segoe UI"/>
          <w:b/>
        </w:rPr>
        <w:t>Accounting:</w:t>
      </w:r>
      <w:r>
        <w:rPr>
          <w:rFonts w:ascii="Segoe UI" w:hAnsi="Segoe UI"/>
        </w:rPr>
        <w:t xml:space="preserve"> Subscription billing is blynt platform commerce, separate from customer books.</w:t>
      </w:r>
    </w:p>
    <w:p>
      <w:pPr>
        <w:pStyle w:val="ListBullet"/>
        <w:spacing w:before="20" w:after="40"/>
      </w:pPr>
      <w:r>
        <w:rPr>
          <w:rFonts w:ascii="Segoe UI" w:hAnsi="Segoe UI"/>
          <w:b/>
        </w:rPr>
        <w:t>Primary Test Gate:</w:t>
      </w:r>
      <w:r>
        <w:rPr>
          <w:rFonts w:ascii="Segoe UI" w:hAnsi="Segoe UI"/>
        </w:rPr>
        <w:t xml:space="preserve"> Webhook idempotency, failed payment state, entitlement tests.</w:t>
      </w:r>
    </w:p>
    <w:p>
      <w:pPr>
        <w:pStyle w:val="Heading3"/>
        <w:spacing w:before="160" w:after="40"/>
      </w:pPr>
      <w:r>
        <w:rPr>
          <w:rFonts w:ascii="Segoe UI" w:hAnsi="Segoe UI"/>
          <w:b/>
          <w:color w:val="475569"/>
          <w:sz w:val="22"/>
        </w:rPr>
        <w:t>P26 — Public API &amp; Webhooks</w:t>
      </w:r>
    </w:p>
    <w:p>
      <w:pPr>
        <w:pStyle w:val="ListBullet"/>
        <w:spacing w:before="20" w:after="40"/>
      </w:pPr>
      <w:r>
        <w:rPr>
          <w:rFonts w:ascii="Segoe UI" w:hAnsi="Segoe UI"/>
          <w:b/>
        </w:rPr>
        <w:t>Status:</w:t>
      </w:r>
      <w:r>
        <w:rPr>
          <w:rFonts w:ascii="Segoe UI" w:hAnsi="Segoe UI"/>
        </w:rPr>
        <w:t xml:space="preserve"> Planned</w:t>
      </w:r>
    </w:p>
    <w:p>
      <w:pPr>
        <w:pStyle w:val="ListBullet"/>
        <w:spacing w:before="20" w:after="40"/>
      </w:pPr>
      <w:r>
        <w:rPr>
          <w:rFonts w:ascii="Segoe UI" w:hAnsi="Segoe UI"/>
          <w:b/>
        </w:rPr>
        <w:t>Objective:</w:t>
      </w:r>
      <w:r>
        <w:rPr>
          <w:rFonts w:ascii="Segoe UI" w:hAnsi="Segoe UI"/>
        </w:rPr>
        <w:t xml:space="preserve"> Expose controlled integration capabilities.</w:t>
      </w:r>
    </w:p>
    <w:p>
      <w:pPr>
        <w:pStyle w:val="ListBullet"/>
        <w:spacing w:before="20" w:after="40"/>
      </w:pPr>
      <w:r>
        <w:rPr>
          <w:rFonts w:ascii="Segoe UI" w:hAnsi="Segoe UI"/>
          <w:b/>
        </w:rPr>
        <w:t>Key Deliverables:</w:t>
      </w:r>
      <w:r>
        <w:rPr>
          <w:rFonts w:ascii="Segoe UI" w:hAnsi="Segoe UI"/>
        </w:rPr>
        <w:t xml:space="preserve"> Hashed API keys and scopes; Rate limits and idempotency; Signed webhooks and delivery logs.</w:t>
      </w:r>
    </w:p>
    <w:p>
      <w:pPr>
        <w:pStyle w:val="ListBullet"/>
        <w:spacing w:before="20" w:after="40"/>
      </w:pPr>
      <w:r>
        <w:rPr>
          <w:rFonts w:ascii="Segoe UI" w:hAnsi="Segoe UI"/>
          <w:b/>
        </w:rPr>
        <w:t>Accounting:</w:t>
      </w:r>
      <w:r>
        <w:rPr>
          <w:rFonts w:ascii="Segoe UI" w:hAnsi="Segoe UI"/>
        </w:rPr>
        <w:t xml:space="preserve"> API writes still call the same domain/posting services.</w:t>
      </w:r>
    </w:p>
    <w:p>
      <w:pPr>
        <w:pStyle w:val="ListBullet"/>
        <w:spacing w:before="20" w:after="40"/>
      </w:pPr>
      <w:r>
        <w:rPr>
          <w:rFonts w:ascii="Segoe UI" w:hAnsi="Segoe UI"/>
          <w:b/>
        </w:rPr>
        <w:t>Primary Test Gate:</w:t>
      </w:r>
      <w:r>
        <w:rPr>
          <w:rFonts w:ascii="Segoe UI" w:hAnsi="Segoe UI"/>
        </w:rPr>
        <w:t xml:space="preserve"> Scope enforcement, replay protection, tenant boundaries.</w:t>
      </w:r>
    </w:p>
    <w:p>
      <w:pPr>
        <w:pStyle w:val="Heading3"/>
        <w:spacing w:before="160" w:after="40"/>
      </w:pPr>
      <w:r>
        <w:rPr>
          <w:rFonts w:ascii="Segoe UI" w:hAnsi="Segoe UI"/>
          <w:b/>
          <w:color w:val="475569"/>
          <w:sz w:val="22"/>
        </w:rPr>
        <w:t>P27 — Integrations</w:t>
      </w:r>
    </w:p>
    <w:p>
      <w:pPr>
        <w:pStyle w:val="ListBullet"/>
        <w:spacing w:before="20" w:after="40"/>
      </w:pPr>
      <w:r>
        <w:rPr>
          <w:rFonts w:ascii="Segoe UI" w:hAnsi="Segoe UI"/>
          <w:b/>
        </w:rPr>
        <w:t>Status:</w:t>
      </w:r>
      <w:r>
        <w:rPr>
          <w:rFonts w:ascii="Segoe UI" w:hAnsi="Segoe UI"/>
        </w:rPr>
        <w:t xml:space="preserve"> Planned</w:t>
      </w:r>
    </w:p>
    <w:p>
      <w:pPr>
        <w:pStyle w:val="ListBullet"/>
        <w:spacing w:before="20" w:after="40"/>
      </w:pPr>
      <w:r>
        <w:rPr>
          <w:rFonts w:ascii="Segoe UI" w:hAnsi="Segoe UI"/>
          <w:b/>
        </w:rPr>
        <w:t>Objective:</w:t>
      </w:r>
      <w:r>
        <w:rPr>
          <w:rFonts w:ascii="Segoe UI" w:hAnsi="Segoe UI"/>
        </w:rPr>
        <w:t xml:space="preserve"> Add provider-based external services without coupling them to accounting core.</w:t>
      </w:r>
    </w:p>
    <w:p>
      <w:pPr>
        <w:pStyle w:val="ListBullet"/>
        <w:spacing w:before="20" w:after="40"/>
      </w:pPr>
      <w:r>
        <w:rPr>
          <w:rFonts w:ascii="Segoe UI" w:hAnsi="Segoe UI"/>
          <w:b/>
        </w:rPr>
        <w:t>Key Deliverables:</w:t>
      </w:r>
      <w:r>
        <w:rPr>
          <w:rFonts w:ascii="Segoe UI" w:hAnsi="Segoe UI"/>
        </w:rPr>
        <w:t xml:space="preserve"> Stripe/PayPal/Google/Microsoft first where justified; HMRC/Open Banking later; Provider interfaces and secure credentials.</w:t>
      </w:r>
    </w:p>
    <w:p>
      <w:pPr>
        <w:pStyle w:val="ListBullet"/>
        <w:spacing w:before="20" w:after="40"/>
      </w:pPr>
      <w:r>
        <w:rPr>
          <w:rFonts w:ascii="Segoe UI" w:hAnsi="Segoe UI"/>
          <w:b/>
        </w:rPr>
        <w:t>Accounting:</w:t>
      </w:r>
      <w:r>
        <w:rPr>
          <w:rFonts w:ascii="Segoe UI" w:hAnsi="Segoe UI"/>
        </w:rPr>
        <w:t xml:space="preserve"> External events become validated business events; never direct ledger writes.</w:t>
      </w:r>
    </w:p>
    <w:p>
      <w:pPr>
        <w:pStyle w:val="ListBullet"/>
        <w:spacing w:before="20" w:after="40"/>
      </w:pPr>
      <w:r>
        <w:rPr>
          <w:rFonts w:ascii="Segoe UI" w:hAnsi="Segoe UI"/>
          <w:b/>
        </w:rPr>
        <w:t>Primary Test Gate:</w:t>
      </w:r>
      <w:r>
        <w:rPr>
          <w:rFonts w:ascii="Segoe UI" w:hAnsi="Segoe UI"/>
        </w:rPr>
        <w:t xml:space="preserve"> Provider sandbox tests, webhook signatures, graceful failure.</w:t>
      </w:r>
    </w:p>
    <w:p>
      <w:pPr>
        <w:pStyle w:val="Heading3"/>
        <w:spacing w:before="160" w:after="40"/>
      </w:pPr>
      <w:r>
        <w:rPr>
          <w:rFonts w:ascii="Segoe UI" w:hAnsi="Segoe UI"/>
          <w:b/>
          <w:color w:val="475569"/>
          <w:sz w:val="22"/>
        </w:rPr>
        <w:t>P28 — AWS Development Environment</w:t>
      </w:r>
    </w:p>
    <w:p>
      <w:pPr>
        <w:pStyle w:val="ListBullet"/>
        <w:spacing w:before="20" w:after="40"/>
      </w:pPr>
      <w:r>
        <w:rPr>
          <w:rFonts w:ascii="Segoe UI" w:hAnsi="Segoe UI"/>
          <w:b/>
        </w:rPr>
        <w:t>Status:</w:t>
      </w:r>
      <w:r>
        <w:rPr>
          <w:rFonts w:ascii="Segoe UI" w:hAnsi="Segoe UI"/>
        </w:rPr>
        <w:t xml:space="preserve"> Planning / account prepared</w:t>
      </w:r>
    </w:p>
    <w:p>
      <w:pPr>
        <w:pStyle w:val="ListBullet"/>
        <w:spacing w:before="20" w:after="40"/>
      </w:pPr>
      <w:r>
        <w:rPr>
          <w:rFonts w:ascii="Segoe UI" w:hAnsi="Segoe UI"/>
          <w:b/>
        </w:rPr>
        <w:t>Objective:</w:t>
      </w:r>
      <w:r>
        <w:rPr>
          <w:rFonts w:ascii="Segoe UI" w:hAnsi="Segoe UI"/>
        </w:rPr>
        <w:t xml:space="preserve"> Build low-cost blynt DEV in AWS London while retaining current hosting.</w:t>
      </w:r>
    </w:p>
    <w:p>
      <w:pPr>
        <w:pStyle w:val="ListBullet"/>
        <w:spacing w:before="20" w:after="40"/>
      </w:pPr>
      <w:r>
        <w:rPr>
          <w:rFonts w:ascii="Segoe UI" w:hAnsi="Segoe UI"/>
          <w:b/>
        </w:rPr>
        <w:t>Key Deliverables:</w:t>
      </w:r>
      <w:r>
        <w:rPr>
          <w:rFonts w:ascii="Segoe UI" w:hAnsi="Segoe UI"/>
        </w:rPr>
        <w:t xml:space="preserve"> Amplify, App Runner, ECR, RDS, S3, Secrets, CloudWatch; Terraform and GitHub OIDC; Sanitised/test database migration and integrity checks.</w:t>
      </w:r>
    </w:p>
    <w:p>
      <w:pPr>
        <w:pStyle w:val="ListBullet"/>
        <w:spacing w:before="20" w:after="40"/>
      </w:pPr>
      <w:r>
        <w:rPr>
          <w:rFonts w:ascii="Segoe UI" w:hAnsi="Segoe UI"/>
          <w:b/>
        </w:rPr>
        <w:t>Accounting:</w:t>
      </w:r>
      <w:r>
        <w:rPr>
          <w:rFonts w:ascii="Segoe UI" w:hAnsi="Segoe UI"/>
        </w:rPr>
        <w:t xml:space="preserve"> Cloud migration must preserve identical accounting integrity.</w:t>
      </w:r>
    </w:p>
    <w:p>
      <w:pPr>
        <w:pStyle w:val="ListBullet"/>
        <w:spacing w:before="20" w:after="40"/>
      </w:pPr>
      <w:r>
        <w:rPr>
          <w:rFonts w:ascii="Segoe UI" w:hAnsi="Segoe UI"/>
          <w:b/>
        </w:rPr>
        <w:t>Primary Test Gate:</w:t>
      </w:r>
      <w:r>
        <w:rPr>
          <w:rFonts w:ascii="Segoe UI" w:hAnsi="Segoe UI"/>
        </w:rPr>
        <w:t xml:space="preserve"> Row counts, posted debit/credit totals, trial balance and app smoke tests.</w:t>
      </w:r>
    </w:p>
    <w:p>
      <w:pPr>
        <w:pStyle w:val="Heading3"/>
        <w:spacing w:before="160" w:after="40"/>
      </w:pPr>
      <w:r>
        <w:rPr>
          <w:rFonts w:ascii="Segoe UI" w:hAnsi="Segoe UI"/>
          <w:b/>
          <w:color w:val="475569"/>
          <w:sz w:val="22"/>
        </w:rPr>
        <w:t>P29 — Production Hardening &amp; Commercial Readiness</w:t>
      </w:r>
    </w:p>
    <w:p>
      <w:pPr>
        <w:pStyle w:val="ListBullet"/>
        <w:spacing w:before="20" w:after="40"/>
      </w:pPr>
      <w:r>
        <w:rPr>
          <w:rFonts w:ascii="Segoe UI" w:hAnsi="Segoe UI"/>
          <w:b/>
        </w:rPr>
        <w:t>Status:</w:t>
      </w:r>
      <w:r>
        <w:rPr>
          <w:rFonts w:ascii="Segoe UI" w:hAnsi="Segoe UI"/>
        </w:rPr>
        <w:t xml:space="preserve"> Planned</w:t>
      </w:r>
    </w:p>
    <w:p>
      <w:pPr>
        <w:pStyle w:val="ListBullet"/>
        <w:spacing w:before="20" w:after="40"/>
      </w:pPr>
      <w:r>
        <w:rPr>
          <w:rFonts w:ascii="Segoe UI" w:hAnsi="Segoe UI"/>
          <w:b/>
        </w:rPr>
        <w:t>Objective:</w:t>
      </w:r>
      <w:r>
        <w:rPr>
          <w:rFonts w:ascii="Segoe UI" w:hAnsi="Segoe UI"/>
        </w:rPr>
        <w:t xml:space="preserve"> Prepare blynt for paying businesses and controlled production cutover.</w:t>
      </w:r>
    </w:p>
    <w:p>
      <w:pPr>
        <w:pStyle w:val="ListBullet"/>
        <w:spacing w:before="20" w:after="40"/>
      </w:pPr>
      <w:r>
        <w:rPr>
          <w:rFonts w:ascii="Segoe UI" w:hAnsi="Segoe UI"/>
          <w:b/>
        </w:rPr>
        <w:t>Key Deliverables:</w:t>
      </w:r>
      <w:r>
        <w:rPr>
          <w:rFonts w:ascii="Segoe UI" w:hAnsi="Segoe UI"/>
        </w:rPr>
        <w:t xml:space="preserve"> MFA, CSP, monitoring, backups, incident response; Staging/production IaC and rollback runbooks; UK GDPR and security programme.</w:t>
      </w:r>
    </w:p>
    <w:p>
      <w:pPr>
        <w:pStyle w:val="ListBullet"/>
        <w:spacing w:before="20" w:after="40"/>
      </w:pPr>
      <w:r>
        <w:rPr>
          <w:rFonts w:ascii="Segoe UI" w:hAnsi="Segoe UI"/>
          <w:b/>
        </w:rPr>
        <w:t>Accounting:</w:t>
      </w:r>
      <w:r>
        <w:rPr>
          <w:rFonts w:ascii="Segoe UI" w:hAnsi="Segoe UI"/>
        </w:rPr>
        <w:t xml:space="preserve"> No production cutover unless financial validation passes.</w:t>
      </w:r>
    </w:p>
    <w:p>
      <w:pPr>
        <w:pStyle w:val="ListBullet"/>
        <w:spacing w:before="20" w:after="40"/>
      </w:pPr>
      <w:r>
        <w:rPr>
          <w:rFonts w:ascii="Segoe UI" w:hAnsi="Segoe UI"/>
          <w:b/>
        </w:rPr>
        <w:t>Primary Test Gate:</w:t>
      </w:r>
      <w:r>
        <w:rPr>
          <w:rFonts w:ascii="Segoe UI" w:hAnsi="Segoe UI"/>
        </w:rPr>
        <w:t xml:space="preserve"> Pen test readiness, backup restore drills, release gates.</w:t>
      </w:r>
    </w:p>
    <w:p>
      <w:pPr>
        <w:pStyle w:val="Heading3"/>
        <w:spacing w:before="160" w:after="40"/>
      </w:pPr>
      <w:r>
        <w:rPr>
          <w:rFonts w:ascii="Segoe UI" w:hAnsi="Segoe UI"/>
          <w:b/>
          <w:color w:val="475569"/>
          <w:sz w:val="22"/>
        </w:rPr>
        <w:t>P30 — blynt Intelligence</w:t>
      </w:r>
    </w:p>
    <w:p>
      <w:pPr>
        <w:pStyle w:val="ListBullet"/>
        <w:spacing w:before="20" w:after="40"/>
      </w:pPr>
      <w:r>
        <w:rPr>
          <w:rFonts w:ascii="Segoe UI" w:hAnsi="Segoe UI"/>
          <w:b/>
        </w:rPr>
        <w:t>Status:</w:t>
      </w:r>
      <w:r>
        <w:rPr>
          <w:rFonts w:ascii="Segoe UI" w:hAnsi="Segoe UI"/>
        </w:rPr>
        <w:t xml:space="preserve"> Planned</w:t>
      </w:r>
    </w:p>
    <w:p>
      <w:pPr>
        <w:pStyle w:val="ListBullet"/>
        <w:spacing w:before="20" w:after="40"/>
      </w:pPr>
      <w:r>
        <w:rPr>
          <w:rFonts w:ascii="Segoe UI" w:hAnsi="Segoe UI"/>
          <w:b/>
        </w:rPr>
        <w:t>Objective:</w:t>
      </w:r>
      <w:r>
        <w:rPr>
          <w:rFonts w:ascii="Segoe UI" w:hAnsi="Segoe UI"/>
        </w:rPr>
        <w:t xml:space="preserve"> Add explainable AI assistance only after accounting foundations are stable.</w:t>
      </w:r>
    </w:p>
    <w:p>
      <w:pPr>
        <w:pStyle w:val="ListBullet"/>
        <w:spacing w:before="20" w:after="40"/>
      </w:pPr>
      <w:r>
        <w:rPr>
          <w:rFonts w:ascii="Segoe UI" w:hAnsi="Segoe UI"/>
          <w:b/>
        </w:rPr>
        <w:t>Key Deliverables:</w:t>
      </w:r>
      <w:r>
        <w:rPr>
          <w:rFonts w:ascii="Segoe UI" w:hAnsi="Segoe UI"/>
        </w:rPr>
        <w:t xml:space="preserve"> Category and bank-match suggestions; Anomaly/duplicate detection; Cash-flow and report explanations.</w:t>
      </w:r>
    </w:p>
    <w:p>
      <w:pPr>
        <w:pStyle w:val="ListBullet"/>
        <w:spacing w:before="20" w:after="40"/>
      </w:pPr>
      <w:r>
        <w:rPr>
          <w:rFonts w:ascii="Segoe UI" w:hAnsi="Segoe UI"/>
          <w:b/>
        </w:rPr>
        <w:t>Accounting:</w:t>
      </w:r>
      <w:r>
        <w:rPr>
          <w:rFonts w:ascii="Segoe UI" w:hAnsi="Segoe UI"/>
        </w:rPr>
        <w:t xml:space="preserve"> AI never silently posts journals; financially material actions need human confirmation.</w:t>
      </w:r>
    </w:p>
    <w:p>
      <w:pPr>
        <w:pStyle w:val="ListBullet"/>
        <w:spacing w:before="20" w:after="40"/>
      </w:pPr>
      <w:r>
        <w:rPr>
          <w:rFonts w:ascii="Segoe UI" w:hAnsi="Segoe UI"/>
          <w:b/>
        </w:rPr>
        <w:t>Primary Test Gate:</w:t>
      </w:r>
      <w:r>
        <w:rPr>
          <w:rFonts w:ascii="Segoe UI" w:hAnsi="Segoe UI"/>
        </w:rPr>
        <w:t xml:space="preserve"> Confidence/explanation tests, permission boundaries, audit of accepted suggestions.</w:t>
      </w:r>
    </w:p>
    <w:p>
      <w:pPr>
        <w:spacing w:after="120"/>
      </w:pPr>
    </w:p>
    <w:p>
      <w:pPr>
        <w:pStyle w:val="Heading1"/>
        <w:spacing w:before="320" w:after="120"/>
      </w:pPr>
      <w:r>
        <w:rPr>
          <w:rFonts w:ascii="Segoe UI" w:hAnsi="Segoe UI"/>
          <w:b/>
          <w:color w:val="162D5F"/>
          <w:sz w:val="34"/>
        </w:rPr>
        <w:t>10. AWS Architecture &amp; Migration</w:t>
      </w:r>
    </w:p>
    <w:p>
      <w:pPr>
        <w:pStyle w:val="Heading2"/>
        <w:spacing w:before="240" w:after="80"/>
      </w:pPr>
      <w:r>
        <w:rPr>
          <w:rFonts w:ascii="Segoe UI" w:hAnsi="Segoe UI"/>
          <w:b/>
          <w:color w:val="FF7F6C"/>
          <w:sz w:val="26"/>
        </w:rPr>
        <w:t>10.1 Development Target</w:t>
      </w:r>
    </w:p>
    <w:p>
      <w:pPr>
        <w:spacing w:before="2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1871831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8_aws_dev_architectur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8718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Segoe UI" w:hAnsi="Segoe UI"/>
          <w:i/>
          <w:color w:val="475569"/>
          <w:sz w:val="18"/>
        </w:rPr>
        <w:t>Figure 8 - Low-cost AWS DEV architecture in eu-west-2</w:t>
      </w:r>
    </w:p>
    <w:p>
      <w:pPr>
        <w:pStyle w:val="ListBullet"/>
        <w:spacing w:before="20" w:after="40"/>
      </w:pPr>
      <w:r>
        <w:rPr>
          <w:rFonts w:ascii="Segoe UI" w:hAnsi="Segoe UI"/>
          <w:b/>
        </w:rPr>
        <w:t>Architecture in eu-west-2:</w:t>
      </w:r>
      <w:r>
        <w:rPr>
          <w:rFonts w:ascii="Segoe UI" w:hAnsi="Segoe UI"/>
        </w:rPr>
        <w:t xml:space="preserve"> Amplify for Next.js, App Runner for NestJS API, ECR for immutable images, Single-AZ RDS PostgreSQL, private S3, Secrets Manager/SSM and CloudWatch.</w:t>
      </w:r>
    </w:p>
    <w:p>
      <w:pPr>
        <w:pStyle w:val="ListBullet"/>
        <w:spacing w:before="20" w:after="40"/>
      </w:pPr>
      <w:r>
        <w:rPr>
          <w:rFonts w:ascii="Segoe UI" w:hAnsi="Segoe UI"/>
          <w:b/>
        </w:rPr>
        <w:t>Cost Controls:</w:t>
      </w:r>
      <w:r>
        <w:rPr>
          <w:rFonts w:ascii="Segoe UI" w:hAnsi="Segoe UI"/>
        </w:rPr>
        <w:t xml:space="preserve"> Expensive components like NAT Gateways, Multi-AZ, ALB/WAF, Redis or large ECS clusters are deferred until traffic warrants them.</w:t>
      </w:r>
    </w:p>
    <w:p>
      <w:pPr>
        <w:pStyle w:val="Heading2"/>
        <w:spacing w:before="240" w:after="80"/>
      </w:pPr>
      <w:r>
        <w:rPr>
          <w:rFonts w:ascii="Segoe UI" w:hAnsi="Segoe UI"/>
          <w:b/>
          <w:color w:val="FF7F6C"/>
          <w:sz w:val="26"/>
        </w:rPr>
        <w:t>10.2 Migration Process</w:t>
      </w:r>
    </w:p>
    <w:p>
      <w:pPr>
        <w:spacing w:before="2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587466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9_migration_proces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8746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Segoe UI" w:hAnsi="Segoe UI"/>
          <w:i/>
          <w:color w:val="475569"/>
          <w:sz w:val="18"/>
        </w:rPr>
        <w:t>Figure 9 - Safe current-hosting to AWS migration and rollback path</w:t>
      </w:r>
    </w:p>
    <w:p>
      <w:pPr>
        <w:pStyle w:val="ListBullet"/>
        <w:spacing w:before="20" w:after="40"/>
      </w:pPr>
      <w:r>
        <w:rPr>
          <w:rFonts w:ascii="Segoe UI" w:hAnsi="Segoe UI"/>
        </w:rPr>
        <w:t>Keep current hosting online during AWS DEV validation.</w:t>
      </w:r>
    </w:p>
    <w:p>
      <w:pPr>
        <w:pStyle w:val="ListBullet"/>
        <w:spacing w:before="20" w:after="40"/>
      </w:pPr>
      <w:r>
        <w:rPr>
          <w:rFonts w:ascii="Segoe UI" w:hAnsi="Segoe UI"/>
        </w:rPr>
        <w:t>Use sanitised/test data for DEV rather than copying live personal data by default.</w:t>
      </w:r>
    </w:p>
    <w:p>
      <w:pPr>
        <w:pStyle w:val="ListBullet"/>
        <w:spacing w:before="20" w:after="40"/>
      </w:pPr>
      <w:r>
        <w:rPr>
          <w:rFonts w:ascii="Segoe UI" w:hAnsi="Segoe UI"/>
        </w:rPr>
        <w:t>For final production cutover: maintenance/read-only, final pg_dump, RDS restore, row counts, financial integrity, Trial Balance, app tests, then traffic switch.</w:t>
      </w:r>
    </w:p>
    <w:p>
      <w:pPr>
        <w:pStyle w:val="ListBullet"/>
        <w:spacing w:before="20" w:after="40"/>
      </w:pPr>
      <w:r>
        <w:rPr>
          <w:rFonts w:ascii="Segoe UI" w:hAnsi="Segoe UI"/>
        </w:rPr>
        <w:t>Keep old environment read-only for a defined rollback window.</w:t>
      </w:r>
    </w:p>
    <w:p>
      <w:pPr>
        <w:pStyle w:val="ListBullet"/>
        <w:spacing w:before="20" w:after="40"/>
      </w:pPr>
      <w:r>
        <w:rPr>
          <w:rFonts w:ascii="Segoe UI" w:hAnsi="Segoe UI"/>
        </w:rPr>
        <w:t>Never allow two production environments to accept financial writes simultaneously.</w:t>
      </w:r>
    </w:p>
    <w:p>
      <w:pPr>
        <w:pStyle w:val="Heading2"/>
        <w:spacing w:before="240" w:after="80"/>
      </w:pPr>
      <w:r>
        <w:rPr>
          <w:rFonts w:ascii="Segoe UI" w:hAnsi="Segoe UI"/>
          <w:b/>
          <w:color w:val="FF7F6C"/>
          <w:sz w:val="26"/>
        </w:rPr>
        <w:t>10.3 Cutover Financial Gates</w:t>
      </w:r>
    </w:p>
    <w:p>
      <w:pPr>
        <w:spacing w:before="40" w:after="80" w:line="276" w:lineRule="auto"/>
      </w:pPr>
      <w:r>
        <w:rPr>
          <w:rFonts w:ascii="Segoe UI" w:hAnsi="Segoe UI"/>
        </w:rPr>
        <w:t>The migration must NOT be approved unless all six financial integrity gates pass:</w:t>
      </w:r>
    </w:p>
    <w:p>
      <w:pPr>
        <w:pStyle w:val="ListNumber"/>
        <w:spacing w:before="20" w:after="40"/>
      </w:pPr>
      <w:r>
        <w:rPr>
          <w:rFonts w:ascii="Consolas" w:hAnsi="Consolas"/>
          <w:color w:val="B42828"/>
          <w:sz w:val="19"/>
        </w:rPr>
        <w:t>Source journal count = target journal count</w:t>
      </w:r>
    </w:p>
    <w:p>
      <w:pPr>
        <w:pStyle w:val="ListNumber"/>
        <w:spacing w:before="20" w:after="40"/>
      </w:pPr>
      <w:r>
        <w:rPr>
          <w:rFonts w:ascii="Consolas" w:hAnsi="Consolas"/>
          <w:color w:val="B42828"/>
          <w:sz w:val="19"/>
        </w:rPr>
        <w:t>Source journal-line count = target journal-line count</w:t>
      </w:r>
    </w:p>
    <w:p>
      <w:pPr>
        <w:pStyle w:val="ListNumber"/>
        <w:spacing w:before="20" w:after="40"/>
      </w:pPr>
      <w:r>
        <w:rPr>
          <w:rFonts w:ascii="Consolas" w:hAnsi="Consolas"/>
          <w:color w:val="B42828"/>
          <w:sz w:val="19"/>
        </w:rPr>
        <w:t>Source posted debits = target posted debits</w:t>
      </w:r>
    </w:p>
    <w:p>
      <w:pPr>
        <w:pStyle w:val="ListNumber"/>
        <w:spacing w:before="20" w:after="40"/>
      </w:pPr>
      <w:r>
        <w:rPr>
          <w:rFonts w:ascii="Consolas" w:hAnsi="Consolas"/>
          <w:color w:val="B42828"/>
          <w:sz w:val="19"/>
        </w:rPr>
        <w:t>Source posted credits = target posted credits</w:t>
      </w:r>
    </w:p>
    <w:p>
      <w:pPr>
        <w:pStyle w:val="ListNumber"/>
        <w:spacing w:before="20" w:after="40"/>
      </w:pPr>
      <w:r>
        <w:rPr>
          <w:rFonts w:ascii="Consolas" w:hAnsi="Consolas"/>
          <w:color w:val="B42828"/>
          <w:sz w:val="19"/>
        </w:rPr>
        <w:t>Source Trial Balance totals = target Trial Balance totals</w:t>
      </w:r>
    </w:p>
    <w:p>
      <w:pPr>
        <w:pStyle w:val="ListNumber"/>
        <w:spacing w:before="20" w:after="40"/>
      </w:pPr>
      <w:r>
        <w:rPr>
          <w:rFonts w:ascii="Consolas" w:hAnsi="Consolas"/>
          <w:color w:val="B42828"/>
          <w:sz w:val="19"/>
        </w:rPr>
        <w:t>Target Trial Balance debit = target Trial Balance credit</w:t>
      </w:r>
    </w:p>
    <w:p>
      <w:pPr>
        <w:spacing w:after="120"/>
      </w:pPr>
    </w:p>
    <w:p>
      <w:pPr>
        <w:pStyle w:val="Heading1"/>
        <w:spacing w:before="320" w:after="120"/>
      </w:pPr>
      <w:r>
        <w:rPr>
          <w:rFonts w:ascii="Segoe UI" w:hAnsi="Segoe UI"/>
          <w:b/>
          <w:color w:val="162D5F"/>
          <w:sz w:val="34"/>
        </w:rPr>
        <w:t>11. CI/CD &amp; Release Engineering</w:t>
      </w:r>
    </w:p>
    <w:p>
      <w:pPr>
        <w:spacing w:before="2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6364224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10_pull_request_gat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63642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Segoe UI" w:hAnsi="Segoe UI"/>
          <w:i/>
          <w:color w:val="475569"/>
          <w:sz w:val="18"/>
        </w:rPr>
        <w:t>Figure 10 - Pull-request quality gate and AWS DEV deployment flow</w:t>
      </w:r>
    </w:p>
    <w:p>
      <w:pPr>
        <w:pStyle w:val="ListBullet"/>
        <w:spacing w:before="20" w:after="40"/>
      </w:pPr>
      <w:r>
        <w:rPr>
          <w:rFonts w:ascii="Segoe UI" w:hAnsi="Segoe UI"/>
          <w:b/>
        </w:rPr>
        <w:t>Mandatory Pipeline Steps:</w:t>
      </w:r>
    </w:p>
    <w:p>
      <w:pPr>
        <w:pStyle w:val="ListNumber"/>
        <w:spacing w:before="20" w:after="40"/>
      </w:pPr>
      <w:r>
        <w:rPr>
          <w:rFonts w:ascii="Consolas" w:hAnsi="Consolas"/>
          <w:color w:val="B42828"/>
          <w:sz w:val="19"/>
        </w:rPr>
        <w:t>npm ci</w:t>
      </w:r>
    </w:p>
    <w:p>
      <w:pPr>
        <w:pStyle w:val="ListNumber"/>
        <w:spacing w:before="20" w:after="40"/>
      </w:pPr>
      <w:r>
        <w:rPr>
          <w:rFonts w:ascii="Consolas" w:hAnsi="Consolas"/>
          <w:color w:val="B42828"/>
          <w:sz w:val="19"/>
        </w:rPr>
        <w:t>Prisma generate / validate / migrations</w:t>
      </w:r>
    </w:p>
    <w:p>
      <w:pPr>
        <w:pStyle w:val="ListNumber"/>
        <w:spacing w:before="20" w:after="40"/>
      </w:pPr>
      <w:r>
        <w:rPr>
          <w:rFonts w:ascii="Consolas" w:hAnsi="Consolas"/>
          <w:color w:val="B42828"/>
          <w:sz w:val="19"/>
        </w:rPr>
        <w:t>Lint + Typecheck</w:t>
      </w:r>
    </w:p>
    <w:p>
      <w:pPr>
        <w:pStyle w:val="ListNumber"/>
        <w:spacing w:before="20" w:after="40"/>
      </w:pPr>
      <w:r>
        <w:rPr>
          <w:rFonts w:ascii="Consolas" w:hAnsi="Consolas"/>
          <w:color w:val="B42828"/>
          <w:sz w:val="19"/>
        </w:rPr>
        <w:t>Unit + Integration + E2E</w:t>
      </w:r>
    </w:p>
    <w:p>
      <w:pPr>
        <w:pStyle w:val="ListNumber"/>
        <w:spacing w:before="20" w:after="40"/>
      </w:pPr>
      <w:r>
        <w:rPr>
          <w:rFonts w:ascii="Consolas" w:hAnsi="Consolas"/>
          <w:color w:val="B42828"/>
          <w:sz w:val="19"/>
        </w:rPr>
        <w:t>Dependency + Secret Scan</w:t>
      </w:r>
    </w:p>
    <w:p>
      <w:pPr>
        <w:pStyle w:val="ListNumber"/>
        <w:spacing w:before="20" w:after="40"/>
      </w:pPr>
      <w:r>
        <w:rPr>
          <w:rFonts w:ascii="Consolas" w:hAnsi="Consolas"/>
          <w:color w:val="B42828"/>
          <w:sz w:val="19"/>
        </w:rPr>
        <w:t>Production Build</w:t>
      </w:r>
    </w:p>
    <w:p>
      <w:pPr>
        <w:pStyle w:val="ListBullet"/>
        <w:spacing w:before="20" w:after="40"/>
      </w:pPr>
      <w:r>
        <w:rPr>
          <w:rFonts w:ascii="Segoe UI" w:hAnsi="Segoe UI"/>
          <w:b/>
        </w:rPr>
        <w:t>Release Rules:</w:t>
      </w:r>
    </w:p>
    <w:p>
      <w:pPr>
        <w:pStyle w:val="ListBullet"/>
        <w:spacing w:before="20" w:after="40"/>
      </w:pPr>
      <w:r>
        <w:rPr>
          <w:rFonts w:ascii="Segoe UI" w:hAnsi="Segoe UI"/>
        </w:rPr>
        <w:t>GitHub Actions OIDC for AWS deployment (zero static secrets stored in GitHub).</w:t>
      </w:r>
    </w:p>
    <w:p>
      <w:pPr>
        <w:pStyle w:val="ListBullet"/>
        <w:spacing w:before="20" w:after="40"/>
      </w:pPr>
      <w:r>
        <w:rPr>
          <w:rFonts w:ascii="Segoe UI" w:hAnsi="Segoe UI"/>
        </w:rPr>
        <w:t>Immutable ECR image tags based on commit SHA.</w:t>
      </w:r>
    </w:p>
    <w:p>
      <w:pPr>
        <w:spacing w:after="120"/>
      </w:pPr>
    </w:p>
    <w:p>
      <w:pPr>
        <w:pStyle w:val="Heading1"/>
        <w:spacing w:before="320" w:after="120"/>
      </w:pPr>
      <w:r>
        <w:rPr>
          <w:rFonts w:ascii="Segoe UI" w:hAnsi="Segoe UI"/>
          <w:b/>
          <w:color w:val="162D5F"/>
          <w:sz w:val="34"/>
        </w:rPr>
        <w:t>12. Testing Strategy</w:t>
      </w:r>
    </w:p>
    <w:p>
      <w:pPr>
        <w:pStyle w:val="Heading2"/>
        <w:spacing w:before="240" w:after="80"/>
      </w:pPr>
      <w:r>
        <w:rPr>
          <w:rFonts w:ascii="Segoe UI" w:hAnsi="Segoe UI"/>
          <w:b/>
          <w:color w:val="FF7F6C"/>
          <w:sz w:val="26"/>
        </w:rPr>
        <w:t>12.1 Core Accounting Regression Suite</w:t>
      </w:r>
    </w:p>
    <w:p>
      <w:pPr>
        <w:pStyle w:val="ListBullet"/>
        <w:spacing w:before="20" w:after="40"/>
      </w:pPr>
      <w:r>
        <w:rPr>
          <w:rFonts w:ascii="Segoe UI" w:hAnsi="Segoe UI"/>
        </w:rPr>
        <w:t>Debit equals credit across all posted records.</w:t>
      </w:r>
    </w:p>
    <w:p>
      <w:pPr>
        <w:pStyle w:val="ListBullet"/>
        <w:spacing w:before="20" w:after="40"/>
      </w:pPr>
      <w:r>
        <w:rPr>
          <w:rFonts w:ascii="Segoe UI" w:hAnsi="Segoe UI"/>
        </w:rPr>
        <w:t>Draft and validated journals do not hit ledger.</w:t>
      </w:r>
    </w:p>
    <w:p>
      <w:pPr>
        <w:pStyle w:val="ListBullet"/>
        <w:spacing w:before="20" w:after="40"/>
      </w:pPr>
      <w:r>
        <w:rPr>
          <w:rFonts w:ascii="Segoe UI" w:hAnsi="Segoe UI"/>
        </w:rPr>
        <w:t>Posting happens exactly once; double-click/retry cannot double-post.</w:t>
      </w:r>
    </w:p>
    <w:p>
      <w:pPr>
        <w:pStyle w:val="ListBullet"/>
        <w:spacing w:before="20" w:after="40"/>
      </w:pPr>
      <w:r>
        <w:rPr>
          <w:rFonts w:ascii="Segoe UI" w:hAnsi="Segoe UI"/>
        </w:rPr>
        <w:t>Reversal offsets original and preserves history.</w:t>
      </w:r>
    </w:p>
    <w:p>
      <w:pPr>
        <w:pStyle w:val="ListBullet"/>
        <w:spacing w:before="20" w:after="40"/>
      </w:pPr>
      <w:r>
        <w:rPr>
          <w:rFonts w:ascii="Segoe UI" w:hAnsi="Segoe UI"/>
        </w:rPr>
        <w:t>Archived-account exact reversal works while manual posting remains blocked.</w:t>
      </w:r>
    </w:p>
    <w:p>
      <w:pPr>
        <w:pStyle w:val="ListBullet"/>
        <w:spacing w:before="20" w:after="40"/>
      </w:pPr>
      <w:r>
        <w:rPr>
          <w:rFonts w:ascii="Segoe UI" w:hAnsi="Segoe UI"/>
        </w:rPr>
        <w:t>Locked periods reject posting.</w:t>
      </w:r>
    </w:p>
    <w:p>
      <w:pPr>
        <w:pStyle w:val="ListBullet"/>
        <w:spacing w:before="20" w:after="40"/>
      </w:pPr>
      <w:r>
        <w:rPr>
          <w:rFonts w:ascii="Segoe UI" w:hAnsi="Segoe UI"/>
        </w:rPr>
        <w:t>Tenant A cannot access or reference Tenant B data.</w:t>
      </w:r>
    </w:p>
    <w:p>
      <w:pPr>
        <w:pStyle w:val="ListBullet"/>
        <w:spacing w:before="20" w:after="40"/>
      </w:pPr>
      <w:r>
        <w:rPr>
          <w:rFonts w:ascii="Segoe UI" w:hAnsi="Segoe UI"/>
        </w:rPr>
        <w:t>Invoices, payments, bills and VAT produce correct journals.</w:t>
      </w:r>
    </w:p>
    <w:p>
      <w:pPr>
        <w:pStyle w:val="ListBullet"/>
        <w:spacing w:before="20" w:after="40"/>
      </w:pPr>
      <w:r>
        <w:rPr>
          <w:rFonts w:ascii="Segoe UI" w:hAnsi="Segoe UI"/>
        </w:rPr>
        <w:t>Trial Balance balances and financial statements reconcile to ledger.</w:t>
      </w:r>
    </w:p>
    <w:p>
      <w:pPr>
        <w:pStyle w:val="ListBullet"/>
        <w:spacing w:before="20" w:after="40"/>
      </w:pPr>
      <w:r>
        <w:rPr>
          <w:rFonts w:ascii="Segoe UI" w:hAnsi="Segoe UI"/>
        </w:rPr>
        <w:t>CSV exports are not truncated and neutralise spreadsheet formula injection.</w:t>
      </w:r>
    </w:p>
    <w:p>
      <w:pPr>
        <w:pStyle w:val="Heading2"/>
        <w:spacing w:before="240" w:after="80"/>
      </w:pPr>
      <w:r>
        <w:rPr>
          <w:rFonts w:ascii="Segoe UI" w:hAnsi="Segoe UI"/>
          <w:b/>
          <w:color w:val="FF7F6C"/>
          <w:sz w:val="26"/>
        </w:rPr>
        <w:t>12.2 Test Pyramid</w:t>
      </w:r>
    </w:p>
    <w:p>
      <w:pPr>
        <w:pStyle w:val="ListBullet"/>
        <w:spacing w:before="20" w:after="40"/>
      </w:pPr>
      <w:r>
        <w:rPr>
          <w:rFonts w:ascii="Segoe UI" w:hAnsi="Segoe UI"/>
          <w:b/>
        </w:rPr>
        <w:t>Unit Tests:</w:t>
      </w:r>
      <w:r>
        <w:rPr>
          <w:rFonts w:ascii="Segoe UI" w:hAnsi="Segoe UI"/>
        </w:rPr>
        <w:t xml:space="preserve"> Domain calculations, mathematical rounding, period resolution.</w:t>
      </w:r>
    </w:p>
    <w:p>
      <w:pPr>
        <w:pStyle w:val="ListBullet"/>
        <w:spacing w:before="20" w:after="40"/>
      </w:pPr>
      <w:r>
        <w:rPr>
          <w:rFonts w:ascii="Segoe UI" w:hAnsi="Segoe UI"/>
          <w:b/>
        </w:rPr>
        <w:t>Integration Tests:</w:t>
      </w:r>
      <w:r>
        <w:rPr>
          <w:rFonts w:ascii="Segoe UI" w:hAnsi="Segoe UI"/>
        </w:rPr>
        <w:t xml:space="preserve"> Services, database constraints, composite foreign keys.</w:t>
      </w:r>
    </w:p>
    <w:p>
      <w:pPr>
        <w:pStyle w:val="ListBullet"/>
        <w:spacing w:before="20" w:after="40"/>
      </w:pPr>
      <w:r>
        <w:rPr>
          <w:rFonts w:ascii="Segoe UI" w:hAnsi="Segoe UI"/>
          <w:b/>
        </w:rPr>
        <w:t>E2E Tests:</w:t>
      </w:r>
      <w:r>
        <w:rPr>
          <w:rFonts w:ascii="Segoe UI" w:hAnsi="Segoe UI"/>
        </w:rPr>
        <w:t xml:space="preserve"> Authentication, RBAC, tenant isolation, and critical business workflows.</w:t>
      </w:r>
    </w:p>
    <w:p>
      <w:pPr>
        <w:pStyle w:val="ListBullet"/>
        <w:spacing w:before="20" w:after="40"/>
      </w:pPr>
      <w:r>
        <w:rPr>
          <w:rFonts w:ascii="Segoe UI" w:hAnsi="Segoe UI"/>
          <w:b/>
        </w:rPr>
        <w:t>Smoke Tests:</w:t>
      </w:r>
      <w:r>
        <w:rPr>
          <w:rFonts w:ascii="Segoe UI" w:hAnsi="Segoe UI"/>
        </w:rPr>
        <w:t xml:space="preserve"> Validates deployed AWS container environments.</w:t>
      </w:r>
    </w:p>
    <w:p>
      <w:pPr>
        <w:spacing w:after="120"/>
      </w:pPr>
    </w:p>
    <w:p>
      <w:pPr>
        <w:pStyle w:val="Heading1"/>
        <w:spacing w:before="320" w:after="120"/>
      </w:pPr>
      <w:r>
        <w:rPr>
          <w:rFonts w:ascii="Segoe UI" w:hAnsi="Segoe UI"/>
          <w:b/>
          <w:color w:val="162D5F"/>
          <w:sz w:val="34"/>
        </w:rPr>
        <w:t>13. Data &amp; Database Governance</w:t>
      </w:r>
    </w:p>
    <w:p>
      <w:pPr>
        <w:pStyle w:val="ListBullet"/>
        <w:spacing w:before="20" w:after="40"/>
      </w:pPr>
      <w:r>
        <w:rPr>
          <w:rFonts w:ascii="Segoe UI" w:hAnsi="Segoe UI"/>
          <w:b/>
        </w:rPr>
        <w:t>PostgreSQL is authoritative:</w:t>
      </w:r>
      <w:r>
        <w:rPr>
          <w:rFonts w:ascii="Segoe UI" w:hAnsi="Segoe UI"/>
        </w:rPr>
        <w:t xml:space="preserve"> Use Prisma migrations for controlled schema evolution.</w:t>
      </w:r>
    </w:p>
    <w:p>
      <w:pPr>
        <w:pStyle w:val="ListBullet"/>
        <w:spacing w:before="20" w:after="40"/>
      </w:pPr>
      <w:r>
        <w:rPr>
          <w:rFonts w:ascii="Segoe UI" w:hAnsi="Segoe UI"/>
          <w:b/>
        </w:rPr>
        <w:t>Money uses NUMERIC/DECIMAL:</w:t>
      </w:r>
      <w:r>
        <w:rPr>
          <w:rFonts w:ascii="Segoe UI" w:hAnsi="Segoe UI"/>
        </w:rPr>
        <w:t xml:space="preserve"> Managed through </w:t>
      </w:r>
      <w:r>
        <w:rPr>
          <w:rFonts w:ascii="Consolas" w:hAnsi="Consolas"/>
          <w:color w:val="B42828"/>
          <w:sz w:val="19"/>
        </w:rPr>
        <w:t>MoneyService</w:t>
      </w:r>
      <w:r>
        <w:rPr>
          <w:rFonts w:ascii="Segoe UI" w:hAnsi="Segoe UI"/>
        </w:rPr>
        <w:t xml:space="preserve"> and </w:t>
      </w:r>
      <w:r>
        <w:rPr>
          <w:rFonts w:ascii="Consolas" w:hAnsi="Consolas"/>
          <w:color w:val="B42828"/>
          <w:sz w:val="19"/>
        </w:rPr>
        <w:t>Decimal.js</w:t>
      </w:r>
      <w:r>
        <w:rPr>
          <w:rFonts w:ascii="Segoe UI" w:hAnsi="Segoe UI"/>
        </w:rPr>
        <w:t>.</w:t>
      </w:r>
    </w:p>
    <w:p>
      <w:pPr>
        <w:pStyle w:val="ListBullet"/>
        <w:spacing w:before="20" w:after="40"/>
      </w:pPr>
      <w:r>
        <w:rPr>
          <w:rFonts w:ascii="Segoe UI" w:hAnsi="Segoe UI"/>
          <w:b/>
        </w:rPr>
        <w:t>Use unique constraints and check constraints for domain invariants.</w:t>
      </w:r>
    </w:p>
    <w:p>
      <w:pPr>
        <w:pStyle w:val="ListBullet"/>
        <w:spacing w:before="20" w:after="40"/>
      </w:pPr>
      <w:r>
        <w:rPr>
          <w:rFonts w:ascii="Segoe UI" w:hAnsi="Segoe UI"/>
          <w:b/>
        </w:rPr>
        <w:t>Prefer RESTRICT rather than destructive cascades for historical accounting data.</w:t>
      </w:r>
    </w:p>
    <w:p>
      <w:pPr>
        <w:pStyle w:val="ListBullet"/>
        <w:spacing w:before="20" w:after="40"/>
      </w:pPr>
      <w:r>
        <w:rPr>
          <w:rFonts w:ascii="Segoe UI" w:hAnsi="Segoe UI"/>
          <w:b/>
        </w:rPr>
        <w:t>Large exports paginate or stream:</w:t>
      </w:r>
      <w:r>
        <w:rPr>
          <w:rFonts w:ascii="Segoe UI" w:hAnsi="Segoe UI"/>
        </w:rPr>
        <w:t xml:space="preserve"> No silent 10k truncation.</w:t>
      </w:r>
    </w:p>
    <w:p>
      <w:pPr>
        <w:pStyle w:val="ListBullet"/>
        <w:spacing w:before="20" w:after="40"/>
      </w:pPr>
      <w:r>
        <w:rPr>
          <w:rFonts w:ascii="Segoe UI" w:hAnsi="Segoe UI"/>
          <w:b/>
        </w:rPr>
        <w:t>Backups and migrations must be verifiable through row counts and accounting totals.</w:t>
      </w:r>
    </w:p>
    <w:p>
      <w:pPr>
        <w:pStyle w:val="Heading2"/>
        <w:spacing w:before="240" w:after="80"/>
      </w:pPr>
      <w:r>
        <w:rPr>
          <w:rFonts w:ascii="Segoe UI" w:hAnsi="Segoe UI"/>
          <w:b/>
          <w:color w:val="FF7F6C"/>
          <w:sz w:val="26"/>
        </w:rPr>
        <w:t>13.1 Planned Schema Evolution</w:t>
      </w:r>
    </w:p>
    <w:p>
      <w:pPr>
        <w:pStyle w:val="ListBullet"/>
        <w:spacing w:before="20" w:after="40"/>
      </w:pPr>
      <w:r>
        <w:rPr>
          <w:rFonts w:ascii="Segoe UI" w:hAnsi="Segoe UI"/>
        </w:rPr>
        <w:t>Contacts: legal/contact/address/currency/VAT/company/payment-term fields and AP control relationship.</w:t>
      </w:r>
    </w:p>
    <w:p>
      <w:pPr>
        <w:pStyle w:val="ListBullet"/>
        <w:spacing w:before="20" w:after="40"/>
      </w:pPr>
      <w:r>
        <w:rPr>
          <w:rFonts w:ascii="Segoe UI" w:hAnsi="Segoe UI"/>
        </w:rPr>
        <w:t>TaxRates table with organisation-scoped codes/rates/control accounts.</w:t>
      </w:r>
    </w:p>
    <w:p>
      <w:pPr>
        <w:pStyle w:val="ListBullet"/>
        <w:spacing w:before="20" w:after="40"/>
      </w:pPr>
      <w:r>
        <w:rPr>
          <w:rFonts w:ascii="Segoe UI" w:hAnsi="Segoe UI"/>
        </w:rPr>
        <w:t>Customer payments and allocations.</w:t>
      </w:r>
    </w:p>
    <w:p>
      <w:pPr>
        <w:pStyle w:val="ListBullet"/>
        <w:spacing w:before="20" w:after="40"/>
      </w:pPr>
      <w:r>
        <w:rPr>
          <w:rFonts w:ascii="Segoe UI" w:hAnsi="Segoe UI"/>
        </w:rPr>
        <w:t>Credit notes and lines.</w:t>
      </w:r>
    </w:p>
    <w:p>
      <w:pPr>
        <w:pStyle w:val="ListBullet"/>
        <w:spacing w:before="20" w:after="40"/>
      </w:pPr>
      <w:r>
        <w:rPr>
          <w:rFonts w:ascii="Segoe UI" w:hAnsi="Segoe UI"/>
        </w:rPr>
        <w:t>Supplier bills and lines.</w:t>
      </w:r>
    </w:p>
    <w:p>
      <w:pPr>
        <w:pStyle w:val="ListBullet"/>
        <w:spacing w:before="20" w:after="40"/>
      </w:pPr>
      <w:r>
        <w:rPr>
          <w:rFonts w:ascii="Segoe UI" w:hAnsi="Segoe UI"/>
        </w:rPr>
        <w:t>Supplier payments and allocations.</w:t>
      </w:r>
    </w:p>
    <w:p>
      <w:pPr>
        <w:pStyle w:val="ListBullet"/>
        <w:spacing w:before="20" w:after="40"/>
      </w:pPr>
      <w:r>
        <w:rPr>
          <w:rFonts w:ascii="Segoe UI" w:hAnsi="Segoe UI"/>
        </w:rPr>
        <w:t>Bank accounts, bank transactions and reconciliations.</w:t>
      </w:r>
    </w:p>
    <w:p>
      <w:pPr>
        <w:spacing w:after="120"/>
      </w:pPr>
    </w:p>
    <w:p>
      <w:pPr>
        <w:pStyle w:val="Heading1"/>
        <w:spacing w:before="320" w:after="120"/>
      </w:pPr>
      <w:r>
        <w:rPr>
          <w:rFonts w:ascii="Segoe UI" w:hAnsi="Segoe UI"/>
          <w:b/>
          <w:color w:val="162D5F"/>
          <w:sz w:val="34"/>
        </w:rPr>
        <w:t>14. Compliance &amp; Operations</w:t>
      </w:r>
    </w:p>
    <w:p>
      <w:pPr>
        <w:pStyle w:val="Heading2"/>
        <w:spacing w:before="240" w:after="80"/>
      </w:pPr>
      <w:r>
        <w:rPr>
          <w:rFonts w:ascii="Segoe UI" w:hAnsi="Segoe UI"/>
          <w:b/>
          <w:color w:val="FF7F6C"/>
          <w:sz w:val="26"/>
        </w:rPr>
        <w:t>14.1 UK Compliance</w:t>
      </w:r>
    </w:p>
    <w:p>
      <w:pPr>
        <w:pStyle w:val="ListBullet"/>
        <w:spacing w:before="20" w:after="40"/>
      </w:pPr>
      <w:r>
        <w:rPr>
          <w:rFonts w:ascii="Segoe UI" w:hAnsi="Segoe UI"/>
        </w:rPr>
        <w:t>UK GDPR privacy notice and processing documentation.</w:t>
      </w:r>
    </w:p>
    <w:p>
      <w:pPr>
        <w:pStyle w:val="ListBullet"/>
        <w:spacing w:before="20" w:after="40"/>
      </w:pPr>
      <w:r>
        <w:rPr>
          <w:rFonts w:ascii="Segoe UI" w:hAnsi="Segoe UI"/>
        </w:rPr>
        <w:t>Data Processing Agreement and subprocessor list.</w:t>
      </w:r>
    </w:p>
    <w:p>
      <w:pPr>
        <w:pStyle w:val="ListBullet"/>
        <w:spacing w:before="20" w:after="40"/>
      </w:pPr>
      <w:r>
        <w:rPr>
          <w:rFonts w:ascii="Segoe UI" w:hAnsi="Segoe UI"/>
        </w:rPr>
        <w:t>Retention, export and deletion workflows consistent with legal/accounting retention.</w:t>
      </w:r>
    </w:p>
    <w:p>
      <w:pPr>
        <w:pStyle w:val="ListBullet"/>
        <w:spacing w:before="20" w:after="40"/>
      </w:pPr>
      <w:r>
        <w:rPr>
          <w:rFonts w:ascii="Segoe UI" w:hAnsi="Segoe UI"/>
        </w:rPr>
        <w:t>Incident response and security communication procedures.</w:t>
      </w:r>
    </w:p>
    <w:p>
      <w:pPr>
        <w:pStyle w:val="ListBullet"/>
        <w:spacing w:before="20" w:after="40"/>
      </w:pPr>
      <w:r>
        <w:rPr>
          <w:rFonts w:ascii="Segoe UI" w:hAnsi="Segoe UI"/>
        </w:rPr>
        <w:t>Cyber Essentials $</w:t>
        <w:tab/>
        <w:t>o$ Cyber Essentials Plus $</w:t>
        <w:tab/>
        <w:t>o$ ISO 27001 readiness; SOC 2 by customer demand.</w:t>
      </w:r>
    </w:p>
    <w:p>
      <w:pPr>
        <w:pStyle w:val="Heading2"/>
        <w:spacing w:before="240" w:after="80"/>
      </w:pPr>
      <w:r>
        <w:rPr>
          <w:rFonts w:ascii="Segoe UI" w:hAnsi="Segoe UI"/>
          <w:b/>
          <w:color w:val="FF7F6C"/>
          <w:sz w:val="26"/>
        </w:rPr>
        <w:t>14.2 Backups &amp; Disaster Recovery</w:t>
      </w:r>
    </w:p>
    <w:p>
      <w:pPr>
        <w:pStyle w:val="ListBullet"/>
        <w:spacing w:before="20" w:after="40"/>
      </w:pPr>
      <w:r>
        <w:rPr>
          <w:rFonts w:ascii="Segoe UI" w:hAnsi="Segoe UI"/>
        </w:rPr>
        <w:t>RDS automated backups and point-in-time recovery for production.</w:t>
      </w:r>
    </w:p>
    <w:p>
      <w:pPr>
        <w:pStyle w:val="ListBullet"/>
        <w:spacing w:before="20" w:after="40"/>
      </w:pPr>
      <w:r>
        <w:rPr>
          <w:rFonts w:ascii="Segoe UI" w:hAnsi="Segoe UI"/>
        </w:rPr>
        <w:t>Encrypted backup retention and periodic restore testing.</w:t>
      </w:r>
    </w:p>
    <w:p>
      <w:pPr>
        <w:pStyle w:val="ListBullet"/>
        <w:spacing w:before="20" w:after="40"/>
      </w:pPr>
      <w:r>
        <w:rPr>
          <w:rFonts w:ascii="Segoe UI" w:hAnsi="Segoe UI"/>
        </w:rPr>
        <w:t>S3 versioning where appropriate.</w:t>
      </w:r>
    </w:p>
    <w:p>
      <w:pPr>
        <w:pStyle w:val="ListBullet"/>
        <w:spacing w:before="20" w:after="40"/>
      </w:pPr>
      <w:r>
        <w:rPr>
          <w:rFonts w:ascii="Segoe UI" w:hAnsi="Segoe UI"/>
        </w:rPr>
        <w:t>Document and periodically review Recovery Point Objective (RPO) and Recovery Time Objective (RTO).</w:t>
      </w:r>
    </w:p>
    <w:p>
      <w:pPr>
        <w:pStyle w:val="ListBullet"/>
        <w:spacing w:before="20" w:after="40"/>
      </w:pPr>
      <w:r>
        <w:rPr>
          <w:rFonts w:ascii="Segoe UI" w:hAnsi="Segoe UI"/>
        </w:rPr>
        <w:t>Accounting integrity validation is part of recovery, not merely database availability.</w:t>
      </w:r>
    </w:p>
    <w:p>
      <w:pPr>
        <w:spacing w:after="120"/>
      </w:pPr>
    </w:p>
    <w:p>
      <w:pPr>
        <w:pStyle w:val="Heading1"/>
        <w:spacing w:before="320" w:after="120"/>
      </w:pPr>
      <w:r>
        <w:rPr>
          <w:rFonts w:ascii="Segoe UI" w:hAnsi="Segoe UI"/>
          <w:b/>
          <w:color w:val="162D5F"/>
          <w:sz w:val="34"/>
        </w:rPr>
        <w:t>15. Documentation Governance</w:t>
      </w:r>
    </w:p>
    <w:p>
      <w:pPr>
        <w:spacing w:before="40" w:after="80" w:line="276" w:lineRule="auto"/>
      </w:pPr>
      <w:r>
        <w:rPr>
          <w:rFonts w:ascii="Segoe UI" w:hAnsi="Segoe UI"/>
        </w:rPr>
        <w:t>Documentation is part of the Definition of Done. Every material code, schema, accounting, security or infrastructure change updates the relevant repository documentation and diagrams in the same phase.</w:t>
      </w:r>
    </w:p>
    <w:p>
      <w:pPr>
        <w:pStyle w:val="ListBullet"/>
        <w:spacing w:before="20" w:after="40"/>
      </w:pPr>
      <w:r>
        <w:rPr>
          <w:rFonts w:ascii="Segoe UI" w:hAnsi="Segoe UI"/>
        </w:rPr>
        <w:t>Update phase document status, objective, scope, implementation and completion report.</w:t>
      </w:r>
    </w:p>
    <w:p>
      <w:pPr>
        <w:pStyle w:val="ListBullet"/>
        <w:spacing w:before="20" w:after="40"/>
      </w:pPr>
      <w:r>
        <w:rPr>
          <w:rFonts w:ascii="Segoe UI" w:hAnsi="Segoe UI"/>
        </w:rPr>
        <w:t>Update architecture and accounting diagrams when flows change.</w:t>
      </w:r>
    </w:p>
    <w:p>
      <w:pPr>
        <w:pStyle w:val="ListBullet"/>
        <w:spacing w:before="20" w:after="40"/>
      </w:pPr>
      <w:r>
        <w:rPr>
          <w:rFonts w:ascii="Segoe UI" w:hAnsi="Segoe UI"/>
        </w:rPr>
        <w:t>Update API/database/security/AWS documents as applicable.</w:t>
      </w:r>
    </w:p>
    <w:p>
      <w:pPr>
        <w:pStyle w:val="ListBullet"/>
        <w:spacing w:before="20" w:after="40"/>
      </w:pPr>
      <w:r>
        <w:rPr>
          <w:rFonts w:ascii="Segoe UI" w:hAnsi="Segoe UI"/>
        </w:rPr>
        <w:t>Record migrations and rollback steps.</w:t>
      </w:r>
    </w:p>
    <w:p>
      <w:pPr>
        <w:pStyle w:val="ListBullet"/>
        <w:spacing w:before="20" w:after="40"/>
      </w:pPr>
      <w:r>
        <w:rPr>
          <w:rFonts w:ascii="Segoe UI" w:hAnsi="Segoe UI"/>
        </w:rPr>
        <w:t>Record tests executed and known risks.</w:t>
      </w:r>
    </w:p>
    <w:p>
      <w:pPr>
        <w:pStyle w:val="ListBullet"/>
        <w:spacing w:before="20" w:after="40"/>
      </w:pPr>
      <w:r>
        <w:rPr>
          <w:rFonts w:ascii="Segoe UI" w:hAnsi="Segoe UI"/>
        </w:rPr>
        <w:t>Never place secrets, tokens or credentials in documentation.</w:t>
      </w:r>
    </w:p>
    <w:p>
      <w:pPr>
        <w:spacing w:after="120"/>
      </w:pPr>
    </w:p>
    <w:p>
      <w:pPr>
        <w:pStyle w:val="Heading1"/>
        <w:spacing w:before="320" w:after="120"/>
      </w:pPr>
      <w:r>
        <w:rPr>
          <w:rFonts w:ascii="Segoe UI" w:hAnsi="Segoe UI"/>
          <w:b/>
          <w:color w:val="162D5F"/>
          <w:sz w:val="34"/>
        </w:rPr>
        <w:t>Appendix A - Recommended Repository Documentation Structure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F1F5F9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1E293B"/>
                <w:sz w:val="17"/>
              </w:rPr>
              <w:t>docs/</w:t>
              <w:br/>
              <w:t xml:space="preserve"> 00-overview/</w:t>
              <w:br/>
              <w:t xml:space="preserve"> 01-architecture/</w:t>
              <w:br/>
              <w:t xml:space="preserve"> 02-accounting/</w:t>
              <w:br/>
              <w:t xml:space="preserve"> 03-modules/</w:t>
              <w:br/>
              <w:t xml:space="preserve"> 04-phases/</w:t>
              <w:br/>
              <w:t xml:space="preserve"> 05-api/</w:t>
              <w:br/>
              <w:t xml:space="preserve"> 06-database/</w:t>
              <w:br/>
              <w:t xml:space="preserve"> 07-security/</w:t>
              <w:br/>
              <w:t xml:space="preserve"> 08-aws/</w:t>
              <w:br/>
              <w:t xml:space="preserve"> 09-devops/</w:t>
              <w:br/>
              <w:t xml:space="preserve"> 10-testing/</w:t>
              <w:br/>
              <w:t xml:space="preserve"> 11-compliance/</w:t>
              <w:br/>
              <w:t xml:space="preserve"> 12-operations/</w:t>
              <w:br/>
              <w:t xml:space="preserve"> diagrams/</w:t>
            </w:r>
          </w:p>
        </w:tc>
      </w:tr>
    </w:tbl>
    <w:p>
      <w:pPr>
        <w:spacing w:after="80"/>
      </w:pPr>
    </w:p>
    <w:p>
      <w:pPr>
        <w:spacing w:after="120"/>
      </w:pPr>
    </w:p>
    <w:p>
      <w:pPr>
        <w:pStyle w:val="Heading1"/>
        <w:spacing w:before="320" w:after="120"/>
      </w:pPr>
      <w:r>
        <w:rPr>
          <w:rFonts w:ascii="Segoe UI" w:hAnsi="Segoe UI"/>
          <w:b/>
          <w:color w:val="162D5F"/>
          <w:sz w:val="34"/>
        </w:rPr>
        <w:t>Appendix B - Stable Domain Error Examples</w:t>
      </w:r>
    </w:p>
    <w:p>
      <w:pPr>
        <w:pStyle w:val="ListBullet"/>
        <w:spacing w:before="20" w:after="40"/>
      </w:pPr>
      <w:r>
        <w:rPr>
          <w:rFonts w:ascii="Consolas" w:hAnsi="Consolas"/>
          <w:color w:val="B42828"/>
          <w:sz w:val="19"/>
        </w:rPr>
        <w:t>PERIOD_LOCKED</w:t>
      </w:r>
      <w:r>
        <w:rPr>
          <w:rFonts w:ascii="Segoe UI" w:hAnsi="Segoe UI"/>
        </w:rPr>
        <w:t>: Attempted posting to a locked accounting period.</w:t>
      </w:r>
    </w:p>
    <w:p>
      <w:pPr>
        <w:pStyle w:val="ListBullet"/>
        <w:spacing w:before="20" w:after="40"/>
      </w:pPr>
      <w:r>
        <w:rPr>
          <w:rFonts w:ascii="Consolas" w:hAnsi="Consolas"/>
          <w:color w:val="B42828"/>
          <w:sz w:val="19"/>
        </w:rPr>
        <w:t>PERIOD_NOT_FOUND</w:t>
      </w:r>
      <w:r>
        <w:rPr>
          <w:rFonts w:ascii="Segoe UI" w:hAnsi="Segoe UI"/>
        </w:rPr>
        <w:t>: Transaction date falls outside defined financial periods.</w:t>
      </w:r>
    </w:p>
    <w:p>
      <w:pPr>
        <w:pStyle w:val="ListBullet"/>
        <w:spacing w:before="20" w:after="40"/>
      </w:pPr>
      <w:r>
        <w:rPr>
          <w:rFonts w:ascii="Consolas" w:hAnsi="Consolas"/>
          <w:color w:val="B42828"/>
          <w:sz w:val="19"/>
        </w:rPr>
        <w:t>ACCOUNT_NOT_FOUND</w:t>
      </w:r>
      <w:r>
        <w:rPr>
          <w:rFonts w:ascii="Segoe UI" w:hAnsi="Segoe UI"/>
        </w:rPr>
        <w:t>: Nominal account does not exist or belongs to another organisation.</w:t>
      </w:r>
    </w:p>
    <w:p>
      <w:pPr>
        <w:pStyle w:val="ListBullet"/>
        <w:spacing w:before="20" w:after="40"/>
      </w:pPr>
      <w:r>
        <w:rPr>
          <w:rFonts w:ascii="Consolas" w:hAnsi="Consolas"/>
          <w:color w:val="B42828"/>
          <w:sz w:val="19"/>
        </w:rPr>
        <w:t>INVOICE_NOT_FOUND</w:t>
      </w:r>
      <w:r>
        <w:rPr>
          <w:rFonts w:ascii="Segoe UI" w:hAnsi="Segoe UI"/>
        </w:rPr>
        <w:t>: Invoice ID invalid or inaccessible.</w:t>
      </w:r>
    </w:p>
    <w:p>
      <w:pPr>
        <w:pStyle w:val="ListBullet"/>
        <w:spacing w:before="20" w:after="40"/>
      </w:pPr>
      <w:r>
        <w:rPr>
          <w:rFonts w:ascii="Consolas" w:hAnsi="Consolas"/>
          <w:color w:val="B42828"/>
          <w:sz w:val="19"/>
        </w:rPr>
        <w:t>JOURNAL_UNBALANCED</w:t>
      </w:r>
      <w:r>
        <w:rPr>
          <w:rFonts w:ascii="Segoe UI" w:hAnsi="Segoe UI"/>
        </w:rPr>
        <w:t>: Debits do not equal credits down to 4 decimal places.</w:t>
      </w:r>
    </w:p>
    <w:p>
      <w:pPr>
        <w:pStyle w:val="ListBullet"/>
        <w:spacing w:before="20" w:after="40"/>
      </w:pPr>
      <w:r>
        <w:rPr>
          <w:rFonts w:ascii="Consolas" w:hAnsi="Consolas"/>
          <w:color w:val="B42828"/>
          <w:sz w:val="19"/>
        </w:rPr>
        <w:t>PERMISSION_DENIED</w:t>
      </w:r>
      <w:r>
        <w:rPr>
          <w:rFonts w:ascii="Segoe UI" w:hAnsi="Segoe UI"/>
        </w:rPr>
        <w:t>: User role lacks privileges for the requested operation.</w:t>
      </w:r>
    </w:p>
    <w:p>
      <w:pPr>
        <w:pStyle w:val="ListBullet"/>
        <w:spacing w:before="20" w:after="40"/>
      </w:pPr>
      <w:r>
        <w:rPr>
          <w:rFonts w:ascii="Consolas" w:hAnsi="Consolas"/>
          <w:color w:val="B42828"/>
          <w:sz w:val="19"/>
        </w:rPr>
        <w:t>TENANT_MISMATCH</w:t>
      </w:r>
      <w:r>
        <w:rPr>
          <w:rFonts w:ascii="Segoe UI" w:hAnsi="Segoe UI"/>
        </w:rPr>
        <w:t>: Cross-tenant reference rejected at database boundary.</w:t>
      </w:r>
    </w:p>
    <w:p>
      <w:pPr>
        <w:spacing w:after="120"/>
      </w:pPr>
    </w:p>
    <w:p>
      <w:pPr>
        <w:pStyle w:val="Heading1"/>
        <w:spacing w:before="320" w:after="120"/>
      </w:pPr>
      <w:r>
        <w:rPr>
          <w:rFonts w:ascii="Segoe UI" w:hAnsi="Segoe UI"/>
          <w:b/>
          <w:color w:val="162D5F"/>
          <w:sz w:val="34"/>
        </w:rPr>
        <w:t>Appendix C - Glossary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tcMar>
              <w:top w:w="65" w:type="dxa"/>
              <w:bottom w:w="65" w:type="dxa"/>
              <w:left w:w="100" w:type="dxa"/>
              <w:right w:w="100" w:type="dxa"/>
            </w:tcMar>
            <w:shd w:fill="162D5F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Term</w:t>
            </w:r>
          </w:p>
        </w:tc>
        <w:tc>
          <w:tcPr>
            <w:tcW w:type="dxa" w:w="4824"/>
            <w:tcMar>
              <w:top w:w="65" w:type="dxa"/>
              <w:bottom w:w="65" w:type="dxa"/>
              <w:left w:w="100" w:type="dxa"/>
              <w:right w:w="100" w:type="dxa"/>
            </w:tcMar>
            <w:shd w:fill="162D5F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Meaning</w:t>
            </w:r>
          </w:p>
        </w:tc>
      </w:tr>
      <w:tr>
        <w:tc>
          <w:tcPr>
            <w:tcW w:type="dxa" w:w="4824"/>
            <w:tcMar>
              <w:top w:w="65" w:type="dxa"/>
              <w:bottom w:w="65" w:type="dxa"/>
              <w:left w:w="100" w:type="dxa"/>
              <w:right w:w="10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sz w:val="18"/>
              </w:rPr>
              <w:t>AR</w:t>
            </w:r>
          </w:p>
        </w:tc>
        <w:tc>
          <w:tcPr>
            <w:tcW w:type="dxa" w:w="4824"/>
            <w:tcMar>
              <w:top w:w="65" w:type="dxa"/>
              <w:bottom w:w="65" w:type="dxa"/>
              <w:left w:w="100" w:type="dxa"/>
              <w:right w:w="10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Accounts Receivable</w:t>
            </w:r>
          </w:p>
        </w:tc>
      </w:tr>
      <w:tr>
        <w:tc>
          <w:tcPr>
            <w:tcW w:type="dxa" w:w="4824"/>
            <w:tcMar>
              <w:top w:w="65" w:type="dxa"/>
              <w:bottom w:w="65" w:type="dxa"/>
              <w:left w:w="100" w:type="dxa"/>
              <w:right w:w="10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sz w:val="18"/>
              </w:rPr>
              <w:t>AP</w:t>
            </w:r>
          </w:p>
        </w:tc>
        <w:tc>
          <w:tcPr>
            <w:tcW w:type="dxa" w:w="4824"/>
            <w:tcMar>
              <w:top w:w="65" w:type="dxa"/>
              <w:bottom w:w="65" w:type="dxa"/>
              <w:left w:w="100" w:type="dxa"/>
              <w:right w:w="10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Accounts Payable</w:t>
            </w:r>
          </w:p>
        </w:tc>
      </w:tr>
      <w:tr>
        <w:tc>
          <w:tcPr>
            <w:tcW w:type="dxa" w:w="4824"/>
            <w:tcMar>
              <w:top w:w="65" w:type="dxa"/>
              <w:bottom w:w="65" w:type="dxa"/>
              <w:left w:w="100" w:type="dxa"/>
              <w:right w:w="10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sz w:val="18"/>
              </w:rPr>
              <w:t>COA</w:t>
            </w:r>
          </w:p>
        </w:tc>
        <w:tc>
          <w:tcPr>
            <w:tcW w:type="dxa" w:w="4824"/>
            <w:tcMar>
              <w:top w:w="65" w:type="dxa"/>
              <w:bottom w:w="65" w:type="dxa"/>
              <w:left w:w="100" w:type="dxa"/>
              <w:right w:w="10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Chart of Accounts</w:t>
            </w:r>
          </w:p>
        </w:tc>
      </w:tr>
      <w:tr>
        <w:tc>
          <w:tcPr>
            <w:tcW w:type="dxa" w:w="4824"/>
            <w:tcMar>
              <w:top w:w="65" w:type="dxa"/>
              <w:bottom w:w="65" w:type="dxa"/>
              <w:left w:w="100" w:type="dxa"/>
              <w:right w:w="10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sz w:val="18"/>
              </w:rPr>
              <w:t>GL</w:t>
            </w:r>
          </w:p>
        </w:tc>
        <w:tc>
          <w:tcPr>
            <w:tcW w:type="dxa" w:w="4824"/>
            <w:tcMar>
              <w:top w:w="65" w:type="dxa"/>
              <w:bottom w:w="65" w:type="dxa"/>
              <w:left w:w="100" w:type="dxa"/>
              <w:right w:w="10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General Ledger</w:t>
            </w:r>
          </w:p>
        </w:tc>
      </w:tr>
      <w:tr>
        <w:tc>
          <w:tcPr>
            <w:tcW w:type="dxa" w:w="4824"/>
            <w:tcMar>
              <w:top w:w="65" w:type="dxa"/>
              <w:bottom w:w="65" w:type="dxa"/>
              <w:left w:w="100" w:type="dxa"/>
              <w:right w:w="10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sz w:val="18"/>
              </w:rPr>
              <w:t>TB</w:t>
            </w:r>
          </w:p>
        </w:tc>
        <w:tc>
          <w:tcPr>
            <w:tcW w:type="dxa" w:w="4824"/>
            <w:tcMar>
              <w:top w:w="65" w:type="dxa"/>
              <w:bottom w:w="65" w:type="dxa"/>
              <w:left w:w="100" w:type="dxa"/>
              <w:right w:w="10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Trial Balance</w:t>
            </w:r>
          </w:p>
        </w:tc>
      </w:tr>
      <w:tr>
        <w:tc>
          <w:tcPr>
            <w:tcW w:type="dxa" w:w="4824"/>
            <w:tcMar>
              <w:top w:w="65" w:type="dxa"/>
              <w:bottom w:w="65" w:type="dxa"/>
              <w:left w:w="100" w:type="dxa"/>
              <w:right w:w="10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sz w:val="18"/>
              </w:rPr>
              <w:t>RBAC</w:t>
            </w:r>
          </w:p>
        </w:tc>
        <w:tc>
          <w:tcPr>
            <w:tcW w:type="dxa" w:w="4824"/>
            <w:tcMar>
              <w:top w:w="65" w:type="dxa"/>
              <w:bottom w:w="65" w:type="dxa"/>
              <w:left w:w="100" w:type="dxa"/>
              <w:right w:w="10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Role-Based Access Control</w:t>
            </w:r>
          </w:p>
        </w:tc>
      </w:tr>
      <w:tr>
        <w:tc>
          <w:tcPr>
            <w:tcW w:type="dxa" w:w="4824"/>
            <w:tcMar>
              <w:top w:w="65" w:type="dxa"/>
              <w:bottom w:w="65" w:type="dxa"/>
              <w:left w:w="100" w:type="dxa"/>
              <w:right w:w="10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sz w:val="18"/>
              </w:rPr>
              <w:t>MTD</w:t>
            </w:r>
          </w:p>
        </w:tc>
        <w:tc>
          <w:tcPr>
            <w:tcW w:type="dxa" w:w="4824"/>
            <w:tcMar>
              <w:top w:w="65" w:type="dxa"/>
              <w:bottom w:w="65" w:type="dxa"/>
              <w:left w:w="100" w:type="dxa"/>
              <w:right w:w="10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Making Tax Digital</w:t>
            </w:r>
          </w:p>
        </w:tc>
      </w:tr>
      <w:tr>
        <w:tc>
          <w:tcPr>
            <w:tcW w:type="dxa" w:w="4824"/>
            <w:tcMar>
              <w:top w:w="65" w:type="dxa"/>
              <w:bottom w:w="65" w:type="dxa"/>
              <w:left w:w="100" w:type="dxa"/>
              <w:right w:w="10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sz w:val="18"/>
              </w:rPr>
              <w:t>RPO</w:t>
            </w:r>
          </w:p>
        </w:tc>
        <w:tc>
          <w:tcPr>
            <w:tcW w:type="dxa" w:w="4824"/>
            <w:tcMar>
              <w:top w:w="65" w:type="dxa"/>
              <w:bottom w:w="65" w:type="dxa"/>
              <w:left w:w="100" w:type="dxa"/>
              <w:right w:w="10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Recovery Point Objective</w:t>
            </w:r>
          </w:p>
        </w:tc>
      </w:tr>
      <w:tr>
        <w:tc>
          <w:tcPr>
            <w:tcW w:type="dxa" w:w="4824"/>
            <w:tcMar>
              <w:top w:w="65" w:type="dxa"/>
              <w:bottom w:w="65" w:type="dxa"/>
              <w:left w:w="100" w:type="dxa"/>
              <w:right w:w="10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sz w:val="18"/>
              </w:rPr>
              <w:t>RTO</w:t>
            </w:r>
          </w:p>
        </w:tc>
        <w:tc>
          <w:tcPr>
            <w:tcW w:type="dxa" w:w="4824"/>
            <w:tcMar>
              <w:top w:w="65" w:type="dxa"/>
              <w:bottom w:w="65" w:type="dxa"/>
              <w:left w:w="100" w:type="dxa"/>
              <w:right w:w="10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Recovery Time Objective</w:t>
            </w:r>
          </w:p>
        </w:tc>
      </w:tr>
      <w:tr>
        <w:tc>
          <w:tcPr>
            <w:tcW w:type="dxa" w:w="4824"/>
            <w:tcMar>
              <w:top w:w="65" w:type="dxa"/>
              <w:bottom w:w="65" w:type="dxa"/>
              <w:left w:w="100" w:type="dxa"/>
              <w:right w:w="10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sz w:val="18"/>
              </w:rPr>
              <w:t>OIDC</w:t>
            </w:r>
          </w:p>
        </w:tc>
        <w:tc>
          <w:tcPr>
            <w:tcW w:type="dxa" w:w="4824"/>
            <w:tcMar>
              <w:top w:w="65" w:type="dxa"/>
              <w:bottom w:w="65" w:type="dxa"/>
              <w:left w:w="100" w:type="dxa"/>
              <w:right w:w="10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OpenID Connect; used for GitHub-to-AWS federation</w:t>
            </w:r>
          </w:p>
        </w:tc>
      </w:tr>
      <w:tr>
        <w:tc>
          <w:tcPr>
            <w:tcW w:type="dxa" w:w="4824"/>
            <w:tcMar>
              <w:top w:w="65" w:type="dxa"/>
              <w:bottom w:w="65" w:type="dxa"/>
              <w:left w:w="100" w:type="dxa"/>
              <w:right w:w="10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sz w:val="18"/>
              </w:rPr>
              <w:t>IaC</w:t>
            </w:r>
          </w:p>
        </w:tc>
        <w:tc>
          <w:tcPr>
            <w:tcW w:type="dxa" w:w="4824"/>
            <w:tcMar>
              <w:top w:w="65" w:type="dxa"/>
              <w:bottom w:w="65" w:type="dxa"/>
              <w:left w:w="100" w:type="dxa"/>
              <w:right w:w="10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Infrastructure as Code</w:t>
            </w:r>
          </w:p>
        </w:tc>
      </w:tr>
    </w:tbl>
    <w:p>
      <w:pPr>
        <w:spacing w:after="80"/>
      </w:pPr>
    </w:p>
    <w:p>
      <w:pPr>
        <w:spacing w:after="120"/>
      </w:pPr>
    </w:p>
    <w:p>
      <w:pPr>
        <w:pStyle w:val="Heading1"/>
        <w:spacing w:before="320" w:after="120"/>
      </w:pPr>
      <w:r>
        <w:rPr>
          <w:rFonts w:ascii="Segoe UI" w:hAnsi="Segoe UI"/>
          <w:b/>
          <w:color w:val="162D5F"/>
          <w:sz w:val="34"/>
        </w:rPr>
        <w:t>END OF BLYNT TECHNICAL DOCUMENTATION v1.0</w:t>
      </w:r>
    </w:p>
    <w:sectPr w:rsidR="00FC693F" w:rsidRPr="0006063C" w:rsidSect="00034616">
      <w:pgSz w:w="12240" w:h="15840"/>
      <w:pgMar w:top="1296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