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200"/>
        <w:jc w:val="center"/>
      </w:pPr>
      <w:r>
        <w:drawing>
          <wp:inline xmlns:a="http://schemas.openxmlformats.org/drawingml/2006/main" xmlns:pic="http://schemas.openxmlformats.org/drawingml/2006/picture">
            <wp:extent cx="1508760" cy="18529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ynt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852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00" w:after="160"/>
        <w:jc w:val="center"/>
      </w:pPr>
      <w:r>
        <w:rPr>
          <w:rFonts w:ascii="Segoe UI" w:hAnsi="Segoe UI"/>
          <w:b/>
          <w:color w:val="162D5F"/>
          <w:sz w:val="76"/>
        </w:rPr>
        <w:t>blynt</w:t>
      </w:r>
    </w:p>
    <w:p>
      <w:pPr>
        <w:spacing w:after="240"/>
        <w:jc w:val="center"/>
      </w:pPr>
      <w:r>
        <w:rPr>
          <w:rFonts w:ascii="Segoe UI" w:hAnsi="Segoe UI"/>
          <w:b/>
          <w:color w:val="162D5F"/>
          <w:sz w:val="32"/>
        </w:rPr>
        <w:t>DEVELOPER HANDBOOK &amp; ENGINEERING MANUAL</w:t>
      </w:r>
    </w:p>
    <w:p>
      <w:pPr>
        <w:spacing w:after="400"/>
        <w:jc w:val="center"/>
      </w:pPr>
      <w:r>
        <w:rPr>
          <w:rFonts w:ascii="Segoe UI" w:hAnsi="Segoe UI"/>
          <w:color w:val="FF7F6C"/>
          <w:sz w:val="22"/>
        </w:rPr>
        <w:t>Architecture Principles • Rapid Onboarding &amp; Local Docker Stack</w:t>
        <w:br/>
        <w:t>Monorepo Topology • Strict Ledger Standards • Decimal Math &amp; Prisma ORM</w:t>
        <w:br/>
        <w:t>TDD &amp; Invariant Testing • CI/CD &amp; Production Operations • October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EF2F9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62D5F"/>
                <w:sz w:val="21"/>
              </w:rPr>
              <w:t>Authoritative Engineering Reference &amp; Developer Guide</w:t>
              <w:br/>
            </w:r>
            <w:r>
              <w:rPr>
                <w:rFonts w:ascii="Segoe UI" w:hAnsi="Segoe UI"/>
                <w:color w:val="475569"/>
                <w:sz w:val="19"/>
              </w:rPr>
              <w:t>Standardized Manual for Software Engineers, SREs, QA Engineers &amp; DevOps Specialists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62D5F"/>
                <w:sz w:val="19"/>
              </w:rPr>
              <w:t>Engineering Stack:</w:t>
            </w:r>
          </w:p>
        </w:tc>
        <w:tc>
          <w:tcPr>
            <w:tcW w:type="dxa" w:w="48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475569"/>
                <w:sz w:val="19"/>
              </w:rPr>
              <w:t>NestJS (Node 20), TypeScript 5, PostgreSQL 16, Prisma, Redis 7, Next.js</w:t>
            </w:r>
          </w:p>
        </w:tc>
      </w:tr>
      <w:tr>
        <w:tc>
          <w:tcPr>
            <w:tcW w:type="dxa" w:w="48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62D5F"/>
                <w:sz w:val="19"/>
              </w:rPr>
              <w:t>Audience:</w:t>
            </w:r>
          </w:p>
        </w:tc>
        <w:tc>
          <w:tcPr>
            <w:tcW w:type="dxa" w:w="48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475569"/>
                <w:sz w:val="19"/>
              </w:rPr>
              <w:t>Software Engineers, Full-Stack Developers, DevOps Engineers, QA Automation</w:t>
            </w:r>
          </w:p>
        </w:tc>
      </w:tr>
      <w:tr>
        <w:tc>
          <w:tcPr>
            <w:tcW w:type="dxa" w:w="48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62D5F"/>
                <w:sz w:val="19"/>
              </w:rPr>
              <w:t>Code Standards:</w:t>
            </w:r>
          </w:p>
        </w:tc>
        <w:tc>
          <w:tcPr>
            <w:tcW w:type="dxa" w:w="48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475569"/>
                <w:sz w:val="19"/>
              </w:rPr>
              <w:t>Zero-Any TypeScript, Decimal(19,4) Math, Strict Hexagonal Domain Isolation</w:t>
            </w:r>
          </w:p>
        </w:tc>
      </w:tr>
      <w:tr>
        <w:tc>
          <w:tcPr>
            <w:tcW w:type="dxa" w:w="48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162D5F"/>
                <w:sz w:val="19"/>
              </w:rPr>
              <w:t>Document Classification:</w:t>
            </w:r>
          </w:p>
        </w:tc>
        <w:tc>
          <w:tcPr>
            <w:tcW w:type="dxa" w:w="489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color w:val="475569"/>
                <w:sz w:val="19"/>
              </w:rPr>
              <w:t>Enterprise Engineering Standard — Confidential</w:t>
            </w:r>
          </w:p>
        </w:tc>
      </w:tr>
    </w:tbl>
    <w:p>
      <w:r>
        <w:br w:type="page"/>
      </w:r>
    </w:p>
    <w:p>
      <w:pPr>
        <w:spacing w:before="0" w:after="100"/>
      </w:pPr>
      <w:r>
        <w:rPr>
          <w:rFonts w:ascii="Segoe UI" w:hAnsi="Segoe UI"/>
          <w:color w:val="1E293B"/>
          <w:sz w:val="19"/>
        </w:rPr>
      </w:r>
      <w:r>
        <w:rPr>
          <w:rFonts w:ascii="Segoe UI" w:hAnsi="Segoe UI"/>
          <w:b/>
          <w:color w:val="1E293B"/>
          <w:sz w:val="19"/>
        </w:rPr>
        <w:t>Document Version:</w:t>
      </w:r>
      <w:r>
        <w:rPr>
          <w:rFonts w:ascii="Segoe UI" w:hAnsi="Segoe UI"/>
          <w:color w:val="1E293B"/>
          <w:sz w:val="19"/>
        </w:rPr>
        <w:t xml:space="preserve"> 2.0</w:t>
      </w:r>
    </w:p>
    <w:p>
      <w:pPr>
        <w:spacing w:before="0" w:after="100"/>
      </w:pPr>
      <w:r>
        <w:rPr>
          <w:rFonts w:ascii="Segoe UI" w:hAnsi="Segoe UI"/>
          <w:color w:val="1E293B"/>
          <w:sz w:val="19"/>
        </w:rPr>
      </w:r>
      <w:r>
        <w:rPr>
          <w:rFonts w:ascii="Segoe UI" w:hAnsi="Segoe UI"/>
          <w:b/>
          <w:color w:val="1E293B"/>
          <w:sz w:val="19"/>
        </w:rPr>
        <w:t>Status:</w:t>
      </w:r>
      <w:r>
        <w:rPr>
          <w:rFonts w:ascii="Segoe UI" w:hAnsi="Segoe UI"/>
          <w:color w:val="1E293B"/>
          <w:sz w:val="19"/>
        </w:rPr>
        <w:t xml:space="preserve"> Approved &amp; Baselined</w:t>
      </w:r>
    </w:p>
    <w:p>
      <w:pPr>
        <w:spacing w:before="0" w:after="100"/>
      </w:pPr>
      <w:r>
        <w:rPr>
          <w:rFonts w:ascii="Segoe UI" w:hAnsi="Segoe UI"/>
          <w:color w:val="1E293B"/>
          <w:sz w:val="19"/>
        </w:rPr>
      </w:r>
      <w:r>
        <w:rPr>
          <w:rFonts w:ascii="Segoe UI" w:hAnsi="Segoe UI"/>
          <w:b/>
          <w:color w:val="1E293B"/>
          <w:sz w:val="19"/>
        </w:rPr>
        <w:t>Classification:</w:t>
      </w:r>
      <w:r>
        <w:rPr>
          <w:rFonts w:ascii="Segoe UI" w:hAnsi="Segoe UI"/>
          <w:color w:val="1E293B"/>
          <w:sz w:val="19"/>
        </w:rPr>
        <w:t xml:space="preserve"> Enterprise Engineering Standard</w:t>
      </w:r>
    </w:p>
    <w:p>
      <w:pPr>
        <w:spacing w:before="0" w:after="100"/>
      </w:pPr>
      <w:r>
        <w:rPr>
          <w:rFonts w:ascii="Segoe UI" w:hAnsi="Segoe UI"/>
          <w:color w:val="1E293B"/>
          <w:sz w:val="19"/>
        </w:rPr>
      </w:r>
      <w:r>
        <w:rPr>
          <w:rFonts w:ascii="Segoe UI" w:hAnsi="Segoe UI"/>
          <w:b/>
          <w:color w:val="1E293B"/>
          <w:sz w:val="19"/>
        </w:rPr>
        <w:t>Target Audience:</w:t>
      </w:r>
      <w:r>
        <w:rPr>
          <w:rFonts w:ascii="Segoe UI" w:hAnsi="Segoe UI"/>
          <w:color w:val="1E293B"/>
          <w:sz w:val="19"/>
        </w:rPr>
        <w:t xml:space="preserve"> Backend Engineers, Frontend Engineers, Full-Stack Developers, DevOps/SRE, QA Engineers</w:t>
      </w:r>
    </w:p>
    <w:p>
      <w:pPr>
        <w:spacing w:before="0" w:after="100"/>
      </w:pPr>
      <w:r>
        <w:rPr>
          <w:rFonts w:ascii="Segoe UI" w:hAnsi="Segoe UI"/>
          <w:color w:val="1E293B"/>
          <w:sz w:val="19"/>
        </w:rPr>
        <w:t>---</w:t>
      </w:r>
    </w:p>
    <w:p>
      <w:pPr>
        <w:keepNext/>
        <w:spacing w:before="320" w:after="120"/>
      </w:pPr>
      <w:r>
        <w:rPr>
          <w:rFonts w:ascii="Segoe UI" w:hAnsi="Segoe UI"/>
          <w:b/>
          <w:color w:val="162D5F"/>
          <w:sz w:val="30"/>
        </w:rPr>
        <w:t>1. Engineering Philosophy, Principles &amp; System Architecture</w:t>
      </w:r>
    </w:p>
    <w:p>
      <w:pPr>
        <w:spacing w:after="8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developer_engineering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/>
          <w:i/>
          <w:color w:val="475569"/>
          <w:sz w:val="18"/>
        </w:rPr>
        <w:t>Figure DEV-1: blynt Engineering Architecture &amp; Automated Quality Pipeline</w:t>
      </w:r>
    </w:p>
    <w:p>
      <w:pPr>
        <w:keepNext/>
        <w:spacing w:before="240" w:after="80"/>
      </w:pPr>
      <w:r>
        <w:rPr>
          <w:rFonts w:ascii="Segoe UI" w:hAnsi="Segoe UI"/>
          <w:b/>
          <w:color w:val="FF7F6C"/>
          <w:sz w:val="24"/>
        </w:rPr>
        <w:t>1.1 The Invariant Principle: Mathematical Guarantee of Balanced Books</w:t>
      </w:r>
    </w:p>
    <w:p>
      <w:pPr>
        <w:spacing w:before="0" w:after="100"/>
      </w:pPr>
      <w:r>
        <w:rPr>
          <w:rFonts w:ascii="Segoe UI" w:hAnsi="Segoe UI"/>
          <w:color w:val="1E293B"/>
          <w:sz w:val="19"/>
        </w:rPr>
        <w:t xml:space="preserve">In financial accounting software, correctness is non-negotiable. Traditional software often treats accounting ledgers as simple transactional tables where balance checks are deferred to end-of-month reconciliations. In </w:t>
      </w:r>
      <w:r>
        <w:rPr>
          <w:rFonts w:ascii="Segoe UI" w:hAnsi="Segoe UI"/>
          <w:b/>
          <w:color w:val="1E293B"/>
          <w:sz w:val="19"/>
        </w:rPr>
        <w:t>blynt</w:t>
      </w:r>
      <w:r>
        <w:rPr>
          <w:rFonts w:ascii="Segoe UI" w:hAnsi="Segoe UI"/>
          <w:color w:val="1E293B"/>
          <w:sz w:val="19"/>
        </w:rPr>
        <w:t>, we operate on an inviolable foundational principle:</w:t>
      </w:r>
    </w:p>
    <w:p>
      <w:pPr>
        <w:spacing w:before="0" w:after="100"/>
      </w:pPr>
      <w:r>
        <w:rPr>
          <w:rFonts w:ascii="Segoe UI" w:hAnsi="Segoe UI"/>
          <w:color w:val="1E293B"/>
          <w:sz w:val="19"/>
        </w:rPr>
        <w:t>$$\sum_{i=1}^{n} \text{Debit}_i \equiv \sum_{j=1}^{m} \text{Credit}_j \quad \forall \quad \text{Journal Entries}$$</w:t>
      </w:r>
    </w:p>
    <w:p>
      <w:pPr>
        <w:spacing w:before="0" w:after="100"/>
      </w:pPr>
      <w:r>
        <w:rPr>
          <w:rFonts w:ascii="Segoe UI" w:hAnsi="Segoe UI"/>
          <w:color w:val="1E293B"/>
          <w:sz w:val="19"/>
        </w:rPr>
        <w:t>Every financial transaction in blynt is an atomic event. If a mutation attempts to persist even a £0.0001 discrepancy, the entire database transaction is immediately aborted with a `LedgerInvariantViolationException`. There are no temporary "unbalanced" states permitted in persistent storage.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+--------------------------------------------------------------------------------------------------+</w:t>
              <w:br/>
              <w:t>|                                  THE BLYNT POSTING INVARIANT GATE                                |</w:t>
              <w:br/>
              <w:t>|                                                                                                  |</w:t>
              <w:br/>
              <w:t>|   Incoming Journal Payload                                                                       |</w:t>
              <w:br/>
              <w:t>|   +---------------------------------------------+                                                |</w:t>
              <w:br/>
              <w:t>|   | Lines: [Debit £120.00, Credit £100.00]      |                                                |</w:t>
              <w:br/>
              <w:t>|   +----------------------+----------------------+                                                |</w:t>
              <w:br/>
              <w:t>|                          |                                                                       |</w:t>
              <w:br/>
              <w:t>|                          v                                                                       |</w:t>
              <w:br/>
              <w:t>|            +----------------------------+                                                        |</w:t>
              <w:br/>
              <w:t>|            |  JournalValidationService  |                                                        |</w:t>
              <w:br/>
              <w:t>|            |  Math Check: Debits vs Cred|                                                        |</w:t>
              <w:br/>
              <w:t>|            +-------------+--------------+                                                        |</w:t>
              <w:br/>
              <w:t>|                          |                                                                       |</w:t>
              <w:br/>
              <w:t>|           +--------------+---------------+                                                       |</w:t>
              <w:br/>
              <w:t>|           | Diff == 0.00?                |                                                       |</w:t>
              <w:br/>
              <w:t>|           |                              |                                                       |</w:t>
              <w:br/>
              <w:t>|     [YES] v                        [NO]  v                                                       |</w:t>
              <w:br/>
              <w:t>|  +--------------------+       +------------------------------------+                             |</w:t>
              <w:br/>
              <w:t>|  | COMMIT TRANSACTION |       | IMMEDIATE ROLLBACK &amp; ABORT         |                             |</w:t>
              <w:br/>
              <w:t>|  | - Append-only Log  |       | - Throw LedgerInvariantException   |                             |</w:t>
              <w:br/>
              <w:t>|  | - Update Balances  |       | - Emit P0 Security Alert           |                             |</w:t>
              <w:br/>
              <w:t>|  | - Return HTTP 201  |       | - Return HTTP 422 Unprocessable    |                             |</w:t>
              <w:br/>
              <w:t>|  +--------------------+       +------------------------------------+                             |</w:t>
              <w:br/>
              <w:t>+--------------------------------------------------------------------------------------------------+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Segoe UI" w:hAnsi="Segoe UI"/>
          <w:b/>
          <w:color w:val="FF7F6C"/>
          <w:sz w:val="24"/>
        </w:rPr>
        <w:t>1.2 Hexagonal Architecture &amp; Clean Domain Boundaries</w:t>
      </w:r>
    </w:p>
    <w:p>
      <w:pPr>
        <w:spacing w:before="0" w:after="100"/>
      </w:pPr>
      <w:r>
        <w:rPr>
          <w:rFonts w:ascii="Segoe UI" w:hAnsi="Segoe UI"/>
          <w:color w:val="1E293B"/>
          <w:sz w:val="19"/>
        </w:rPr>
        <w:t xml:space="preserve">The backend API is architected according to </w:t>
      </w:r>
      <w:r>
        <w:rPr>
          <w:rFonts w:ascii="Segoe UI" w:hAnsi="Segoe UI"/>
          <w:b/>
          <w:color w:val="1E293B"/>
          <w:sz w:val="19"/>
        </w:rPr>
        <w:t>Hexagonal (Ports and Adapters) / Clean Architecture</w:t>
      </w:r>
      <w:r>
        <w:rPr>
          <w:rFonts w:ascii="Segoe UI" w:hAnsi="Segoe UI"/>
          <w:color w:val="1E293B"/>
          <w:sz w:val="19"/>
        </w:rPr>
        <w:t xml:space="preserve"> principles. Domain entities and business rules (e.g., Double-Entry Posting, VAT calculation, Bank Rule evaluation) have zero dependencies on frameworks, databases, or external communication protocols.</w:t>
      </w:r>
    </w:p>
    <w:p>
      <w:pPr>
        <w:pStyle w:val="ListBullet"/>
        <w:spacing w:before="0" w:after="40"/>
      </w:pPr>
      <w:r>
        <w:rPr>
          <w:rFonts w:ascii="Segoe UI" w:hAnsi="Segoe UI"/>
          <w:color w:val="1E293B"/>
          <w:sz w:val="19"/>
        </w:rPr>
      </w:r>
      <w:r>
        <w:rPr>
          <w:rFonts w:ascii="Segoe UI" w:hAnsi="Segoe UI"/>
          <w:b/>
          <w:color w:val="1E293B"/>
          <w:sz w:val="19"/>
        </w:rPr>
        <w:t>Domain Layer (Core):</w:t>
      </w:r>
      <w:r>
        <w:rPr>
          <w:rFonts w:ascii="Segoe UI" w:hAnsi="Segoe UI"/>
          <w:color w:val="1E293B"/>
          <w:sz w:val="19"/>
        </w:rPr>
        <w:t xml:space="preserve"> Pure TypeScript business logic, math calculations, and domain invariants.</w:t>
      </w:r>
    </w:p>
    <w:p>
      <w:pPr>
        <w:pStyle w:val="ListBullet"/>
        <w:spacing w:before="0" w:after="40"/>
      </w:pPr>
      <w:r>
        <w:rPr>
          <w:rFonts w:ascii="Segoe UI" w:hAnsi="Segoe UI"/>
          <w:color w:val="1E293B"/>
          <w:sz w:val="19"/>
        </w:rPr>
      </w:r>
      <w:r>
        <w:rPr>
          <w:rFonts w:ascii="Segoe UI" w:hAnsi="Segoe UI"/>
          <w:b/>
          <w:color w:val="1E293B"/>
          <w:sz w:val="19"/>
        </w:rPr>
        <w:t>Application Layer (Use Cases):</w:t>
      </w:r>
      <w:r>
        <w:rPr>
          <w:rFonts w:ascii="Segoe UI" w:hAnsi="Segoe UI"/>
          <w:color w:val="1E293B"/>
          <w:sz w:val="19"/>
        </w:rPr>
        <w:t xml:space="preserve"> Service orchestrators (`JournalPostingService`, `InvoiceProcessingService`).</w:t>
      </w:r>
    </w:p>
    <w:p>
      <w:pPr>
        <w:pStyle w:val="ListBullet"/>
        <w:spacing w:before="0" w:after="40"/>
      </w:pPr>
      <w:r>
        <w:rPr>
          <w:rFonts w:ascii="Segoe UI" w:hAnsi="Segoe UI"/>
          <w:color w:val="1E293B"/>
          <w:sz w:val="19"/>
        </w:rPr>
      </w:r>
      <w:r>
        <w:rPr>
          <w:rFonts w:ascii="Segoe UI" w:hAnsi="Segoe UI"/>
          <w:b/>
          <w:color w:val="1E293B"/>
          <w:sz w:val="19"/>
        </w:rPr>
        <w:t>Adapters / Infrastructure:</w:t>
      </w:r>
      <w:r>
        <w:rPr>
          <w:rFonts w:ascii="Segoe UI" w:hAnsi="Segoe UI"/>
          <w:color w:val="1E293B"/>
          <w:sz w:val="19"/>
        </w:rPr>
        <w:t xml:space="preserve"> NestJS controllers, Prisma repositories, BullMQ message dispatchers, and AWS S3 storage adapters.</w:t>
      </w:r>
    </w:p>
    <w:p>
      <w:pPr>
        <w:keepNext/>
        <w:spacing w:before="240" w:after="80"/>
      </w:pPr>
      <w:r>
        <w:rPr>
          <w:rFonts w:ascii="Segoe UI" w:hAnsi="Segoe UI"/>
          <w:b/>
          <w:color w:val="FF7F6C"/>
          <w:sz w:val="24"/>
        </w:rPr>
        <w:t>1.3 Strict Typing &amp; Zero-Any TypeScript Policy</w:t>
      </w:r>
    </w:p>
    <w:p>
      <w:pPr>
        <w:spacing w:before="0" w:after="100"/>
      </w:pPr>
      <w:r>
        <w:rPr>
          <w:rFonts w:ascii="Segoe UI" w:hAnsi="Segoe UI"/>
          <w:color w:val="1E293B"/>
          <w:sz w:val="19"/>
        </w:rPr>
        <w:t>The blynt codebase enforces TypeScript's strictest compilation settings (`strict: true`, `noImplicitAny: true`, `strictNullChecks: true`, `noUncheckedIndexedAccess: true`).</w:t>
      </w:r>
    </w:p>
    <w:p>
      <w:pPr>
        <w:pStyle w:val="ListBullet"/>
        <w:spacing w:before="0" w:after="40"/>
      </w:pPr>
      <w:r>
        <w:rPr>
          <w:rFonts w:ascii="Segoe UI" w:hAnsi="Segoe UI"/>
          <w:color w:val="1E293B"/>
          <w:sz w:val="19"/>
        </w:rPr>
      </w:r>
      <w:r>
        <w:rPr>
          <w:rFonts w:ascii="Segoe UI" w:hAnsi="Segoe UI"/>
          <w:b/>
          <w:color w:val="1E293B"/>
          <w:sz w:val="19"/>
        </w:rPr>
        <w:t>Zero `any` allowed:</w:t>
      </w:r>
      <w:r>
        <w:rPr>
          <w:rFonts w:ascii="Segoe UI" w:hAnsi="Segoe UI"/>
          <w:color w:val="1E293B"/>
          <w:sz w:val="19"/>
        </w:rPr>
        <w:t xml:space="preserve"> The use of `any` will trigger a build-breaking ESLint error in CI.</w:t>
      </w:r>
    </w:p>
    <w:p>
      <w:pPr>
        <w:pStyle w:val="ListBullet"/>
        <w:spacing w:before="0" w:after="40"/>
      </w:pPr>
      <w:r>
        <w:rPr>
          <w:rFonts w:ascii="Segoe UI" w:hAnsi="Segoe UI"/>
          <w:color w:val="1E293B"/>
          <w:sz w:val="19"/>
        </w:rPr>
      </w:r>
      <w:r>
        <w:rPr>
          <w:rFonts w:ascii="Segoe UI" w:hAnsi="Segoe UI"/>
          <w:b/>
          <w:color w:val="1E293B"/>
          <w:sz w:val="19"/>
        </w:rPr>
        <w:t>Explicit return types:</w:t>
      </w:r>
      <w:r>
        <w:rPr>
          <w:rFonts w:ascii="Segoe UI" w:hAnsi="Segoe UI"/>
          <w:color w:val="1E293B"/>
          <w:sz w:val="19"/>
        </w:rPr>
        <w:t xml:space="preserve"> All public service methods and controller endpoints must specify explicit return types.</w:t>
      </w:r>
    </w:p>
    <w:p>
      <w:pPr>
        <w:pStyle w:val="ListBullet"/>
        <w:spacing w:before="0" w:after="40"/>
      </w:pPr>
      <w:r>
        <w:rPr>
          <w:rFonts w:ascii="Segoe UI" w:hAnsi="Segoe UI"/>
          <w:color w:val="1E293B"/>
          <w:sz w:val="19"/>
        </w:rPr>
      </w:r>
      <w:r>
        <w:rPr>
          <w:rFonts w:ascii="Segoe UI" w:hAnsi="Segoe UI"/>
          <w:b/>
          <w:color w:val="1E293B"/>
          <w:sz w:val="19"/>
        </w:rPr>
        <w:t>Branded types for IDs:</w:t>
      </w:r>
      <w:r>
        <w:rPr>
          <w:rFonts w:ascii="Segoe UI" w:hAnsi="Segoe UI"/>
          <w:color w:val="1E293B"/>
          <w:sz w:val="19"/>
        </w:rPr>
        <w:t xml:space="preserve"> Entity IDs use branded types (e.g., `type TenantId = string &amp; { readonly __brand: unique symbol }`) to prevent accidental argument transpositions.</w:t>
      </w:r>
    </w:p>
    <w:p>
      <w:pPr>
        <w:spacing w:before="0" w:after="100"/>
      </w:pPr>
      <w:r>
        <w:rPr>
          <w:rFonts w:ascii="Segoe UI" w:hAnsi="Segoe UI"/>
          <w:color w:val="1E293B"/>
          <w:sz w:val="19"/>
        </w:rPr>
        <w:t>---</w:t>
      </w:r>
    </w:p>
    <w:p>
      <w:pPr>
        <w:keepNext/>
        <w:spacing w:before="320" w:after="120"/>
      </w:pPr>
      <w:r>
        <w:rPr>
          <w:rFonts w:ascii="Segoe UI" w:hAnsi="Segoe UI"/>
          <w:b/>
          <w:color w:val="162D5F"/>
          <w:sz w:val="30"/>
        </w:rPr>
        <w:t>2. Developer Onboarding &amp; Rapid Local Environment Setup</w:t>
      </w:r>
    </w:p>
    <w:p>
      <w:pPr>
        <w:keepNext/>
        <w:spacing w:before="240" w:after="80"/>
      </w:pPr>
      <w:r>
        <w:rPr>
          <w:rFonts w:ascii="Segoe UI" w:hAnsi="Segoe UI"/>
          <w:b/>
          <w:color w:val="FF7F6C"/>
          <w:sz w:val="24"/>
        </w:rPr>
        <w:t>2.1 System Prerequisites</w:t>
      </w:r>
    </w:p>
    <w:p>
      <w:pPr>
        <w:spacing w:before="0" w:after="100"/>
      </w:pPr>
      <w:r>
        <w:rPr>
          <w:rFonts w:ascii="Segoe UI" w:hAnsi="Segoe UI"/>
          <w:color w:val="1E293B"/>
          <w:sz w:val="19"/>
        </w:rPr>
        <w:t>Before initializing the development environment, ensure the following software is installed on your local development workstation:</w:t>
      </w:r>
    </w:p>
    <w:p>
      <w:pPr>
        <w:pStyle w:val="ListBullet"/>
        <w:spacing w:before="0" w:after="40"/>
      </w:pPr>
      <w:r>
        <w:rPr>
          <w:rFonts w:ascii="Segoe UI" w:hAnsi="Segoe UI"/>
          <w:color w:val="1E293B"/>
          <w:sz w:val="19"/>
        </w:rPr>
      </w:r>
      <w:r>
        <w:rPr>
          <w:rFonts w:ascii="Segoe UI" w:hAnsi="Segoe UI"/>
          <w:b/>
          <w:color w:val="1E293B"/>
          <w:sz w:val="19"/>
        </w:rPr>
        <w:t>Node.js:</w:t>
      </w:r>
      <w:r>
        <w:rPr>
          <w:rFonts w:ascii="Segoe UI" w:hAnsi="Segoe UI"/>
          <w:color w:val="1E293B"/>
          <w:sz w:val="19"/>
        </w:rPr>
        <w:t xml:space="preserve"> `v20.x LTS` (Recommended via `nvm` or `fnm`)</w:t>
      </w:r>
    </w:p>
    <w:p>
      <w:pPr>
        <w:pStyle w:val="ListBullet"/>
        <w:spacing w:before="0" w:after="40"/>
      </w:pPr>
      <w:r>
        <w:rPr>
          <w:rFonts w:ascii="Segoe UI" w:hAnsi="Segoe UI"/>
          <w:color w:val="1E293B"/>
          <w:sz w:val="19"/>
        </w:rPr>
      </w:r>
      <w:r>
        <w:rPr>
          <w:rFonts w:ascii="Segoe UI" w:hAnsi="Segoe UI"/>
          <w:b/>
          <w:color w:val="1E293B"/>
          <w:sz w:val="19"/>
        </w:rPr>
        <w:t>Package Manager:</w:t>
      </w:r>
      <w:r>
        <w:rPr>
          <w:rFonts w:ascii="Segoe UI" w:hAnsi="Segoe UI"/>
          <w:color w:val="1E293B"/>
          <w:sz w:val="19"/>
        </w:rPr>
        <w:t xml:space="preserve"> `pnpm v9.x` (`npm install -g pnpm`)</w:t>
      </w:r>
    </w:p>
    <w:p>
      <w:pPr>
        <w:pStyle w:val="ListBullet"/>
        <w:spacing w:before="0" w:after="40"/>
      </w:pPr>
      <w:r>
        <w:rPr>
          <w:rFonts w:ascii="Segoe UI" w:hAnsi="Segoe UI"/>
          <w:color w:val="1E293B"/>
          <w:sz w:val="19"/>
        </w:rPr>
      </w:r>
      <w:r>
        <w:rPr>
          <w:rFonts w:ascii="Segoe UI" w:hAnsi="Segoe UI"/>
          <w:b/>
          <w:color w:val="1E293B"/>
          <w:sz w:val="19"/>
        </w:rPr>
        <w:t>Docker Desktop:</w:t>
      </w:r>
      <w:r>
        <w:rPr>
          <w:rFonts w:ascii="Segoe UI" w:hAnsi="Segoe UI"/>
          <w:color w:val="1E293B"/>
          <w:sz w:val="19"/>
        </w:rPr>
        <w:t xml:space="preserve"> `v24.x` or higher with Docker Compose v2 enabled</w:t>
      </w:r>
    </w:p>
    <w:p>
      <w:pPr>
        <w:pStyle w:val="ListBullet"/>
        <w:spacing w:before="0" w:after="40"/>
      </w:pPr>
      <w:r>
        <w:rPr>
          <w:rFonts w:ascii="Segoe UI" w:hAnsi="Segoe UI"/>
          <w:color w:val="1E293B"/>
          <w:sz w:val="19"/>
        </w:rPr>
      </w:r>
      <w:r>
        <w:rPr>
          <w:rFonts w:ascii="Segoe UI" w:hAnsi="Segoe UI"/>
          <w:b/>
          <w:color w:val="1E293B"/>
          <w:sz w:val="19"/>
        </w:rPr>
        <w:t>Git:</w:t>
      </w:r>
      <w:r>
        <w:rPr>
          <w:rFonts w:ascii="Segoe UI" w:hAnsi="Segoe UI"/>
          <w:color w:val="1E293B"/>
          <w:sz w:val="19"/>
        </w:rPr>
        <w:t xml:space="preserve"> `v2.40` or higher</w:t>
      </w:r>
    </w:p>
    <w:p>
      <w:pPr>
        <w:pStyle w:val="ListBullet"/>
        <w:spacing w:before="0" w:after="40"/>
      </w:pPr>
      <w:r>
        <w:rPr>
          <w:rFonts w:ascii="Segoe UI" w:hAnsi="Segoe UI"/>
          <w:color w:val="1E293B"/>
          <w:sz w:val="19"/>
        </w:rPr>
      </w:r>
      <w:r>
        <w:rPr>
          <w:rFonts w:ascii="Segoe UI" w:hAnsi="Segoe UI"/>
          <w:b/>
          <w:color w:val="1E293B"/>
          <w:sz w:val="19"/>
        </w:rPr>
        <w:t>PostgreSQL Client (Optional):</w:t>
      </w:r>
      <w:r>
        <w:rPr>
          <w:rFonts w:ascii="Segoe UI" w:hAnsi="Segoe UI"/>
          <w:color w:val="1E293B"/>
          <w:sz w:val="19"/>
        </w:rPr>
        <w:t xml:space="preserve"> `psql` or a GUI tool such as TablePlus / DBeaver</w:t>
      </w:r>
    </w:p>
    <w:p>
      <w:pPr>
        <w:keepNext/>
        <w:spacing w:before="240" w:after="80"/>
      </w:pPr>
      <w:r>
        <w:rPr>
          <w:rFonts w:ascii="Segoe UI" w:hAnsi="Segoe UI"/>
          <w:b/>
          <w:color w:val="FF7F6C"/>
          <w:sz w:val="24"/>
        </w:rPr>
        <w:t>2.2 10-Minute Rapid Onboarding Step-by-Step</w:t>
      </w:r>
    </w:p>
    <w:p>
      <w:pPr>
        <w:spacing w:before="0" w:after="100"/>
      </w:pPr>
      <w:r>
        <w:rPr>
          <w:rFonts w:ascii="Segoe UI" w:hAnsi="Segoe UI"/>
          <w:color w:val="1E293B"/>
          <w:sz w:val="19"/>
        </w:rPr>
        <w:t>Follow this exact sequence to spin up a fully operational, seeded development environment: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# 1. Clone the repository</w:t>
              <w:br/>
              <w:t>git clone git@github.com:blynt-io/blynt.git</w:t>
              <w:br/>
              <w:t>cd blynt</w:t>
              <w:br/>
              <w:br/>
              <w:t># 2. Install all monorepo dependencies</w:t>
              <w:br/>
              <w:t>pnpm install</w:t>
              <w:br/>
              <w:br/>
              <w:t># 3. Provision environment configuration</w:t>
              <w:br/>
              <w:t>cp .env.example .env</w:t>
              <w:br/>
              <w:t>cp apps/api/.env.example apps/api/.env</w:t>
              <w:br/>
              <w:t>cp apps/web/.env.example apps/web/.env</w:t>
              <w:br/>
              <w:br/>
              <w:t># 4. Start local backing infrastructure containers</w:t>
              <w:br/>
              <w:t>docker compose up -d postgres redis localstack</w:t>
              <w:br/>
              <w:br/>
              <w:t># 5. Execute database migrations and seed sample chart of accounts</w:t>
              <w:br/>
              <w:t>pnpm --filter @blynt/api run prisma:migrate:dev</w:t>
              <w:br/>
              <w:t>pnpm --filter @blynt/api run db:seed</w:t>
              <w:br/>
              <w:br/>
              <w:t># 6. Launch development hot-reload servers</w:t>
              <w:br/>
              <w:t>pnpm run dev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Segoe UI" w:hAnsi="Segoe UI"/>
          <w:b/>
          <w:color w:val="FF7F6C"/>
          <w:sz w:val="24"/>
        </w:rPr>
        <w:t>2.3 Docker Compose Local Topology</w:t>
      </w:r>
    </w:p>
    <w:p>
      <w:pPr>
        <w:spacing w:before="0" w:after="100"/>
      </w:pPr>
      <w:r>
        <w:rPr>
          <w:rFonts w:ascii="Segoe UI" w:hAnsi="Segoe UI"/>
          <w:color w:val="1E293B"/>
          <w:sz w:val="19"/>
        </w:rPr>
        <w:t>The local container topology replicates core AWS production infrastructure: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+--------------------------------------------------------------------------------------------------+</w:t>
              <w:br/>
              <w:t>|                                  LOCAL DOCKER COMPOSE TOPOLOGY                                   |</w:t>
              <w:br/>
              <w:t>+--------------------+---------------+-------------------------------------------------------------+</w:t>
              <w:br/>
              <w:t>| Container Service  | Exposed Port  | Role &amp; Configuration                                        |</w:t>
              <w:br/>
              <w:t>+--------------------+---------------+-------------------------------------------------------------+</w:t>
              <w:br/>
              <w:t>| postgres-db        | 5432          | PostgreSQL 16 Alpine with custom UUIDv7 extension &amp; RLS    |</w:t>
              <w:br/>
              <w:t>| redis-cache        | 6379          | Redis 7 Alpine for session cache, rate-limits &amp; BullMQ jobs |</w:t>
              <w:br/>
              <w:t>| localstack-aws     | 4566          | LocalStack emulating AWS S3 (PDF storage) &amp; SQS (Webhooks)  |</w:t>
              <w:br/>
              <w:t>+--------------------+---------------+-------------------------------------------------------------+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Segoe UI" w:hAnsi="Segoe UI"/>
          <w:b/>
          <w:color w:val="FF7F6C"/>
          <w:sz w:val="24"/>
        </w:rPr>
        <w:t>2.4 Verifying Local Health</w:t>
      </w:r>
    </w:p>
    <w:p>
      <w:pPr>
        <w:spacing w:before="0" w:after="100"/>
      </w:pPr>
      <w:r>
        <w:rPr>
          <w:rFonts w:ascii="Segoe UI" w:hAnsi="Segoe UI"/>
          <w:color w:val="1E293B"/>
          <w:sz w:val="19"/>
        </w:rPr>
        <w:t>Execute the following verification curl command to validate that the backend NestJS service is fully booted and healthy: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curl -X GET http://localhost:3001/api/health</w:t>
            </w:r>
          </w:p>
        </w:tc>
      </w:tr>
    </w:tbl>
    <w:p>
      <w:pPr>
        <w:spacing w:after="80"/>
      </w:pPr>
    </w:p>
    <w:p>
      <w:pPr>
        <w:spacing w:before="0" w:after="100"/>
      </w:pPr>
      <w:r>
        <w:rPr>
          <w:rFonts w:ascii="Segoe UI" w:hAnsi="Segoe UI"/>
          <w:color w:val="1E293B"/>
          <w:sz w:val="19"/>
        </w:rPr>
        <w:t>Expected JSON Response: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"status": "ok",</w:t>
              <w:br/>
              <w:t xml:space="preserve">  "info": {</w:t>
              <w:br/>
              <w:t xml:space="preserve">    "database": { "status": "up" },</w:t>
              <w:br/>
              <w:t xml:space="preserve">    "redis": { "status": "up" },</w:t>
              <w:br/>
              <w:t xml:space="preserve">    "localstack_s3": { "status": "up" }</w:t>
              <w:br/>
              <w:t xml:space="preserve">  },</w:t>
              <w:br/>
              <w:t xml:space="preserve">  "version": "2.0.0",</w:t>
              <w:br/>
              <w:t xml:space="preserve">  "environment": "development"</w:t>
              <w:br/>
              <w:t>}</w:t>
            </w:r>
          </w:p>
        </w:tc>
      </w:tr>
    </w:tbl>
    <w:p>
      <w:pPr>
        <w:spacing w:after="80"/>
      </w:pPr>
    </w:p>
    <w:p>
      <w:pPr>
        <w:spacing w:before="0" w:after="100"/>
      </w:pPr>
      <w:r>
        <w:rPr>
          <w:rFonts w:ascii="Segoe UI" w:hAnsi="Segoe UI"/>
          <w:color w:val="1E293B"/>
          <w:sz w:val="19"/>
        </w:rPr>
        <w:t>---</w:t>
      </w:r>
    </w:p>
    <w:p>
      <w:pPr>
        <w:keepNext/>
        <w:spacing w:before="320" w:after="120"/>
      </w:pPr>
      <w:r>
        <w:rPr>
          <w:rFonts w:ascii="Segoe UI" w:hAnsi="Segoe UI"/>
          <w:b/>
          <w:color w:val="162D5F"/>
          <w:sz w:val="30"/>
        </w:rPr>
        <w:t>3. Codebase Directory Structure &amp; Core Modules Deep Dive</w:t>
      </w:r>
    </w:p>
    <w:p>
      <w:pPr>
        <w:keepNext/>
        <w:spacing w:before="240" w:after="80"/>
      </w:pPr>
      <w:r>
        <w:rPr>
          <w:rFonts w:ascii="Segoe UI" w:hAnsi="Segoe UI"/>
          <w:b/>
          <w:color w:val="FF7F6C"/>
          <w:sz w:val="24"/>
        </w:rPr>
        <w:t>3.1 Monorepo Workspace Directory Map</w:t>
      </w:r>
    </w:p>
    <w:p>
      <w:pPr>
        <w:spacing w:before="0" w:after="100"/>
      </w:pPr>
      <w:r>
        <w:rPr>
          <w:rFonts w:ascii="Segoe UI" w:hAnsi="Segoe UI"/>
          <w:color w:val="1E293B"/>
          <w:sz w:val="19"/>
        </w:rPr>
        <w:t xml:space="preserve">The repository is managed as a high-performance monorepo utilizing </w:t>
      </w:r>
      <w:r>
        <w:rPr>
          <w:rFonts w:ascii="Segoe UI" w:hAnsi="Segoe UI"/>
          <w:b/>
          <w:color w:val="1E293B"/>
          <w:sz w:val="19"/>
        </w:rPr>
        <w:t>pnpm workspaces</w:t>
      </w:r>
      <w:r>
        <w:rPr>
          <w:rFonts w:ascii="Segoe UI" w:hAnsi="Segoe UI"/>
          <w:color w:val="1E293B"/>
          <w:sz w:val="19"/>
        </w:rPr>
        <w:t xml:space="preserve"> and </w:t>
      </w:r>
      <w:r>
        <w:rPr>
          <w:rFonts w:ascii="Segoe UI" w:hAnsi="Segoe UI"/>
          <w:b/>
          <w:color w:val="1E293B"/>
          <w:sz w:val="19"/>
        </w:rPr>
        <w:t>Turborepo</w:t>
      </w:r>
      <w:r>
        <w:rPr>
          <w:rFonts w:ascii="Segoe UI" w:hAnsi="Segoe UI"/>
          <w:color w:val="1E293B"/>
          <w:sz w:val="19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blynt/</w:t>
              <w:br/>
              <w:t>├── apps/</w:t>
              <w:br/>
              <w:t>│   ├── api/                           # NestJS Backend API (Port 3001)</w:t>
              <w:br/>
              <w:t>│   │   ├── prisma/                    # Prisma schema, migrations, seed data</w:t>
              <w:br/>
              <w:t>│   │   └── src/</w:t>
              <w:br/>
              <w:t>│   │       ├── accounting-engine/     # Central double-entry invariant &amp; journal services</w:t>
              <w:br/>
              <w:t>│   │       ├── auth/                  # JWT, MFA, Argon2id, RBAC guards</w:t>
              <w:br/>
              <w:t>│   │       ├── banking/               # Open Banking feeds, bank rules, reconciliation</w:t>
              <w:br/>
              <w:t>│   │       ├── common/                # Filters, interceptors, decorators, AppLogger</w:t>
              <w:br/>
              <w:t>│   │       ├── invoicing/             # Sales invoices, bills, credit notes, PDF builder</w:t>
              <w:br/>
              <w:t>│   │       ├── ledger/                # Chart of Accounts, Trial Balance, P&amp;L, Balance Sheet</w:t>
              <w:br/>
              <w:t>│   │       ├── tenant/                # Multi-tenant isolation middleware &amp; RLS policies</w:t>
              <w:br/>
              <w:t>│   │       └── vat-mtd/               # HMRC MTD VAT returns &amp; fraud headers</w:t>
              <w:br/>
              <w:t>│   └── web/                           # Next.js / React Frontend Dashboard (Port 3000)</w:t>
              <w:br/>
              <w:t>│       ├── public/                    # Static assets &amp; brand logo marks</w:t>
              <w:br/>
              <w:t>│       └── src/</w:t>
              <w:br/>
              <w:t>│           ├── app/                   # App Router pages and layouts</w:t>
              <w:br/>
              <w:t>│           ├── components/            # Reusable UI component library (Design System)</w:t>
              <w:br/>
              <w:t>│           ├── hooks/                 # Custom React data &amp; mutation hooks</w:t>
              <w:br/>
              <w:t>│           └── lib/                   # API client, formatting utilities, auth tokens</w:t>
              <w:br/>
              <w:t>├── packages/</w:t>
              <w:br/>
              <w:t>│   ├── shared/                        # Shared financial math helpers &amp; constants</w:t>
              <w:br/>
              <w:t>│   └── types/                         # TypeScript DTOs, API interfaces, schema contracts</w:t>
              <w:br/>
              <w:t>├── docker-compose.yml                 # Local dev service dependencies</w:t>
              <w:br/>
              <w:t>├── package.json                       # Monorepo root manifest</w:t>
              <w:br/>
              <w:t>└── pnpm-workspace.yaml                # pnpm workspace definition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Segoe UI" w:hAnsi="Segoe UI"/>
          <w:b/>
          <w:color w:val="FF7F6C"/>
          <w:sz w:val="24"/>
        </w:rPr>
        <w:t>3.2 Backend Module Responsibilities</w:t>
      </w:r>
    </w:p>
    <w:p>
      <w:pPr>
        <w:pStyle w:val="ListBullet"/>
        <w:spacing w:before="0" w:after="40"/>
      </w:pPr>
      <w:r>
        <w:rPr>
          <w:rFonts w:ascii="Segoe UI" w:hAnsi="Segoe UI"/>
          <w:color w:val="1E293B"/>
          <w:sz w:val="19"/>
        </w:rPr>
      </w:r>
      <w:r>
        <w:rPr>
          <w:rFonts w:ascii="Segoe UI" w:hAnsi="Segoe UI"/>
          <w:b/>
          <w:color w:val="1E293B"/>
          <w:sz w:val="19"/>
        </w:rPr>
        <w:t>`accounting-engine`</w:t>
      </w:r>
      <w:r>
        <w:rPr>
          <w:rFonts w:ascii="Segoe UI" w:hAnsi="Segoe UI"/>
          <w:color w:val="1E293B"/>
          <w:sz w:val="19"/>
        </w:rPr>
        <w:t>: The heart of the platform. Houses `JournalValidationService` and `PostingService`. Responsible for debit/credit balancing, concurrency locking, and immutable audit stamping.</w:t>
      </w:r>
    </w:p>
    <w:p>
      <w:pPr>
        <w:pStyle w:val="ListBullet"/>
        <w:spacing w:before="0" w:after="40"/>
      </w:pPr>
      <w:r>
        <w:rPr>
          <w:rFonts w:ascii="Segoe UI" w:hAnsi="Segoe UI"/>
          <w:color w:val="1E293B"/>
          <w:sz w:val="19"/>
        </w:rPr>
      </w:r>
      <w:r>
        <w:rPr>
          <w:rFonts w:ascii="Segoe UI" w:hAnsi="Segoe UI"/>
          <w:b/>
          <w:color w:val="1E293B"/>
          <w:sz w:val="19"/>
        </w:rPr>
        <w:t>`tenant`</w:t>
      </w:r>
      <w:r>
        <w:rPr>
          <w:rFonts w:ascii="Segoe UI" w:hAnsi="Segoe UI"/>
          <w:color w:val="1E293B"/>
          <w:sz w:val="19"/>
        </w:rPr>
        <w:t>: Intercepts every inbound HTTP request via `TenantResolutionMiddleware`. Extracts the active `tenant_id` from the verified JWT and configures the PostgreSQL session context (`SET LOCAL app.current_tenant_id = '...'`).</w:t>
      </w:r>
    </w:p>
    <w:p>
      <w:pPr>
        <w:pStyle w:val="ListBullet"/>
        <w:spacing w:before="0" w:after="40"/>
      </w:pPr>
      <w:r>
        <w:rPr>
          <w:rFonts w:ascii="Segoe UI" w:hAnsi="Segoe UI"/>
          <w:color w:val="1E293B"/>
          <w:sz w:val="19"/>
        </w:rPr>
      </w:r>
      <w:r>
        <w:rPr>
          <w:rFonts w:ascii="Segoe UI" w:hAnsi="Segoe UI"/>
          <w:b/>
          <w:color w:val="1E293B"/>
          <w:sz w:val="19"/>
        </w:rPr>
        <w:t>`vat-mtd`</w:t>
      </w:r>
      <w:r>
        <w:rPr>
          <w:rFonts w:ascii="Segoe UI" w:hAnsi="Segoe UI"/>
          <w:color w:val="1E293B"/>
          <w:sz w:val="19"/>
        </w:rPr>
        <w:t>: Calculates 9-box VAT returns based on transactional tax codes (Standard 20%, Reduced 5%, Zero 0%, Exempt). Handles OAuth2 token exchange with the UK HMRC API gateway and constructs statutory fraud prevention headers.</w:t>
      </w:r>
    </w:p>
    <w:p>
      <w:pPr>
        <w:spacing w:before="0" w:after="100"/>
      </w:pPr>
      <w:r>
        <w:rPr>
          <w:rFonts w:ascii="Segoe UI" w:hAnsi="Segoe UI"/>
          <w:color w:val="1E293B"/>
          <w:sz w:val="19"/>
        </w:rPr>
        <w:t>---</w:t>
      </w:r>
    </w:p>
    <w:p>
      <w:pPr>
        <w:keepNext/>
        <w:spacing w:before="320" w:after="120"/>
      </w:pPr>
      <w:r>
        <w:rPr>
          <w:rFonts w:ascii="Segoe UI" w:hAnsi="Segoe UI"/>
          <w:b/>
          <w:color w:val="162D5F"/>
          <w:sz w:val="30"/>
        </w:rPr>
        <w:t>4. Database Design, Prisma ORM &amp; Persistence Standards</w:t>
      </w:r>
    </w:p>
    <w:p>
      <w:pPr>
        <w:keepNext/>
        <w:spacing w:before="240" w:after="80"/>
      </w:pPr>
      <w:r>
        <w:rPr>
          <w:rFonts w:ascii="Segoe UI" w:hAnsi="Segoe UI"/>
          <w:b/>
          <w:color w:val="FF7F6C"/>
          <w:sz w:val="24"/>
        </w:rPr>
        <w:t>4.1 Schema Modeling Best Practices</w:t>
      </w:r>
    </w:p>
    <w:p>
      <w:pPr>
        <w:spacing w:before="0" w:after="100"/>
      </w:pPr>
      <w:r>
        <w:rPr>
          <w:rFonts w:ascii="Segoe UI" w:hAnsi="Segoe UI"/>
          <w:color w:val="1E293B"/>
          <w:sz w:val="19"/>
        </w:rPr>
        <w:t>To maintain multi-tenant isolation and strict audit compliance, every persistent model in Prisma must adhere to the following rules:</w:t>
      </w:r>
    </w:p>
    <w:p>
      <w:pPr>
        <w:spacing w:before="0" w:after="100"/>
      </w:pPr>
      <w:r>
        <w:rPr>
          <w:rFonts w:ascii="Segoe UI" w:hAnsi="Segoe UI"/>
          <w:color w:val="1E293B"/>
          <w:sz w:val="19"/>
        </w:rPr>
        <w:t xml:space="preserve">1. </w:t>
      </w:r>
      <w:r>
        <w:rPr>
          <w:rFonts w:ascii="Segoe UI" w:hAnsi="Segoe UI"/>
          <w:b/>
          <w:color w:val="1E293B"/>
          <w:sz w:val="19"/>
        </w:rPr>
        <w:t>Primary Keys:</w:t>
      </w:r>
      <w:r>
        <w:rPr>
          <w:rFonts w:ascii="Segoe UI" w:hAnsi="Segoe UI"/>
          <w:color w:val="1E293B"/>
          <w:sz w:val="19"/>
        </w:rPr>
        <w:t xml:space="preserve"> Every table uses UUIDv7 primary keys (`@default(dbgenerated("gen_random_uuid()"))` or application-level UUIDv7 generation) to combine chronological sortability with global uniqueness.</w:t>
      </w:r>
    </w:p>
    <w:p>
      <w:pPr>
        <w:spacing w:before="0" w:after="100"/>
      </w:pPr>
      <w:r>
        <w:rPr>
          <w:rFonts w:ascii="Segoe UI" w:hAnsi="Segoe UI"/>
          <w:color w:val="1E293B"/>
          <w:sz w:val="19"/>
        </w:rPr>
        <w:t xml:space="preserve">2. </w:t>
      </w:r>
      <w:r>
        <w:rPr>
          <w:rFonts w:ascii="Segoe UI" w:hAnsi="Segoe UI"/>
          <w:b/>
          <w:color w:val="1E293B"/>
          <w:sz w:val="19"/>
        </w:rPr>
        <w:t>Tenant Scoping:</w:t>
      </w:r>
      <w:r>
        <w:rPr>
          <w:rFonts w:ascii="Segoe UI" w:hAnsi="Segoe UI"/>
          <w:color w:val="1E293B"/>
          <w:sz w:val="19"/>
        </w:rPr>
        <w:t xml:space="preserve"> All tenant-scoped entities must include `tenantId String @db.Uuid`. Indexes must lead with `tenantId` (e.g., `@@index([tenantId, createdAt])`).</w:t>
      </w:r>
    </w:p>
    <w:p>
      <w:pPr>
        <w:spacing w:before="0" w:after="100"/>
      </w:pPr>
      <w:r>
        <w:rPr>
          <w:rFonts w:ascii="Segoe UI" w:hAnsi="Segoe UI"/>
          <w:color w:val="1E293B"/>
          <w:sz w:val="19"/>
        </w:rPr>
        <w:t xml:space="preserve">3. </w:t>
      </w:r>
      <w:r>
        <w:rPr>
          <w:rFonts w:ascii="Segoe UI" w:hAnsi="Segoe UI"/>
          <w:b/>
          <w:color w:val="1E293B"/>
          <w:sz w:val="19"/>
        </w:rPr>
        <w:t>Audit Timestamps:</w:t>
      </w:r>
      <w:r>
        <w:rPr>
          <w:rFonts w:ascii="Segoe UI" w:hAnsi="Segoe UI"/>
          <w:color w:val="1E293B"/>
          <w:sz w:val="19"/>
        </w:rPr>
        <w:t xml:space="preserve"> Every model must have `createdAt DateTime @default(now())` and `updatedAt DateTime @updatedAt`. Financial ledger rows are </w:t>
      </w:r>
      <w:r>
        <w:rPr>
          <w:rFonts w:ascii="Segoe UI" w:hAnsi="Segoe UI"/>
          <w:b/>
          <w:color w:val="1E293B"/>
          <w:sz w:val="19"/>
        </w:rPr>
        <w:t>immutable</w:t>
      </w:r>
      <w:r>
        <w:rPr>
          <w:rFonts w:ascii="Segoe UI" w:hAnsi="Segoe UI"/>
          <w:color w:val="1E293B"/>
          <w:sz w:val="19"/>
        </w:rPr>
        <w:t xml:space="preserve"> and omit `updatedAt`.</w:t>
      </w:r>
    </w:p>
    <w:p>
      <w:pPr>
        <w:keepNext/>
        <w:spacing w:before="240" w:after="80"/>
      </w:pPr>
      <w:r>
        <w:rPr>
          <w:rFonts w:ascii="Segoe UI" w:hAnsi="Segoe UI"/>
          <w:b/>
          <w:color w:val="FF7F6C"/>
          <w:sz w:val="24"/>
        </w:rPr>
        <w:t>4.2 Financial Math &amp; Precision: Strict Decimal(19,4) Rule</w:t>
      </w:r>
    </w:p>
    <w:p>
      <w:pPr>
        <w:spacing w:before="0" w:after="100"/>
      </w:pPr>
      <w:r>
        <w:rPr>
          <w:rFonts w:ascii="Segoe UI" w:hAnsi="Segoe UI"/>
          <w:color w:val="1E293B"/>
          <w:sz w:val="19"/>
        </w:rPr>
      </w:r>
      <w:r>
        <w:rPr>
          <w:rFonts w:ascii="Segoe UI" w:hAnsi="Segoe UI"/>
          <w:b/>
          <w:color w:val="1E293B"/>
          <w:sz w:val="19"/>
        </w:rPr>
        <w:t>CRITICAL WARNING:</w:t>
      </w:r>
      <w:r>
        <w:rPr>
          <w:rFonts w:ascii="Segoe UI" w:hAnsi="Segoe UI"/>
          <w:color w:val="1E293B"/>
          <w:sz w:val="19"/>
        </w:rPr>
        <w:t xml:space="preserve"> Never use JavaScript `number` or database `FLOAT` / `DOUBLE PRECISION` for currency values. Floating-point arithmetic introduces IEEE 754 rounding errors (e.g., `0.1 + 0.2 === 0.30000000000000004`) which corrupt financial ledgers.</w:t>
      </w:r>
    </w:p>
    <w:p>
      <w:pPr>
        <w:pStyle w:val="ListBullet"/>
        <w:spacing w:before="0" w:after="40"/>
      </w:pPr>
      <w:r>
        <w:rPr>
          <w:rFonts w:ascii="Segoe UI" w:hAnsi="Segoe UI"/>
          <w:color w:val="1E293B"/>
          <w:sz w:val="19"/>
        </w:rPr>
      </w:r>
      <w:r>
        <w:rPr>
          <w:rFonts w:ascii="Segoe UI" w:hAnsi="Segoe UI"/>
          <w:b/>
          <w:color w:val="1E293B"/>
          <w:sz w:val="19"/>
        </w:rPr>
        <w:t>Database Representation:</w:t>
      </w:r>
      <w:r>
        <w:rPr>
          <w:rFonts w:ascii="Segoe UI" w:hAnsi="Segoe UI"/>
          <w:color w:val="1E293B"/>
          <w:sz w:val="19"/>
        </w:rPr>
        <w:t xml:space="preserve"> All currency amounts must be stored as `DECIMAL(19, 4)` in PostgreSQL.</w:t>
      </w:r>
    </w:p>
    <w:p>
      <w:pPr>
        <w:pStyle w:val="ListBullet"/>
        <w:spacing w:before="0" w:after="40"/>
      </w:pPr>
      <w:r>
        <w:rPr>
          <w:rFonts w:ascii="Segoe UI" w:hAnsi="Segoe UI"/>
          <w:color w:val="1E293B"/>
          <w:sz w:val="19"/>
        </w:rPr>
      </w:r>
      <w:r>
        <w:rPr>
          <w:rFonts w:ascii="Segoe UI" w:hAnsi="Segoe UI"/>
          <w:b/>
          <w:color w:val="1E293B"/>
          <w:sz w:val="19"/>
        </w:rPr>
        <w:t>Application Representation:</w:t>
      </w:r>
      <w:r>
        <w:rPr>
          <w:rFonts w:ascii="Segoe UI" w:hAnsi="Segoe UI"/>
          <w:color w:val="1E293B"/>
          <w:sz w:val="19"/>
        </w:rPr>
        <w:t xml:space="preserve"> Use the `Decimal` class from `decimal.js` or Prisma's built-in `Prisma.Decimal`.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// CORRECT: High-precision Decimal calculation</w:t>
              <w:br/>
              <w:t>import { Decimal } from 'decimal.js';</w:t>
              <w:br/>
              <w:br/>
              <w:t>const unitPrice = new Decimal('149.99');</w:t>
              <w:br/>
              <w:t>const quantity = new Decimal('3');</w:t>
              <w:br/>
              <w:t>const taxRate = new Decimal('0.20'); // 20% Standard UK VAT</w:t>
              <w:br/>
              <w:br/>
              <w:t>const subtotal = unitPrice.mul(quantity); // 449.9700</w:t>
              <w:br/>
              <w:t>const taxAmount = subtotal.mul(taxRate);   // 89.9940 -&gt; 89.99 rounded</w:t>
              <w:br/>
              <w:t>const total = subtotal.plus(taxAmount);     // 539.9640</w:t>
              <w:br/>
              <w:br/>
              <w:t>// INCORRECT: PROHIBITED IN BLYNT CODEBASE</w:t>
              <w:br/>
              <w:t>const badTotal = (149.99 * 3) * 1.20; // ERROR: Incurable IEEE 754 precision drift!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Segoe UI" w:hAnsi="Segoe UI"/>
          <w:b/>
          <w:color w:val="FF7F6C"/>
          <w:sz w:val="24"/>
        </w:rPr>
        <w:t>4.3 Prisma Migration Lifecycle &amp; Zero-Downtime Rule</w:t>
      </w:r>
    </w:p>
    <w:p>
      <w:pPr>
        <w:spacing w:before="0" w:after="100"/>
      </w:pPr>
      <w:r>
        <w:rPr>
          <w:rFonts w:ascii="Segoe UI" w:hAnsi="Segoe UI"/>
          <w:color w:val="1E293B"/>
          <w:sz w:val="19"/>
        </w:rPr>
        <w:t>When adding or altering database columns:</w:t>
      </w:r>
    </w:p>
    <w:p>
      <w:pPr>
        <w:pStyle w:val="ListBullet"/>
        <w:spacing w:before="0" w:after="40"/>
      </w:pPr>
      <w:r>
        <w:rPr>
          <w:rFonts w:ascii="Segoe UI" w:hAnsi="Segoe UI"/>
          <w:color w:val="1E293B"/>
          <w:sz w:val="19"/>
        </w:rPr>
      </w:r>
      <w:r>
        <w:rPr>
          <w:rFonts w:ascii="Segoe UI" w:hAnsi="Segoe UI"/>
          <w:b/>
          <w:color w:val="1E293B"/>
          <w:sz w:val="19"/>
        </w:rPr>
        <w:t>Expand-and-Contract Pattern:</w:t>
      </w:r>
      <w:r>
        <w:rPr>
          <w:rFonts w:ascii="Segoe UI" w:hAnsi="Segoe UI"/>
          <w:color w:val="1E293B"/>
          <w:sz w:val="19"/>
        </w:rPr>
        <w:t xml:space="preserve"> Always make additions backward compatible.</w:t>
      </w:r>
    </w:p>
    <w:p>
      <w:pPr>
        <w:spacing w:before="0" w:after="100"/>
      </w:pPr>
      <w:r>
        <w:rPr>
          <w:rFonts w:ascii="Segoe UI" w:hAnsi="Segoe UI"/>
          <w:color w:val="1E293B"/>
          <w:sz w:val="19"/>
        </w:rPr>
        <w:t>1. *Step 1 (Expand):* Add new column as optional (`Nullable`). Deploy application code that writes to both old and new columns.</w:t>
      </w:r>
    </w:p>
    <w:p>
      <w:pPr>
        <w:spacing w:before="0" w:after="100"/>
      </w:pPr>
      <w:r>
        <w:rPr>
          <w:rFonts w:ascii="Segoe UI" w:hAnsi="Segoe UI"/>
          <w:color w:val="1E293B"/>
          <w:sz w:val="19"/>
        </w:rPr>
        <w:t>2. *Step 2 (Migrate):* Backfill existing rows via asynchronous background migration script.</w:t>
      </w:r>
    </w:p>
    <w:p>
      <w:pPr>
        <w:spacing w:before="0" w:after="100"/>
      </w:pPr>
      <w:r>
        <w:rPr>
          <w:rFonts w:ascii="Segoe UI" w:hAnsi="Segoe UI"/>
          <w:color w:val="1E293B"/>
          <w:sz w:val="19"/>
        </w:rPr>
        <w:t>3. *Step 3 (Contract):* Set new column to `NOT NULL` and deprecate/drop the old column.</w:t>
      </w:r>
    </w:p>
    <w:p>
      <w:pPr>
        <w:pStyle w:val="ListBullet"/>
        <w:spacing w:before="0" w:after="40"/>
      </w:pPr>
      <w:r>
        <w:rPr>
          <w:rFonts w:ascii="Segoe UI" w:hAnsi="Segoe UI"/>
          <w:color w:val="1E293B"/>
          <w:sz w:val="19"/>
        </w:rPr>
      </w:r>
      <w:r>
        <w:rPr>
          <w:rFonts w:ascii="Segoe UI" w:hAnsi="Segoe UI"/>
          <w:b/>
          <w:color w:val="1E293B"/>
          <w:sz w:val="19"/>
        </w:rPr>
        <w:t>Migration Command:</w:t>
      </w:r>
      <w:r>
        <w:rPr>
          <w:rFonts w:ascii="Segoe UI" w:hAnsi="Segoe UI"/>
          <w:color w:val="1E293B"/>
          <w:sz w:val="19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 xml:space="preserve">  pnpm --filter @blynt/api run prisma migrate dev --name &lt;descriptive_snake_case_name&gt;</w:t>
            </w:r>
          </w:p>
        </w:tc>
      </w:tr>
    </w:tbl>
    <w:p>
      <w:pPr>
        <w:spacing w:after="80"/>
      </w:pPr>
    </w:p>
    <w:p>
      <w:pPr>
        <w:spacing w:before="0" w:after="100"/>
      </w:pPr>
      <w:r>
        <w:rPr>
          <w:rFonts w:ascii="Segoe UI" w:hAnsi="Segoe UI"/>
          <w:color w:val="1E293B"/>
          <w:sz w:val="19"/>
        </w:rPr>
        <w:t>---</w:t>
      </w:r>
    </w:p>
    <w:p>
      <w:pPr>
        <w:keepNext/>
        <w:spacing w:before="320" w:after="120"/>
      </w:pPr>
      <w:r>
        <w:rPr>
          <w:rFonts w:ascii="Segoe UI" w:hAnsi="Segoe UI"/>
          <w:b/>
          <w:color w:val="162D5F"/>
          <w:sz w:val="30"/>
        </w:rPr>
        <w:t>5. API Design Conventions, DTO Validation &amp; Error Handling</w:t>
      </w:r>
    </w:p>
    <w:p>
      <w:pPr>
        <w:keepNext/>
        <w:spacing w:before="240" w:after="80"/>
      </w:pPr>
      <w:r>
        <w:rPr>
          <w:rFonts w:ascii="Segoe UI" w:hAnsi="Segoe UI"/>
          <w:b/>
          <w:color w:val="FF7F6C"/>
          <w:sz w:val="24"/>
        </w:rPr>
        <w:t>5.1 RESTful Resource Modeling &amp; Idempotency</w:t>
      </w:r>
    </w:p>
    <w:p>
      <w:pPr>
        <w:spacing w:before="0" w:after="100"/>
      </w:pPr>
      <w:r>
        <w:rPr>
          <w:rFonts w:ascii="Segoe UI" w:hAnsi="Segoe UI"/>
          <w:color w:val="1E293B"/>
          <w:sz w:val="19"/>
        </w:rPr>
        <w:t>All API endpoints follow RESTful conventions. Mutations that affect financial ledgers must require an `Idempotency-Key` header: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POST /api/v1/invoices HTTP/1.1</w:t>
              <w:br/>
              <w:t>Host: api.blynt.io</w:t>
              <w:br/>
              <w:t>Authorization: Bearer &lt;JWT_ACCESS_TOKEN&gt;</w:t>
              <w:br/>
              <w:t>Idempotency-Key: 7b311352-87ad-4521-968c-ff5dfce5a321</w:t>
              <w:br/>
              <w:t>Content-Type: application/json</w:t>
              <w:br/>
              <w:br/>
              <w:t>{</w:t>
              <w:br/>
              <w:t xml:space="preserve">  "customerId": "9a1e0b51-2c1b-410a-8bf7-814d48b11100",</w:t>
              <w:br/>
              <w:t xml:space="preserve">  "issueDate": "2026-10-12",</w:t>
              <w:br/>
              <w:t xml:space="preserve">  "dueDate": "2026-11-12",</w:t>
              <w:br/>
              <w:t xml:space="preserve">  "lines": [</w:t>
              <w:br/>
              <w:t xml:space="preserve">    {</w:t>
              <w:br/>
              <w:t xml:space="preserve">      "description": "Annual Enterprise Accounting Subscription",</w:t>
              <w:br/>
              <w:t xml:space="preserve">      "quantity": 1,</w:t>
              <w:br/>
              <w:t xml:space="preserve">      "unitPrice": "2400.00",</w:t>
              <w:br/>
              <w:t xml:space="preserve">      "taxCode": "STANDARD_20"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Segoe UI" w:hAnsi="Segoe UI"/>
          <w:b/>
          <w:color w:val="FF7F6C"/>
          <w:sz w:val="24"/>
        </w:rPr>
        <w:t>5.2 Standard Error Response Envelope</w:t>
      </w:r>
    </w:p>
    <w:p>
      <w:pPr>
        <w:spacing w:before="0" w:after="100"/>
      </w:pPr>
      <w:r>
        <w:rPr>
          <w:rFonts w:ascii="Segoe UI" w:hAnsi="Segoe UI"/>
          <w:color w:val="1E293B"/>
          <w:sz w:val="19"/>
        </w:rPr>
        <w:t>All application errors thrown across controllers are caught by the global `HttpExceptionFilter` and formatted into a unified JSON envelope: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"statusCode": 422,</w:t>
              <w:br/>
              <w:t xml:space="preserve">  "error": "Unprocessable Entity",</w:t>
              <w:br/>
              <w:t xml:space="preserve">  "errorCode": "LEDGER_INVARIANT_VIOLATION",</w:t>
              <w:br/>
              <w:t xml:space="preserve">  "message": "Debit sum (1420.5000) does not equal Credit sum (1400.0000). Difference: 20.5000",</w:t>
              <w:br/>
              <w:t xml:space="preserve">  "timestamp": "2026-10-12T00:35:12.104Z",</w:t>
              <w:br/>
              <w:t xml:space="preserve">  "path": "/api/v1/journal-entries",</w:t>
              <w:br/>
              <w:t xml:space="preserve">  "traceId": "req_88a91c01ff3941"</w:t>
              <w:br/>
              <w:t>}</w:t>
            </w:r>
          </w:p>
        </w:tc>
      </w:tr>
    </w:tbl>
    <w:p>
      <w:pPr>
        <w:spacing w:after="80"/>
      </w:pPr>
    </w:p>
    <w:p>
      <w:pPr>
        <w:spacing w:before="0" w:after="100"/>
      </w:pPr>
      <w:r>
        <w:rPr>
          <w:rFonts w:ascii="Segoe UI" w:hAnsi="Segoe UI"/>
          <w:color w:val="1E293B"/>
          <w:sz w:val="19"/>
        </w:rPr>
        <w:t>---</w:t>
      </w:r>
    </w:p>
    <w:p>
      <w:pPr>
        <w:keepNext/>
        <w:spacing w:before="320" w:after="120"/>
      </w:pPr>
      <w:r>
        <w:rPr>
          <w:rFonts w:ascii="Segoe UI" w:hAnsi="Segoe UI"/>
          <w:b/>
          <w:color w:val="162D5F"/>
          <w:sz w:val="30"/>
        </w:rPr>
        <w:t>6. Automated Testing Strategy, TDD &amp; Invariant Verification</w:t>
      </w:r>
    </w:p>
    <w:p>
      <w:pPr>
        <w:keepNext/>
        <w:spacing w:before="240" w:after="80"/>
      </w:pPr>
      <w:r>
        <w:rPr>
          <w:rFonts w:ascii="Segoe UI" w:hAnsi="Segoe UI"/>
          <w:b/>
          <w:color w:val="FF7F6C"/>
          <w:sz w:val="24"/>
        </w:rPr>
        <w:t>6.1 The blynt Testing Pyramid</w:t>
      </w:r>
    </w:p>
    <w:p>
      <w:pPr>
        <w:spacing w:before="0" w:after="100"/>
      </w:pPr>
      <w:r>
        <w:rPr>
          <w:rFonts w:ascii="Segoe UI" w:hAnsi="Segoe UI"/>
          <w:color w:val="1E293B"/>
          <w:sz w:val="19"/>
        </w:rPr>
        <w:t>Our testing strategy ensures that financial logic is validated through rigorous, multi-tiered testing: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/\</w:t>
              <w:br/>
              <w:t xml:space="preserve">                         /  \</w:t>
              <w:br/>
              <w:t xml:space="preserve">                        / E2E \         Playwright (Critical Invoicing &amp; VAT flows)</w:t>
              <w:br/>
              <w:t xml:space="preserve">                       /-------\</w:t>
              <w:br/>
              <w:t xml:space="preserve">                      / Integration \    Supertest with real PostgreSQL test container</w:t>
              <w:br/>
              <w:t xml:space="preserve">                     /---------------\</w:t>
              <w:br/>
              <w:t xml:space="preserve">                    /   Unit Tests    \   Jest: &gt;85% coverage on math, posting &amp; invariants</w:t>
              <w:br/>
              <w:t xml:space="preserve">                   /-------------------\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Segoe UI" w:hAnsi="Segoe UI"/>
          <w:b/>
          <w:color w:val="FF7F6C"/>
          <w:sz w:val="24"/>
        </w:rPr>
        <w:t>6.2 Writing an Invariant Unit Test</w:t>
      </w:r>
    </w:p>
    <w:p>
      <w:pPr>
        <w:spacing w:before="0" w:after="100"/>
      </w:pPr>
      <w:r>
        <w:rPr>
          <w:rFonts w:ascii="Segoe UI" w:hAnsi="Segoe UI"/>
          <w:color w:val="1E293B"/>
          <w:sz w:val="19"/>
        </w:rPr>
        <w:t>Below is an example of an authoritative unit test asserting that the `JournalValidationService` strictly enforces balanced debits and credits: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import { Test, TestingModule } from '@nestjs/testing';</w:t>
              <w:br/>
              <w:t>import { JournalValidationService } from './journal-validation.service';</w:t>
              <w:br/>
              <w:t>import { LedgerInvariantException } from '../common/exceptions';</w:t>
              <w:br/>
              <w:br/>
              <w:t>describe('JournalValidationService (Mathematical Invariants)', () =&gt; {</w:t>
              <w:br/>
              <w:t xml:space="preserve">  let service: JournalValidationService;</w:t>
              <w:br/>
              <w:br/>
              <w:t xml:space="preserve">  beforeEach(async () =&gt; {</w:t>
              <w:br/>
              <w:t xml:space="preserve">    const module: TestingModule = await Test.createTestingModule({</w:t>
              <w:br/>
              <w:t xml:space="preserve">      providers: [JournalValidationService],</w:t>
              <w:br/>
              <w:t xml:space="preserve">    }).compile();</w:t>
              <w:br/>
              <w:br/>
              <w:t xml:space="preserve">    service = module.get&lt;JournalValidationService&gt;(JournalValidationService);</w:t>
              <w:br/>
              <w:t xml:space="preserve">  });</w:t>
              <w:br/>
              <w:br/>
              <w:t xml:space="preserve">  it('should accept a balanced journal entry', () =&gt; {</w:t>
              <w:br/>
              <w:t xml:space="preserve">    const lines = [</w:t>
              <w:br/>
              <w:t xml:space="preserve">      { accountId: 'acc_1', debit: '100.00', credit: '0.00' },</w:t>
              <w:br/>
              <w:t xml:space="preserve">      { accountId: 'acc_2', debit: '0.00', credit: '100.00' },</w:t>
              <w:br/>
              <w:t xml:space="preserve">    ];</w:t>
              <w:br/>
              <w:t xml:space="preserve">    expect(() =&gt; service.validateBalanced(lines)).not.toThrow();</w:t>
              <w:br/>
              <w:t xml:space="preserve">  });</w:t>
              <w:br/>
              <w:br/>
              <w:t xml:space="preserve">  it('should reject an unbalanced journal entry with LedgerInvariantException', () =&gt; {</w:t>
              <w:br/>
              <w:t xml:space="preserve">    const unbalancedLines = [</w:t>
              <w:br/>
              <w:t xml:space="preserve">      { accountId: 'acc_1', debit: '100.00', credit: '0.00' },</w:t>
              <w:br/>
              <w:t xml:space="preserve">      { accountId: 'acc_2', debit: '0.00', credit: '99.99' },</w:t>
              <w:br/>
              <w:t xml:space="preserve">    ];</w:t>
              <w:br/>
              <w:t xml:space="preserve">    expect(() =&gt; service.validateBalanced(unbalancedLines)).toThrow(LedgerInvariantException);</w:t>
              <w:br/>
              <w:t xml:space="preserve">  });</w:t>
              <w:br/>
              <w:t>});</w:t>
            </w:r>
          </w:p>
        </w:tc>
      </w:tr>
    </w:tbl>
    <w:p>
      <w:pPr>
        <w:spacing w:after="80"/>
      </w:pPr>
    </w:p>
    <w:p>
      <w:pPr>
        <w:spacing w:before="0" w:after="100"/>
      </w:pPr>
      <w:r>
        <w:rPr>
          <w:rFonts w:ascii="Segoe UI" w:hAnsi="Segoe UI"/>
          <w:color w:val="1E293B"/>
          <w:sz w:val="19"/>
        </w:rPr>
        <w:t>---</w:t>
      </w:r>
    </w:p>
    <w:p>
      <w:pPr>
        <w:keepNext/>
        <w:spacing w:before="320" w:after="120"/>
      </w:pPr>
      <w:r>
        <w:rPr>
          <w:rFonts w:ascii="Segoe UI" w:hAnsi="Segoe UI"/>
          <w:b/>
          <w:color w:val="162D5F"/>
          <w:sz w:val="30"/>
        </w:rPr>
        <w:t>7. Git Workflow, Code Review &amp; Pull Request Standards</w:t>
      </w:r>
    </w:p>
    <w:p>
      <w:pPr>
        <w:keepNext/>
        <w:spacing w:before="240" w:after="80"/>
      </w:pPr>
      <w:r>
        <w:rPr>
          <w:rFonts w:ascii="Segoe UI" w:hAnsi="Segoe UI"/>
          <w:b/>
          <w:color w:val="FF7F6C"/>
          <w:sz w:val="24"/>
        </w:rPr>
        <w:t>7.1 Trunk-Based Development &amp; Branch Naming</w:t>
      </w:r>
    </w:p>
    <w:p>
      <w:pPr>
        <w:spacing w:before="0" w:after="100"/>
      </w:pPr>
      <w:r>
        <w:rPr>
          <w:rFonts w:ascii="Segoe UI" w:hAnsi="Segoe UI"/>
          <w:color w:val="1E293B"/>
          <w:sz w:val="19"/>
        </w:rPr>
        <w:t>All engineers practice Trunk-Based Development. Feature branches must be short-lived (maximum lifespan of 48 hours).</w:t>
      </w:r>
    </w:p>
    <w:p>
      <w:pPr>
        <w:pStyle w:val="ListBullet"/>
        <w:spacing w:before="0" w:after="40"/>
      </w:pPr>
      <w:r>
        <w:rPr>
          <w:rFonts w:ascii="Segoe UI" w:hAnsi="Segoe UI"/>
          <w:color w:val="1E293B"/>
          <w:sz w:val="19"/>
        </w:rPr>
      </w:r>
      <w:r>
        <w:rPr>
          <w:rFonts w:ascii="Segoe UI" w:hAnsi="Segoe UI"/>
          <w:b/>
          <w:color w:val="1E293B"/>
          <w:sz w:val="19"/>
        </w:rPr>
        <w:t>Branch Naming Standard:</w:t>
      </w:r>
      <w:r>
        <w:rPr>
          <w:rFonts w:ascii="Segoe UI" w:hAnsi="Segoe UI"/>
          <w:color w:val="1E293B"/>
          <w:sz w:val="19"/>
        </w:rPr>
      </w:r>
    </w:p>
    <w:p>
      <w:pPr>
        <w:pStyle w:val="ListBullet"/>
        <w:spacing w:before="0" w:after="40"/>
      </w:pPr>
      <w:r>
        <w:rPr>
          <w:rFonts w:ascii="Segoe UI" w:hAnsi="Segoe UI"/>
          <w:color w:val="1E293B"/>
          <w:sz w:val="19"/>
        </w:rPr>
        <w:t>`feat/&lt;jira-id&gt;-short-description` (e.g., `feat/BLYNT-102-bank-feed-oauth`)</w:t>
      </w:r>
    </w:p>
    <w:p>
      <w:pPr>
        <w:pStyle w:val="ListBullet"/>
        <w:spacing w:before="0" w:after="40"/>
      </w:pPr>
      <w:r>
        <w:rPr>
          <w:rFonts w:ascii="Segoe UI" w:hAnsi="Segoe UI"/>
          <w:color w:val="1E293B"/>
          <w:sz w:val="19"/>
        </w:rPr>
        <w:t>`fix/&lt;jira-id&gt;-short-description` (e.g., `fix/BLYNT-105-vat-rounding-bug`)</w:t>
      </w:r>
    </w:p>
    <w:p>
      <w:pPr>
        <w:pStyle w:val="ListBullet"/>
        <w:spacing w:before="0" w:after="40"/>
      </w:pPr>
      <w:r>
        <w:rPr>
          <w:rFonts w:ascii="Segoe UI" w:hAnsi="Segoe UI"/>
          <w:color w:val="1E293B"/>
          <w:sz w:val="19"/>
        </w:rPr>
        <w:t>`refactor/&lt;jira-id&gt;-short-description` (e.g., `refactor/BLYNT-110-decimal-opt`)</w:t>
      </w:r>
    </w:p>
    <w:p>
      <w:pPr>
        <w:keepNext/>
        <w:spacing w:before="240" w:after="80"/>
      </w:pPr>
      <w:r>
        <w:rPr>
          <w:rFonts w:ascii="Segoe UI" w:hAnsi="Segoe UI"/>
          <w:b/>
          <w:color w:val="FF7F6C"/>
          <w:sz w:val="24"/>
        </w:rPr>
        <w:t>7.2 Pull Request Submission Checklist</w:t>
      </w:r>
    </w:p>
    <w:p>
      <w:pPr>
        <w:spacing w:before="0" w:after="100"/>
      </w:pPr>
      <w:r>
        <w:rPr>
          <w:rFonts w:ascii="Segoe UI" w:hAnsi="Segoe UI"/>
          <w:color w:val="1E293B"/>
          <w:sz w:val="19"/>
        </w:rPr>
        <w:t>Before requesting review on a Pull Request, the author must verify:</w:t>
      </w:r>
    </w:p>
    <w:p>
      <w:pPr>
        <w:pStyle w:val="ListBullet"/>
        <w:spacing w:before="0" w:after="40"/>
      </w:pPr>
      <w:r>
        <w:rPr>
          <w:rFonts w:ascii="Segoe UI" w:hAnsi="Segoe UI"/>
          <w:color w:val="1E293B"/>
          <w:sz w:val="19"/>
        </w:rPr>
        <w:t>[x] Branch is rebased against the latest `main`.</w:t>
      </w:r>
    </w:p>
    <w:p>
      <w:pPr>
        <w:pStyle w:val="ListBullet"/>
        <w:spacing w:before="0" w:after="40"/>
      </w:pPr>
      <w:r>
        <w:rPr>
          <w:rFonts w:ascii="Segoe UI" w:hAnsi="Segoe UI"/>
          <w:color w:val="1E293B"/>
          <w:sz w:val="19"/>
        </w:rPr>
        <w:t>[x] All unit and integration tests pass locally (`pnpm test`).</w:t>
      </w:r>
    </w:p>
    <w:p>
      <w:pPr>
        <w:pStyle w:val="ListBullet"/>
        <w:spacing w:before="0" w:after="40"/>
      </w:pPr>
      <w:r>
        <w:rPr>
          <w:rFonts w:ascii="Segoe UI" w:hAnsi="Segoe UI"/>
          <w:color w:val="1E293B"/>
          <w:sz w:val="19"/>
        </w:rPr>
        <w:t>[x] No ESLint or Prettier warnings exist (`pnpm lint`).</w:t>
      </w:r>
    </w:p>
    <w:p>
      <w:pPr>
        <w:pStyle w:val="ListBullet"/>
        <w:spacing w:before="0" w:after="40"/>
      </w:pPr>
      <w:r>
        <w:rPr>
          <w:rFonts w:ascii="Segoe UI" w:hAnsi="Segoe UI"/>
          <w:color w:val="1E293B"/>
          <w:sz w:val="19"/>
        </w:rPr>
        <w:t>[x] Database migrations (if any) are tested with rollbacks.</w:t>
      </w:r>
    </w:p>
    <w:p>
      <w:pPr>
        <w:pStyle w:val="ListBullet"/>
        <w:spacing w:before="0" w:after="40"/>
      </w:pPr>
      <w:r>
        <w:rPr>
          <w:rFonts w:ascii="Segoe UI" w:hAnsi="Segoe UI"/>
          <w:color w:val="1E293B"/>
          <w:sz w:val="19"/>
        </w:rPr>
        <w:t>[x] No sensitive credentials or API keys committed.</w:t>
      </w:r>
    </w:p>
    <w:p>
      <w:pPr>
        <w:pStyle w:val="ListBullet"/>
        <w:spacing w:before="0" w:after="40"/>
      </w:pPr>
      <w:r>
        <w:rPr>
          <w:rFonts w:ascii="Segoe UI" w:hAnsi="Segoe UI"/>
          <w:color w:val="1E293B"/>
          <w:sz w:val="19"/>
        </w:rPr>
        <w:t>[x] Pull Request description references the active Jira ticket.</w:t>
      </w:r>
    </w:p>
    <w:p>
      <w:pPr>
        <w:spacing w:before="0" w:after="100"/>
      </w:pPr>
      <w:r>
        <w:rPr>
          <w:rFonts w:ascii="Segoe UI" w:hAnsi="Segoe UI"/>
          <w:color w:val="1E293B"/>
          <w:sz w:val="19"/>
        </w:rPr>
        <w:t>---</w:t>
      </w:r>
    </w:p>
    <w:p>
      <w:pPr>
        <w:keepNext/>
        <w:spacing w:before="320" w:after="120"/>
      </w:pPr>
      <w:r>
        <w:rPr>
          <w:rFonts w:ascii="Segoe UI" w:hAnsi="Segoe UI"/>
          <w:b/>
          <w:color w:val="162D5F"/>
          <w:sz w:val="30"/>
        </w:rPr>
        <w:t>8. CI/CD Pipeline, Deployment &amp; Observability Runbook</w:t>
      </w:r>
    </w:p>
    <w:p>
      <w:pPr>
        <w:keepNext/>
        <w:spacing w:before="240" w:after="80"/>
      </w:pPr>
      <w:r>
        <w:rPr>
          <w:rFonts w:ascii="Segoe UI" w:hAnsi="Segoe UI"/>
          <w:b/>
          <w:color w:val="FF7F6C"/>
          <w:sz w:val="24"/>
        </w:rPr>
        <w:t>8.1 Automated CI Pipeline Stages</w:t>
      </w:r>
    </w:p>
    <w:p>
      <w:pPr>
        <w:spacing w:before="0" w:after="100"/>
      </w:pPr>
      <w:r>
        <w:rPr>
          <w:rFonts w:ascii="Segoe UI" w:hAnsi="Segoe UI"/>
          <w:color w:val="1E293B"/>
          <w:sz w:val="19"/>
        </w:rPr>
        <w:t>Every commit pushed to a pull request triggers the automated GitHub Actions CI pipeline: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[ Push to PR ]</w:t>
              <w:br/>
              <w:t xml:space="preserve">      |</w:t>
              <w:br/>
              <w:t xml:space="preserve">      v</w:t>
              <w:br/>
              <w:t>+------------------+</w:t>
              <w:br/>
              <w:t>| Lint &amp; Formatting| --&gt; ESLint &amp; Prettier check</w:t>
              <w:br/>
              <w:t>+--------+---------+</w:t>
              <w:br/>
              <w:t xml:space="preserve">         |</w:t>
              <w:br/>
              <w:t xml:space="preserve">         v</w:t>
              <w:br/>
              <w:t>+------------------+</w:t>
              <w:br/>
              <w:t>| Type Checking    | --&gt; tsc --noEmit (Zero-Any enforcement)</w:t>
              <w:br/>
              <w:t>+--------+---------+</w:t>
              <w:br/>
              <w:t xml:space="preserve">         |</w:t>
              <w:br/>
              <w:t xml:space="preserve">         v</w:t>
              <w:br/>
              <w:t>+------------------+</w:t>
              <w:br/>
              <w:t>| Unit Tests       | --&gt; Jest unit suites (Math &amp; Invariant verification)</w:t>
              <w:br/>
              <w:t>+--------+---------+</w:t>
              <w:br/>
              <w:t xml:space="preserve">         |</w:t>
              <w:br/>
              <w:t xml:space="preserve">         v</w:t>
              <w:br/>
              <w:t>+------------------+</w:t>
              <w:br/>
              <w:t>| Integration Tests| --&gt; Supertest with ephemeral PostgreSQL container</w:t>
              <w:br/>
              <w:t>+--------+---------+</w:t>
              <w:br/>
              <w:t xml:space="preserve">         |</w:t>
              <w:br/>
              <w:t xml:space="preserve">         v</w:t>
              <w:br/>
              <w:t>+------------------+</w:t>
              <w:br/>
              <w:t>| Security SCA     | --&gt; Trivy container scan &amp; npm audit</w:t>
              <w:br/>
              <w:t>+------------------+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Segoe UI" w:hAnsi="Segoe UI"/>
          <w:b/>
          <w:color w:val="FF7F6C"/>
          <w:sz w:val="24"/>
        </w:rPr>
        <w:t>8.2 Production Deployment &amp; Observability Runbook</w:t>
      </w:r>
    </w:p>
    <w:p>
      <w:pPr>
        <w:pStyle w:val="ListBullet"/>
        <w:spacing w:before="0" w:after="40"/>
      </w:pPr>
      <w:r>
        <w:rPr>
          <w:rFonts w:ascii="Segoe UI" w:hAnsi="Segoe UI"/>
          <w:color w:val="1E293B"/>
          <w:sz w:val="19"/>
        </w:rPr>
      </w:r>
      <w:r>
        <w:rPr>
          <w:rFonts w:ascii="Segoe UI" w:hAnsi="Segoe UI"/>
          <w:b/>
          <w:color w:val="1E293B"/>
          <w:sz w:val="19"/>
        </w:rPr>
        <w:t>Deployment Target:</w:t>
      </w:r>
      <w:r>
        <w:rPr>
          <w:rFonts w:ascii="Segoe UI" w:hAnsi="Segoe UI"/>
          <w:color w:val="1E293B"/>
          <w:sz w:val="19"/>
        </w:rPr>
        <w:t xml:space="preserve"> AWS ECS Fargate running multi-stage Alpine Docker containers.</w:t>
      </w:r>
    </w:p>
    <w:p>
      <w:pPr>
        <w:pStyle w:val="ListBullet"/>
        <w:spacing w:before="0" w:after="40"/>
      </w:pPr>
      <w:r>
        <w:rPr>
          <w:rFonts w:ascii="Segoe UI" w:hAnsi="Segoe UI"/>
          <w:color w:val="1E293B"/>
          <w:sz w:val="19"/>
        </w:rPr>
      </w:r>
      <w:r>
        <w:rPr>
          <w:rFonts w:ascii="Segoe UI" w:hAnsi="Segoe UI"/>
          <w:b/>
          <w:color w:val="1E293B"/>
          <w:sz w:val="19"/>
        </w:rPr>
        <w:t>Rolling Updates:</w:t>
      </w:r>
      <w:r>
        <w:rPr>
          <w:rFonts w:ascii="Segoe UI" w:hAnsi="Segoe UI"/>
          <w:color w:val="1E293B"/>
          <w:sz w:val="19"/>
        </w:rPr>
        <w:t xml:space="preserve"> Zero-downtime rolling updates with a minimum healthy percentage of 100% and maximum percentage of 200%.</w:t>
      </w:r>
    </w:p>
    <w:p>
      <w:pPr>
        <w:pStyle w:val="ListBullet"/>
        <w:spacing w:before="0" w:after="40"/>
      </w:pPr>
      <w:r>
        <w:rPr>
          <w:rFonts w:ascii="Segoe UI" w:hAnsi="Segoe UI"/>
          <w:color w:val="1E293B"/>
          <w:sz w:val="19"/>
        </w:rPr>
      </w:r>
      <w:r>
        <w:rPr>
          <w:rFonts w:ascii="Segoe UI" w:hAnsi="Segoe UI"/>
          <w:b/>
          <w:color w:val="1E293B"/>
          <w:sz w:val="19"/>
        </w:rPr>
        <w:t>Observability APM:</w:t>
      </w:r>
      <w:r>
        <w:rPr>
          <w:rFonts w:ascii="Segoe UI" w:hAnsi="Segoe UI"/>
          <w:color w:val="1E293B"/>
          <w:sz w:val="19"/>
        </w:rPr>
        <w:t xml:space="preserve"> Datadog agent collects distributed OpenTelemetry traces across API requests.</w:t>
      </w:r>
    </w:p>
    <w:p>
      <w:pPr>
        <w:pStyle w:val="ListBullet"/>
        <w:spacing w:before="0" w:after="40"/>
      </w:pPr>
      <w:r>
        <w:rPr>
          <w:rFonts w:ascii="Segoe UI" w:hAnsi="Segoe UI"/>
          <w:color w:val="1E293B"/>
          <w:sz w:val="19"/>
        </w:rPr>
      </w:r>
      <w:r>
        <w:rPr>
          <w:rFonts w:ascii="Segoe UI" w:hAnsi="Segoe UI"/>
          <w:b/>
          <w:color w:val="1E293B"/>
          <w:sz w:val="19"/>
        </w:rPr>
        <w:t>Alert Escalation:</w:t>
      </w:r>
      <w:r>
        <w:rPr>
          <w:rFonts w:ascii="Segoe UI" w:hAnsi="Segoe UI"/>
          <w:color w:val="1E293B"/>
          <w:sz w:val="19"/>
        </w:rPr>
      </w:r>
    </w:p>
    <w:p>
      <w:pPr>
        <w:pStyle w:val="ListBullet"/>
        <w:spacing w:before="0" w:after="40"/>
      </w:pPr>
      <w:r>
        <w:rPr>
          <w:rFonts w:ascii="Segoe UI" w:hAnsi="Segoe UI"/>
          <w:color w:val="1E293B"/>
          <w:sz w:val="19"/>
        </w:rPr>
      </w:r>
      <w:r>
        <w:rPr>
          <w:rFonts w:ascii="Segoe UI" w:hAnsi="Segoe UI"/>
          <w:b/>
          <w:color w:val="1E293B"/>
          <w:sz w:val="19"/>
        </w:rPr>
        <w:t>P0 Alert:</w:t>
      </w:r>
      <w:r>
        <w:rPr>
          <w:rFonts w:ascii="Segoe UI" w:hAnsi="Segoe UI"/>
          <w:color w:val="1E293B"/>
          <w:sz w:val="19"/>
        </w:rPr>
        <w:t xml:space="preserve"> Error rate exceeds 1.0% or any `LedgerInvariantException` detected. On-call engineer paged within 5 minutes via PagerDuty.</w:t>
      </w:r>
    </w:p>
    <w:p>
      <w:pPr>
        <w:pStyle w:val="ListBullet"/>
        <w:spacing w:before="0" w:after="40"/>
      </w:pPr>
      <w:r>
        <w:rPr>
          <w:rFonts w:ascii="Segoe UI" w:hAnsi="Segoe UI"/>
          <w:color w:val="1E293B"/>
          <w:sz w:val="19"/>
        </w:rPr>
      </w:r>
      <w:r>
        <w:rPr>
          <w:rFonts w:ascii="Segoe UI" w:hAnsi="Segoe UI"/>
          <w:b/>
          <w:color w:val="1E293B"/>
          <w:sz w:val="19"/>
        </w:rPr>
        <w:t>Automatic Rollback:</w:t>
      </w:r>
      <w:r>
        <w:rPr>
          <w:rFonts w:ascii="Segoe UI" w:hAnsi="Segoe UI"/>
          <w:color w:val="1E293B"/>
          <w:sz w:val="19"/>
        </w:rPr>
        <w:t xml:space="preserve"> Triggered if container healthchecks fail for 3 consecutive intervals post-deployment.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