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drawing>
          <wp:inline xmlns:a="http://schemas.openxmlformats.org/drawingml/2006/main" xmlns:pic="http://schemas.openxmlformats.org/drawingml/2006/picture">
            <wp:extent cx="1508760" cy="1852992"/>
            <wp:docPr id="1" name="Picture 1"/>
            <wp:cNvGraphicFramePr>
              <a:graphicFrameLocks noChangeAspect="1"/>
            </wp:cNvGraphicFramePr>
            <a:graphic>
              <a:graphicData uri="http://schemas.openxmlformats.org/drawingml/2006/picture">
                <pic:pic>
                  <pic:nvPicPr>
                    <pic:cNvPr id="0" name="blynt-logo.png"/>
                    <pic:cNvPicPr/>
                  </pic:nvPicPr>
                  <pic:blipFill>
                    <a:blip r:embed="rId9"/>
                    <a:stretch>
                      <a:fillRect/>
                    </a:stretch>
                  </pic:blipFill>
                  <pic:spPr>
                    <a:xfrm>
                      <a:off x="0" y="0"/>
                      <a:ext cx="1508760" cy="1852992"/>
                    </a:xfrm>
                    <a:prstGeom prst="rect"/>
                  </pic:spPr>
                </pic:pic>
              </a:graphicData>
            </a:graphic>
          </wp:inline>
        </w:drawing>
      </w:r>
    </w:p>
    <w:p>
      <w:pPr>
        <w:spacing w:before="500" w:after="160"/>
        <w:jc w:val="center"/>
      </w:pPr>
      <w:r>
        <w:rPr>
          <w:rFonts w:ascii="Segoe UI" w:hAnsi="Segoe UI"/>
          <w:b/>
          <w:color w:val="162D5F"/>
          <w:sz w:val="76"/>
        </w:rPr>
        <w:t>blynt</w:t>
      </w:r>
    </w:p>
    <w:p>
      <w:pPr>
        <w:spacing w:after="240"/>
        <w:jc w:val="center"/>
      </w:pPr>
      <w:r>
        <w:rPr>
          <w:rFonts w:ascii="Segoe UI" w:hAnsi="Segoe UI"/>
          <w:b/>
          <w:color w:val="162D5F"/>
          <w:sz w:val="32"/>
        </w:rPr>
        <w:t>LEGAL, ISO/IEC 27001 &amp; UK GDPR COMPLIANCE SPECIFICATION</w:t>
      </w:r>
    </w:p>
    <w:p>
      <w:pPr>
        <w:spacing w:after="400"/>
        <w:jc w:val="center"/>
      </w:pPr>
      <w:r>
        <w:rPr>
          <w:rFonts w:ascii="Segoe UI" w:hAnsi="Segoe UI"/>
          <w:color w:val="FF7F6C"/>
          <w:sz w:val="22"/>
        </w:rPr>
        <w:t>UK Companies Act 2006 • Taxes Management Act 1970 6-Year Retention</w:t>
        <w:br/>
        <w:t>HMRC MTD Digital Links • ISO/IEC 27001:2022 ISMS Annex A Controls</w:t>
        <w:br/>
        <w:t>UK GDPR &amp; DPA 2018 Privacy Governance • 72-Hour ICO Breach Notification</w:t>
        <w:br/>
        <w:t>Authoritative Legal &amp; Privacy Standard • October 2026</w:t>
      </w:r>
    </w:p>
    <w:tbl>
      <w:tblPr>
        <w:tblW w:type="auto" w:w="0"/>
        <w:jc w:val="center"/>
        <w:tblLook w:firstColumn="1" w:firstRow="1" w:lastColumn="0" w:lastRow="0" w:noHBand="0" w:noVBand="1" w:val="04A0"/>
      </w:tblPr>
      <w:tblGrid>
        <w:gridCol w:w="9792"/>
      </w:tblGrid>
      <w:tr>
        <w:tc>
          <w:tcPr>
            <w:tcW w:type="dxa" w:w="9792"/>
            <w:shd w:fill="EEF2F9"/>
            <w:tcMar>
              <w:top w:w="100" w:type="dxa"/>
              <w:bottom w:w="100" w:type="dxa"/>
              <w:left w:w="180" w:type="dxa"/>
              <w:right w:w="180" w:type="dxa"/>
            </w:tcMar>
          </w:tcPr>
          <w:p>
            <w:pPr>
              <w:jc w:val="center"/>
            </w:pPr>
            <w:r>
              <w:rPr>
                <w:rFonts w:ascii="Segoe UI" w:hAnsi="Segoe UI"/>
                <w:b/>
                <w:color w:val="162D5F"/>
                <w:sz w:val="21"/>
              </w:rPr>
              <w:t>Statutory Legal, Security &amp; Data Privacy Compliance Operating Standard</w:t>
              <w:br/>
            </w:r>
            <w:r>
              <w:rPr>
                <w:rFonts w:ascii="Segoe UI" w:hAnsi="Segoe UI"/>
                <w:color w:val="475569"/>
                <w:sz w:val="19"/>
              </w:rPr>
              <w:t>Authoritative Manual for General Counsel, DPOs, Compliance Officers, Lead Auditors &amp; Security Architects</w:t>
            </w:r>
          </w:p>
        </w:tc>
      </w:tr>
    </w:tbl>
    <w:tbl>
      <w:tblPr>
        <w:tblW w:type="auto" w:w="0"/>
        <w:jc w:val="center"/>
        <w:tblLook w:firstColumn="1" w:firstRow="1" w:lastColumn="0" w:lastRow="0" w:noHBand="0" w:noVBand="1" w:val="04A0"/>
      </w:tblPr>
      <w:tblGrid>
        <w:gridCol w:w="4896"/>
        <w:gridCol w:w="4896"/>
      </w:tblGrid>
      <w:tr>
        <w:tc>
          <w:tcPr>
            <w:tcW w:type="dxa" w:w="4896"/>
            <w:tcMar>
              <w:top w:w="40" w:type="dxa"/>
              <w:bottom w:w="40" w:type="dxa"/>
              <w:left w:w="80" w:type="dxa"/>
              <w:right w:w="80" w:type="dxa"/>
            </w:tcMar>
          </w:tcPr>
          <w:p>
            <w:r>
              <w:rPr>
                <w:rFonts w:ascii="Segoe UI" w:hAnsi="Segoe UI"/>
                <w:b/>
                <w:color w:val="162D5F"/>
                <w:sz w:val="19"/>
              </w:rPr>
              <w:t>Governing Legal Jurisdiction:</w:t>
            </w:r>
          </w:p>
        </w:tc>
        <w:tc>
          <w:tcPr>
            <w:tcW w:type="dxa" w:w="4896"/>
            <w:tcMar>
              <w:top w:w="40" w:type="dxa"/>
              <w:bottom w:w="40" w:type="dxa"/>
              <w:left w:w="80" w:type="dxa"/>
              <w:right w:w="80" w:type="dxa"/>
            </w:tcMar>
          </w:tcPr>
          <w:p>
            <w:r>
              <w:rPr>
                <w:rFonts w:ascii="Segoe UI" w:hAnsi="Segoe UI"/>
                <w:color w:val="475569"/>
                <w:sz w:val="19"/>
              </w:rPr>
              <w:t>England &amp; Wales (UK Laws &amp; Statutory Instruments)</w:t>
            </w:r>
          </w:p>
        </w:tc>
      </w:tr>
      <w:tr>
        <w:tc>
          <w:tcPr>
            <w:tcW w:type="dxa" w:w="4896"/>
            <w:tcMar>
              <w:top w:w="40" w:type="dxa"/>
              <w:bottom w:w="40" w:type="dxa"/>
              <w:left w:w="80" w:type="dxa"/>
              <w:right w:w="80" w:type="dxa"/>
            </w:tcMar>
          </w:tcPr>
          <w:p>
            <w:r>
              <w:rPr>
                <w:rFonts w:ascii="Segoe UI" w:hAnsi="Segoe UI"/>
                <w:b/>
                <w:color w:val="162D5F"/>
                <w:sz w:val="19"/>
              </w:rPr>
              <w:t>Audience:</w:t>
            </w:r>
          </w:p>
        </w:tc>
        <w:tc>
          <w:tcPr>
            <w:tcW w:type="dxa" w:w="4896"/>
            <w:tcMar>
              <w:top w:w="40" w:type="dxa"/>
              <w:bottom w:w="40" w:type="dxa"/>
              <w:left w:w="80" w:type="dxa"/>
              <w:right w:w="80" w:type="dxa"/>
            </w:tcMar>
          </w:tcPr>
          <w:p>
            <w:r>
              <w:rPr>
                <w:rFonts w:ascii="Segoe UI" w:hAnsi="Segoe UI"/>
                <w:color w:val="475569"/>
                <w:sz w:val="19"/>
              </w:rPr>
              <w:t>Legal Counsel, Data Protection Officers (DPO), CISO, Compliance Auditors</w:t>
            </w:r>
          </w:p>
        </w:tc>
      </w:tr>
      <w:tr>
        <w:tc>
          <w:tcPr>
            <w:tcW w:type="dxa" w:w="4896"/>
            <w:tcMar>
              <w:top w:w="40" w:type="dxa"/>
              <w:bottom w:w="40" w:type="dxa"/>
              <w:left w:w="80" w:type="dxa"/>
              <w:right w:w="80" w:type="dxa"/>
            </w:tcMar>
          </w:tcPr>
          <w:p>
            <w:r>
              <w:rPr>
                <w:rFonts w:ascii="Segoe UI" w:hAnsi="Segoe UI"/>
                <w:b/>
                <w:color w:val="162D5F"/>
                <w:sz w:val="19"/>
              </w:rPr>
              <w:t>Compliance Standards:</w:t>
            </w:r>
          </w:p>
        </w:tc>
        <w:tc>
          <w:tcPr>
            <w:tcW w:type="dxa" w:w="4896"/>
            <w:tcMar>
              <w:top w:w="40" w:type="dxa"/>
              <w:bottom w:w="40" w:type="dxa"/>
              <w:left w:w="80" w:type="dxa"/>
              <w:right w:w="80" w:type="dxa"/>
            </w:tcMar>
          </w:tcPr>
          <w:p>
            <w:r>
              <w:rPr>
                <w:rFonts w:ascii="Segoe UI" w:hAnsi="Segoe UI"/>
                <w:color w:val="475569"/>
                <w:sz w:val="19"/>
              </w:rPr>
              <w:t>ISO/IEC 27001:2022, UK GDPR, DPA 2018, HMRC MTD, Companies Act 2006</w:t>
            </w:r>
          </w:p>
        </w:tc>
      </w:tr>
      <w:tr>
        <w:tc>
          <w:tcPr>
            <w:tcW w:type="dxa" w:w="4896"/>
            <w:tcMar>
              <w:top w:w="40" w:type="dxa"/>
              <w:bottom w:w="40" w:type="dxa"/>
              <w:left w:w="80" w:type="dxa"/>
              <w:right w:w="80" w:type="dxa"/>
            </w:tcMar>
          </w:tcPr>
          <w:p>
            <w:r>
              <w:rPr>
                <w:rFonts w:ascii="Segoe UI" w:hAnsi="Segoe UI"/>
                <w:b/>
                <w:color w:val="162D5F"/>
                <w:sz w:val="19"/>
              </w:rPr>
              <w:t>Document Classification:</w:t>
            </w:r>
          </w:p>
        </w:tc>
        <w:tc>
          <w:tcPr>
            <w:tcW w:type="dxa" w:w="4896"/>
            <w:tcMar>
              <w:top w:w="40" w:type="dxa"/>
              <w:bottom w:w="40" w:type="dxa"/>
              <w:left w:w="80" w:type="dxa"/>
              <w:right w:w="80" w:type="dxa"/>
            </w:tcMar>
          </w:tcPr>
          <w:p>
            <w:r>
              <w:rPr>
                <w:rFonts w:ascii="Segoe UI" w:hAnsi="Segoe UI"/>
                <w:color w:val="475569"/>
                <w:sz w:val="19"/>
              </w:rPr>
              <w:t>Enterprise Regulatory &amp; Legal Operational Standard — Confidential</w:t>
            </w:r>
          </w:p>
        </w:tc>
      </w:tr>
    </w:tbl>
    <w:p>
      <w:r>
        <w:br w:type="page"/>
      </w:r>
    </w:p>
    <w:p>
      <w:pPr>
        <w:spacing w:before="0" w:after="100"/>
      </w:pPr>
      <w:r>
        <w:rPr>
          <w:rFonts w:ascii="Segoe UI" w:hAnsi="Segoe UI"/>
          <w:color w:val="1E293B"/>
          <w:sz w:val="19"/>
        </w:rPr>
      </w:r>
      <w:r>
        <w:rPr>
          <w:rFonts w:ascii="Segoe UI" w:hAnsi="Segoe UI"/>
          <w:b/>
          <w:color w:val="1E293B"/>
          <w:sz w:val="19"/>
        </w:rPr>
        <w:t>Document Version:</w:t>
      </w:r>
      <w:r>
        <w:rPr>
          <w:rFonts w:ascii="Segoe UI" w:hAnsi="Segoe UI"/>
          <w:color w:val="1E293B"/>
          <w:sz w:val="19"/>
        </w:rPr>
        <w:t xml:space="preserve"> 2.0</w:t>
      </w:r>
    </w:p>
    <w:p>
      <w:pPr>
        <w:spacing w:before="0" w:after="100"/>
      </w:pPr>
      <w:r>
        <w:rPr>
          <w:rFonts w:ascii="Segoe UI" w:hAnsi="Segoe UI"/>
          <w:color w:val="1E293B"/>
          <w:sz w:val="19"/>
        </w:rPr>
      </w:r>
      <w:r>
        <w:rPr>
          <w:rFonts w:ascii="Segoe UI" w:hAnsi="Segoe UI"/>
          <w:b/>
          <w:color w:val="1E293B"/>
          <w:sz w:val="19"/>
        </w:rPr>
        <w:t>Status:</w:t>
      </w:r>
      <w:r>
        <w:rPr>
          <w:rFonts w:ascii="Segoe UI" w:hAnsi="Segoe UI"/>
          <w:color w:val="1E293B"/>
          <w:sz w:val="19"/>
        </w:rPr>
        <w:t xml:space="preserve"> Baselined &amp; Approved by General Counsel &amp; CISO</w:t>
      </w:r>
    </w:p>
    <w:p>
      <w:pPr>
        <w:spacing w:before="0" w:after="100"/>
      </w:pPr>
      <w:r>
        <w:rPr>
          <w:rFonts w:ascii="Segoe UI" w:hAnsi="Segoe UI"/>
          <w:color w:val="1E293B"/>
          <w:sz w:val="19"/>
        </w:rPr>
      </w:r>
      <w:r>
        <w:rPr>
          <w:rFonts w:ascii="Segoe UI" w:hAnsi="Segoe UI"/>
          <w:b/>
          <w:color w:val="1E293B"/>
          <w:sz w:val="19"/>
        </w:rPr>
        <w:t>Classification:</w:t>
      </w:r>
      <w:r>
        <w:rPr>
          <w:rFonts w:ascii="Segoe UI" w:hAnsi="Segoe UI"/>
          <w:color w:val="1E293B"/>
          <w:sz w:val="19"/>
        </w:rPr>
        <w:t xml:space="preserve"> Enterprise Legal &amp; Regulatory Standard</w:t>
      </w:r>
    </w:p>
    <w:p>
      <w:pPr>
        <w:spacing w:before="0" w:after="100"/>
      </w:pPr>
      <w:r>
        <w:rPr>
          <w:rFonts w:ascii="Segoe UI" w:hAnsi="Segoe UI"/>
          <w:color w:val="1E293B"/>
          <w:sz w:val="19"/>
        </w:rPr>
      </w:r>
      <w:r>
        <w:rPr>
          <w:rFonts w:ascii="Segoe UI" w:hAnsi="Segoe UI"/>
          <w:b/>
          <w:color w:val="1E293B"/>
          <w:sz w:val="19"/>
        </w:rPr>
        <w:t>Target Audience:</w:t>
      </w:r>
      <w:r>
        <w:rPr>
          <w:rFonts w:ascii="Segoe UI" w:hAnsi="Segoe UI"/>
          <w:color w:val="1E293B"/>
          <w:sz w:val="19"/>
        </w:rPr>
        <w:t xml:space="preserve"> Legal Counsel, Data Protection Officers (DPOs), Chief Information Security Officers (CISOs), Lead External Auditors, Compliance Engineers</w:t>
      </w:r>
    </w:p>
    <w:p>
      <w:pPr>
        <w:spacing w:before="0" w:after="100"/>
      </w:pPr>
      <w:r>
        <w:rPr>
          <w:rFonts w:ascii="Segoe UI" w:hAnsi="Segoe UI"/>
          <w:color w:val="1E293B"/>
          <w:sz w:val="19"/>
        </w:rPr>
        <w:t>---</w:t>
      </w:r>
    </w:p>
    <w:p>
      <w:pPr>
        <w:keepNext/>
        <w:spacing w:before="320" w:after="120"/>
      </w:pPr>
      <w:r>
        <w:rPr>
          <w:rFonts w:ascii="Segoe UI" w:hAnsi="Segoe UI"/>
          <w:b/>
          <w:color w:val="162D5F"/>
          <w:sz w:val="30"/>
        </w:rPr>
        <w:t>1. Executive Legal &amp; Regulatory Governance Overview</w:t>
      </w:r>
    </w:p>
    <w:p>
      <w:pPr>
        <w:spacing w:after="80"/>
      </w:pPr>
    </w:p>
    <w:p>
      <w:pPr>
        <w:spacing w:after="80"/>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figure_legal_iso27001_gdpr_framework.png"/>
                    <pic:cNvPicPr/>
                  </pic:nvPicPr>
                  <pic:blipFill>
                    <a:blip r:embed="rId10"/>
                    <a:stretch>
                      <a:fillRect/>
                    </a:stretch>
                  </pic:blipFill>
                  <pic:spPr>
                    <a:xfrm>
                      <a:off x="0" y="0"/>
                      <a:ext cx="5852160" cy="3291840"/>
                    </a:xfrm>
                    <a:prstGeom prst="rect"/>
                  </pic:spPr>
                </pic:pic>
              </a:graphicData>
            </a:graphic>
          </wp:inline>
        </w:drawing>
      </w:r>
    </w:p>
    <w:p>
      <w:pPr>
        <w:spacing w:after="200"/>
        <w:jc w:val="center"/>
      </w:pPr>
      <w:r>
        <w:rPr>
          <w:rFonts w:ascii="Segoe UI" w:hAnsi="Segoe UI"/>
          <w:i/>
          <w:color w:val="475569"/>
          <w:sz w:val="18"/>
        </w:rPr>
        <w:t>Figure LAW-1: blynt Legal, ISO/IEC 27001 &amp; UK GDPR Governance Architecture</w:t>
      </w:r>
    </w:p>
    <w:p>
      <w:pPr>
        <w:keepNext/>
        <w:spacing w:before="240" w:after="80"/>
      </w:pPr>
      <w:r>
        <w:rPr>
          <w:rFonts w:ascii="Segoe UI" w:hAnsi="Segoe UI"/>
          <w:b/>
          <w:color w:val="FF7F6C"/>
          <w:sz w:val="24"/>
        </w:rPr>
        <w:t>1.1 Corporate Regulatory Commitment &amp; Mandate</w:t>
      </w:r>
    </w:p>
    <w:p>
      <w:pPr>
        <w:spacing w:before="0" w:after="100"/>
      </w:pPr>
      <w:r>
        <w:rPr>
          <w:rFonts w:ascii="Segoe UI" w:hAnsi="Segoe UI"/>
          <w:color w:val="1E293B"/>
          <w:sz w:val="19"/>
        </w:rPr>
        <w:t xml:space="preserve">As an enterprise-grade cloud accounting and financial operating system, </w:t>
      </w:r>
      <w:r>
        <w:rPr>
          <w:rFonts w:ascii="Segoe UI" w:hAnsi="Segoe UI"/>
          <w:b/>
          <w:color w:val="1E293B"/>
          <w:sz w:val="19"/>
        </w:rPr>
        <w:t>blynt</w:t>
      </w:r>
      <w:r>
        <w:rPr>
          <w:rFonts w:ascii="Segoe UI" w:hAnsi="Segoe UI"/>
          <w:color w:val="1E293B"/>
          <w:sz w:val="19"/>
        </w:rPr>
        <w:t xml:space="preserve"> processes, stores, and generates statutory financial records that directly underpin the corporate filings, tax declarations, and legal standing of business enterprises. Consequently, blynt is engineered to comply with the most demanding legal, data protection, and security regulations governing the United Kingdom, European Union, and international commercial environments.</w:t>
      </w:r>
    </w:p>
    <w:p>
      <w:pPr>
        <w:spacing w:before="0" w:after="100"/>
      </w:pPr>
      <w:r>
        <w:rPr>
          <w:rFonts w:ascii="Segoe UI" w:hAnsi="Segoe UI"/>
          <w:color w:val="1E293B"/>
          <w:sz w:val="19"/>
        </w:rPr>
        <w:t>The legal and regulatory posture of blynt rests upon four uncompromising pillars:</w:t>
      </w:r>
    </w:p>
    <w:p>
      <w:pPr>
        <w:spacing w:before="0" w:after="100"/>
      </w:pPr>
      <w:r>
        <w:rPr>
          <w:rFonts w:ascii="Segoe UI" w:hAnsi="Segoe UI"/>
          <w:color w:val="1E293B"/>
          <w:sz w:val="19"/>
        </w:rPr>
        <w:t xml:space="preserve">1. </w:t>
      </w:r>
      <w:r>
        <w:rPr>
          <w:rFonts w:ascii="Segoe UI" w:hAnsi="Segoe UI"/>
          <w:b/>
          <w:color w:val="1E293B"/>
          <w:sz w:val="19"/>
        </w:rPr>
        <w:t>Statutory UK Financial Law:</w:t>
      </w:r>
      <w:r>
        <w:rPr>
          <w:rFonts w:ascii="Segoe UI" w:hAnsi="Segoe UI"/>
          <w:color w:val="1E293B"/>
          <w:sz w:val="19"/>
        </w:rPr>
        <w:t xml:space="preserve"> Full compliance with the Companies Act 2006, the Taxes Management Act 1970, and HMRC Making Tax Digital (MTD) statutory instruments.</w:t>
      </w:r>
    </w:p>
    <w:p>
      <w:pPr>
        <w:spacing w:before="0" w:after="100"/>
      </w:pPr>
      <w:r>
        <w:rPr>
          <w:rFonts w:ascii="Segoe UI" w:hAnsi="Segoe UI"/>
          <w:color w:val="1E293B"/>
          <w:sz w:val="19"/>
        </w:rPr>
        <w:t xml:space="preserve">2. </w:t>
      </w:r>
      <w:r>
        <w:rPr>
          <w:rFonts w:ascii="Segoe UI" w:hAnsi="Segoe UI"/>
          <w:b/>
          <w:color w:val="1E293B"/>
          <w:sz w:val="19"/>
        </w:rPr>
        <w:t>ISO/IEC 27001:2022 Certification:</w:t>
      </w:r>
      <w:r>
        <w:rPr>
          <w:rFonts w:ascii="Segoe UI" w:hAnsi="Segoe UI"/>
          <w:color w:val="1E293B"/>
          <w:sz w:val="19"/>
        </w:rPr>
        <w:t xml:space="preserve"> Comprehensive implementation of an Information Security Management System (ISMS) across all 93 Annex A controls.</w:t>
      </w:r>
    </w:p>
    <w:p>
      <w:pPr>
        <w:spacing w:before="0" w:after="100"/>
      </w:pPr>
      <w:r>
        <w:rPr>
          <w:rFonts w:ascii="Segoe UI" w:hAnsi="Segoe UI"/>
          <w:color w:val="1E293B"/>
          <w:sz w:val="19"/>
        </w:rPr>
        <w:t xml:space="preserve">3. </w:t>
      </w:r>
      <w:r>
        <w:rPr>
          <w:rFonts w:ascii="Segoe UI" w:hAnsi="Segoe UI"/>
          <w:b/>
          <w:color w:val="1E293B"/>
          <w:sz w:val="19"/>
        </w:rPr>
        <w:t>UK GDPR &amp; Data Protection Act 2018:</w:t>
      </w:r>
      <w:r>
        <w:rPr>
          <w:rFonts w:ascii="Segoe UI" w:hAnsi="Segoe UI"/>
          <w:color w:val="1E293B"/>
          <w:sz w:val="19"/>
        </w:rPr>
        <w:t xml:space="preserve"> Complete operational alignment with privacy principles, data subject rights execution, and mandatory 72-hour ICO breach notification protocols.</w:t>
      </w:r>
    </w:p>
    <w:p>
      <w:pPr>
        <w:spacing w:before="0" w:after="100"/>
      </w:pPr>
      <w:r>
        <w:rPr>
          <w:rFonts w:ascii="Segoe UI" w:hAnsi="Segoe UI"/>
          <w:color w:val="1E293B"/>
          <w:sz w:val="19"/>
        </w:rPr>
        <w:t xml:space="preserve">4. </w:t>
      </w:r>
      <w:r>
        <w:rPr>
          <w:rFonts w:ascii="Segoe UI" w:hAnsi="Segoe UI"/>
          <w:b/>
          <w:color w:val="1E293B"/>
          <w:sz w:val="19"/>
        </w:rPr>
        <w:t>Anti-Money Laundering &amp; Economic Sanctions:</w:t>
      </w:r>
      <w:r>
        <w:rPr>
          <w:rFonts w:ascii="Segoe UI" w:hAnsi="Segoe UI"/>
          <w:color w:val="1E293B"/>
          <w:sz w:val="19"/>
        </w:rPr>
        <w:t xml:space="preserve"> Systematic integration of customer due diligence, sanctions screening, and audit trail immutability.</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w:t>
              <w:br/>
              <w:t>|                                  THE BLYNT REGULATORY MATRIX                                     |</w:t>
              <w:br/>
              <w:t>+---------------------+----------------------------+-----------------------------------------------+</w:t>
              <w:br/>
              <w:t>| Regulation / Standard| Primary Governing Authority| Statutory Scope in blynt                      |</w:t>
              <w:br/>
              <w:t>+---------------------+----------------------------+-----------------------------------------------+</w:t>
              <w:br/>
              <w:t>| Companies Act 2006  | Companies House / UK Gov   | Accurate financial records, ss. 386-388       |</w:t>
              <w:br/>
              <w:t>| Taxes Management Act| HM Revenue &amp; Customs (HMRC)| 6-Year mandatory retention of books &amp; vouchers|</w:t>
              <w:br/>
              <w:t>| VAT Act 1994 (MTD)  | HM Revenue &amp; Customs (HMRC)| Digital links, API anti-fraud headers         |</w:t>
              <w:br/>
              <w:t>| ISO/IEC 27001:2022  | UKAS Accredited Body       | ISMS, 93 Annex A controls, Stage 2 Audits     |</w:t>
              <w:br/>
              <w:t>| UK GDPR / DPA 2018  | Information Commissioner   | Controller/Processor duties, DSAR, 72h breach |</w:t>
              <w:br/>
              <w:t>| MLR 2017 &amp; Sanctions| OFSI / NCA                 | Anti-money laundering &amp; sanctions compliance  |</w:t>
              <w:br/>
              <w:t>+---------------------+----------------------------+-----------------------------------------------+</w:t>
            </w:r>
          </w:p>
        </w:tc>
      </w:tr>
    </w:tbl>
    <w:p>
      <w:pPr>
        <w:spacing w:after="80"/>
      </w:pPr>
    </w:p>
    <w:p>
      <w:pPr>
        <w:keepNext/>
        <w:spacing w:before="240" w:after="80"/>
      </w:pPr>
      <w:r>
        <w:rPr>
          <w:rFonts w:ascii="Segoe UI" w:hAnsi="Segoe UI"/>
          <w:b/>
          <w:color w:val="FF7F6C"/>
          <w:sz w:val="24"/>
        </w:rPr>
        <w:t>1.2 Compliance Governance Committee (CGC)</w:t>
      </w:r>
    </w:p>
    <w:p>
      <w:pPr>
        <w:spacing w:before="0" w:after="100"/>
      </w:pPr>
      <w:r>
        <w:rPr>
          <w:rFonts w:ascii="Segoe UI" w:hAnsi="Segoe UI"/>
          <w:color w:val="1E293B"/>
          <w:sz w:val="19"/>
        </w:rPr>
        <w:t xml:space="preserve">To enforce continuous accountability, blynt maintains an executive-level </w:t>
      </w:r>
      <w:r>
        <w:rPr>
          <w:rFonts w:ascii="Segoe UI" w:hAnsi="Segoe UI"/>
          <w:b/>
          <w:color w:val="1E293B"/>
          <w:sz w:val="19"/>
        </w:rPr>
        <w:t>Compliance Governance Committee (CGC)</w:t>
      </w:r>
      <w:r>
        <w:rPr>
          <w:rFonts w:ascii="Segoe UI" w:hAnsi="Segoe UI"/>
          <w:color w:val="1E293B"/>
          <w:sz w:val="19"/>
        </w:rPr>
        <w:t xml:space="preserve"> that convenes monthly. The CGC comprises:</w:t>
      </w:r>
    </w:p>
    <w:p>
      <w:pPr>
        <w:pStyle w:val="ListBullet"/>
        <w:spacing w:before="0" w:after="40"/>
      </w:pPr>
      <w:r>
        <w:rPr>
          <w:rFonts w:ascii="Segoe UI" w:hAnsi="Segoe UI"/>
          <w:color w:val="1E293B"/>
          <w:sz w:val="19"/>
        </w:rPr>
      </w:r>
      <w:r>
        <w:rPr>
          <w:rFonts w:ascii="Segoe UI" w:hAnsi="Segoe UI"/>
          <w:b/>
          <w:color w:val="1E293B"/>
          <w:sz w:val="19"/>
        </w:rPr>
        <w:t>Chief Executive Officer (Chair)</w:t>
      </w:r>
      <w:r>
        <w:rPr>
          <w:rFonts w:ascii="Segoe UI" w:hAnsi="Segoe UI"/>
          <w:color w:val="1E293B"/>
          <w:sz w:val="19"/>
        </w:rPr>
      </w:r>
    </w:p>
    <w:p>
      <w:pPr>
        <w:pStyle w:val="ListBullet"/>
        <w:spacing w:before="0" w:after="40"/>
      </w:pPr>
      <w:r>
        <w:rPr>
          <w:rFonts w:ascii="Segoe UI" w:hAnsi="Segoe UI"/>
          <w:color w:val="1E293B"/>
          <w:sz w:val="19"/>
        </w:rPr>
      </w:r>
      <w:r>
        <w:rPr>
          <w:rFonts w:ascii="Segoe UI" w:hAnsi="Segoe UI"/>
          <w:b/>
          <w:color w:val="1E293B"/>
          <w:sz w:val="19"/>
        </w:rPr>
        <w:t>General Counsel &amp; Head of Legal</w:t>
      </w:r>
      <w:r>
        <w:rPr>
          <w:rFonts w:ascii="Segoe UI" w:hAnsi="Segoe UI"/>
          <w:color w:val="1E293B"/>
          <w:sz w:val="19"/>
        </w:rPr>
      </w:r>
    </w:p>
    <w:p>
      <w:pPr>
        <w:pStyle w:val="ListBullet"/>
        <w:spacing w:before="0" w:after="40"/>
      </w:pPr>
      <w:r>
        <w:rPr>
          <w:rFonts w:ascii="Segoe UI" w:hAnsi="Segoe UI"/>
          <w:color w:val="1E293B"/>
          <w:sz w:val="19"/>
        </w:rPr>
      </w:r>
      <w:r>
        <w:rPr>
          <w:rFonts w:ascii="Segoe UI" w:hAnsi="Segoe UI"/>
          <w:b/>
          <w:color w:val="1E293B"/>
          <w:sz w:val="19"/>
        </w:rPr>
        <w:t>Chief Information Security Officer (CISO)</w:t>
      </w:r>
      <w:r>
        <w:rPr>
          <w:rFonts w:ascii="Segoe UI" w:hAnsi="Segoe UI"/>
          <w:color w:val="1E293B"/>
          <w:sz w:val="19"/>
        </w:rPr>
      </w:r>
    </w:p>
    <w:p>
      <w:pPr>
        <w:pStyle w:val="ListBullet"/>
        <w:spacing w:before="0" w:after="40"/>
      </w:pPr>
      <w:r>
        <w:rPr>
          <w:rFonts w:ascii="Segoe UI" w:hAnsi="Segoe UI"/>
          <w:color w:val="1E293B"/>
          <w:sz w:val="19"/>
        </w:rPr>
      </w:r>
      <w:r>
        <w:rPr>
          <w:rFonts w:ascii="Segoe UI" w:hAnsi="Segoe UI"/>
          <w:b/>
          <w:color w:val="1E293B"/>
          <w:sz w:val="19"/>
        </w:rPr>
        <w:t>Data Protection Officer (DPO)</w:t>
      </w:r>
      <w:r>
        <w:rPr>
          <w:rFonts w:ascii="Segoe UI" w:hAnsi="Segoe UI"/>
          <w:color w:val="1E293B"/>
          <w:sz w:val="19"/>
        </w:rPr>
      </w:r>
    </w:p>
    <w:p>
      <w:pPr>
        <w:pStyle w:val="ListBullet"/>
        <w:spacing w:before="0" w:after="40"/>
      </w:pPr>
      <w:r>
        <w:rPr>
          <w:rFonts w:ascii="Segoe UI" w:hAnsi="Segoe UI"/>
          <w:color w:val="1E293B"/>
          <w:sz w:val="19"/>
        </w:rPr>
      </w:r>
      <w:r>
        <w:rPr>
          <w:rFonts w:ascii="Segoe UI" w:hAnsi="Segoe UI"/>
          <w:b/>
          <w:color w:val="1E293B"/>
          <w:sz w:val="19"/>
        </w:rPr>
        <w:t>VP of Engineering &amp; Lead Architect</w:t>
      </w:r>
      <w:r>
        <w:rPr>
          <w:rFonts w:ascii="Segoe UI" w:hAnsi="Segoe UI"/>
          <w:color w:val="1E293B"/>
          <w:sz w:val="19"/>
        </w:rPr>
      </w:r>
    </w:p>
    <w:p>
      <w:pPr>
        <w:spacing w:before="0" w:after="100"/>
      </w:pPr>
      <w:r>
        <w:rPr>
          <w:rFonts w:ascii="Segoe UI" w:hAnsi="Segoe UI"/>
          <w:color w:val="1E293B"/>
          <w:sz w:val="19"/>
        </w:rPr>
        <w:t>All substantive schema alterations affecting ledger records, data retention configurations, or third-party sub-processor integrations require unanimous written sign-off from both General Counsel and the CISO prior to production deployment.</w:t>
      </w:r>
    </w:p>
    <w:p>
      <w:pPr>
        <w:spacing w:before="0" w:after="100"/>
      </w:pPr>
      <w:r>
        <w:rPr>
          <w:rFonts w:ascii="Segoe UI" w:hAnsi="Segoe UI"/>
          <w:color w:val="1E293B"/>
          <w:sz w:val="19"/>
        </w:rPr>
        <w:t>---</w:t>
      </w:r>
    </w:p>
    <w:p>
      <w:pPr>
        <w:keepNext/>
        <w:spacing w:before="320" w:after="120"/>
      </w:pPr>
      <w:r>
        <w:rPr>
          <w:rFonts w:ascii="Segoe UI" w:hAnsi="Segoe UI"/>
          <w:b/>
          <w:color w:val="162D5F"/>
          <w:sz w:val="30"/>
        </w:rPr>
        <w:t>2. Statutory UK Financial &amp; Corporate Legal Framework</w:t>
      </w:r>
    </w:p>
    <w:p>
      <w:pPr>
        <w:keepNext/>
        <w:spacing w:before="240" w:after="80"/>
      </w:pPr>
      <w:r>
        <w:rPr>
          <w:rFonts w:ascii="Segoe UI" w:hAnsi="Segoe UI"/>
          <w:b/>
          <w:color w:val="FF7F6C"/>
          <w:sz w:val="24"/>
        </w:rPr>
        <w:t>2.1 Companies Act 2006 (Sections 386–388: Duty to Keep Accounting Records)</w:t>
      </w:r>
    </w:p>
    <w:p>
      <w:pPr>
        <w:spacing w:before="0" w:after="100"/>
      </w:pPr>
      <w:r>
        <w:rPr>
          <w:rFonts w:ascii="Segoe UI" w:hAnsi="Segoe UI"/>
          <w:color w:val="1E293B"/>
          <w:sz w:val="19"/>
        </w:rPr>
        <w:t>Under Sections 386 through 388 of the UK Companies Act 2006, every company registered in England, Wales, Scotland, and Northern Ireland is under a strict statutory duty to maintain accounting records:</w:t>
      </w:r>
    </w:p>
    <w:p>
      <w:pPr>
        <w:pStyle w:val="ListBullet"/>
        <w:spacing w:before="0" w:after="40"/>
      </w:pPr>
      <w:r>
        <w:rPr>
          <w:rFonts w:ascii="Segoe UI" w:hAnsi="Segoe UI"/>
          <w:color w:val="1E293B"/>
          <w:sz w:val="19"/>
        </w:rPr>
      </w:r>
      <w:r>
        <w:rPr>
          <w:rFonts w:ascii="Segoe UI" w:hAnsi="Segoe UI"/>
          <w:b/>
          <w:color w:val="1E293B"/>
          <w:sz w:val="19"/>
        </w:rPr>
        <w:t>Section 386(1):</w:t>
      </w:r>
      <w:r>
        <w:rPr>
          <w:rFonts w:ascii="Segoe UI" w:hAnsi="Segoe UI"/>
          <w:color w:val="1E293B"/>
          <w:sz w:val="19"/>
        </w:rPr>
        <w:t xml:space="preserve"> Records must be sufficient to show and explain the company's transactions.</w:t>
      </w:r>
    </w:p>
    <w:p>
      <w:pPr>
        <w:pStyle w:val="ListBullet"/>
        <w:spacing w:before="0" w:after="40"/>
      </w:pPr>
      <w:r>
        <w:rPr>
          <w:rFonts w:ascii="Segoe UI" w:hAnsi="Segoe UI"/>
          <w:color w:val="1E293B"/>
          <w:sz w:val="19"/>
        </w:rPr>
      </w:r>
      <w:r>
        <w:rPr>
          <w:rFonts w:ascii="Segoe UI" w:hAnsi="Segoe UI"/>
          <w:b/>
          <w:color w:val="1E293B"/>
          <w:sz w:val="19"/>
        </w:rPr>
        <w:t>Section 386(2)(a):</w:t>
      </w:r>
      <w:r>
        <w:rPr>
          <w:rFonts w:ascii="Segoe UI" w:hAnsi="Segoe UI"/>
          <w:color w:val="1E293B"/>
          <w:sz w:val="19"/>
        </w:rPr>
        <w:t xml:space="preserve"> Records must disclose with reasonable accuracy, at any time, the financial position of the company at that time.</w:t>
      </w:r>
    </w:p>
    <w:p>
      <w:pPr>
        <w:pStyle w:val="ListBullet"/>
        <w:spacing w:before="0" w:after="40"/>
      </w:pPr>
      <w:r>
        <w:rPr>
          <w:rFonts w:ascii="Segoe UI" w:hAnsi="Segoe UI"/>
          <w:color w:val="1E293B"/>
          <w:sz w:val="19"/>
        </w:rPr>
      </w:r>
      <w:r>
        <w:rPr>
          <w:rFonts w:ascii="Segoe UI" w:hAnsi="Segoe UI"/>
          <w:b/>
          <w:color w:val="1E293B"/>
          <w:sz w:val="19"/>
        </w:rPr>
        <w:t>Section 386(2)(b):</w:t>
      </w:r>
      <w:r>
        <w:rPr>
          <w:rFonts w:ascii="Segoe UI" w:hAnsi="Segoe UI"/>
          <w:color w:val="1E293B"/>
          <w:sz w:val="19"/>
        </w:rPr>
        <w:t xml:space="preserve"> Records must enable the directors to ensure that any balance sheet and profit and loss account prepared complies with statutory requirements.</w:t>
      </w:r>
    </w:p>
    <w:p>
      <w:pPr>
        <w:spacing w:before="0" w:after="100"/>
      </w:pPr>
      <w:r>
        <w:rPr>
          <w:rFonts w:ascii="Segoe UI" w:hAnsi="Segoe UI"/>
          <w:color w:val="1E293B"/>
          <w:sz w:val="19"/>
        </w:rPr>
      </w:r>
      <w:r>
        <w:rPr>
          <w:rFonts w:ascii="Segoe UI" w:hAnsi="Segoe UI"/>
          <w:b/>
          <w:color w:val="1E293B"/>
          <w:sz w:val="19"/>
        </w:rPr>
        <w:t>Technical Enforcement in blynt:</w:t>
      </w:r>
      <w:r>
        <w:rPr>
          <w:rFonts w:ascii="Segoe UI" w:hAnsi="Segoe UI"/>
          <w:color w:val="1E293B"/>
          <w:sz w:val="19"/>
        </w:rPr>
      </w:r>
    </w:p>
    <w:p>
      <w:pPr>
        <w:pStyle w:val="ListBullet"/>
        <w:spacing w:before="0" w:after="40"/>
      </w:pPr>
      <w:r>
        <w:rPr>
          <w:rFonts w:ascii="Segoe UI" w:hAnsi="Segoe UI"/>
          <w:color w:val="1E293B"/>
          <w:sz w:val="19"/>
        </w:rPr>
      </w:r>
      <w:r>
        <w:rPr>
          <w:rFonts w:ascii="Segoe UI" w:hAnsi="Segoe UI"/>
          <w:b/>
          <w:color w:val="1E293B"/>
          <w:sz w:val="19"/>
        </w:rPr>
        <w:t>Real-Time Trial Balance Rollup:</w:t>
      </w:r>
      <w:r>
        <w:rPr>
          <w:rFonts w:ascii="Segoe UI" w:hAnsi="Segoe UI"/>
          <w:color w:val="1E293B"/>
          <w:sz w:val="19"/>
        </w:rPr>
        <w:t xml:space="preserve"> blynt maintains continuous real-time balance calculations. At any arbitrary timestamp, directors can generate a mathematically verified Trial Balance, Balance Sheet, and P&amp;L statement without batch synchronization delays.</w:t>
      </w:r>
    </w:p>
    <w:p>
      <w:pPr>
        <w:pStyle w:val="ListBullet"/>
        <w:spacing w:before="0" w:after="40"/>
      </w:pPr>
      <w:r>
        <w:rPr>
          <w:rFonts w:ascii="Segoe UI" w:hAnsi="Segoe UI"/>
          <w:color w:val="1E293B"/>
          <w:sz w:val="19"/>
        </w:rPr>
      </w:r>
      <w:r>
        <w:rPr>
          <w:rFonts w:ascii="Segoe UI" w:hAnsi="Segoe UI"/>
          <w:b/>
          <w:color w:val="1E293B"/>
          <w:sz w:val="19"/>
        </w:rPr>
        <w:t>Prohibition of Ledger Erasure:</w:t>
      </w:r>
      <w:r>
        <w:rPr>
          <w:rFonts w:ascii="Segoe UI" w:hAnsi="Segoe UI"/>
          <w:color w:val="1E293B"/>
          <w:sz w:val="19"/>
        </w:rPr>
        <w:t xml:space="preserve"> Journal entries committed to persistent storage cannot be deleted, updated in place, or truncated. Any rectification must occur via compensatory, chronologically stamped reversing entries (`VOID_ADJUSTMENT`), satisfying Section 388 requirements for historical traceability.</w:t>
      </w:r>
    </w:p>
    <w:p>
      <w:pPr>
        <w:keepNext/>
        <w:spacing w:before="240" w:after="80"/>
      </w:pPr>
      <w:r>
        <w:rPr>
          <w:rFonts w:ascii="Segoe UI" w:hAnsi="Segoe UI"/>
          <w:b/>
          <w:color w:val="FF7F6C"/>
          <w:sz w:val="24"/>
        </w:rPr>
        <w:t>2.2 Taxes Management Act 1970 (TMA 1970 s. 12B) &amp; Statutory 6-Year Retention</w:t>
      </w:r>
    </w:p>
    <w:p>
      <w:pPr>
        <w:spacing w:before="0" w:after="100"/>
      </w:pPr>
      <w:r>
        <w:rPr>
          <w:rFonts w:ascii="Segoe UI" w:hAnsi="Segoe UI"/>
          <w:color w:val="1E293B"/>
          <w:sz w:val="19"/>
        </w:rPr>
        <w:t xml:space="preserve">Under Section 12B of the Taxes Management Act 1970 and Schedule 11 of the Value Added Tax Act 1994, businesses must preserve all statutory books, accounts, invoices, credit notes, bank statements, and supporting vouchers for a </w:t>
      </w:r>
      <w:r>
        <w:rPr>
          <w:rFonts w:ascii="Segoe UI" w:hAnsi="Segoe UI"/>
          <w:b/>
          <w:color w:val="1E293B"/>
          <w:sz w:val="19"/>
        </w:rPr>
        <w:t>minimum statutory period of 6 years</w:t>
      </w:r>
      <w:r>
        <w:rPr>
          <w:rFonts w:ascii="Segoe UI" w:hAnsi="Segoe UI"/>
          <w:color w:val="1E293B"/>
          <w:sz w:val="19"/>
        </w:rPr>
        <w:t xml:space="preserve"> following the end of the relevant tax or accounting period.</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w:t>
              <w:br/>
              <w:t>|                                STATUTORY 6-YEAR RETENTION LIFECYCLE                              |</w:t>
              <w:br/>
              <w:t>|                                                                                                  |</w:t>
              <w:br/>
              <w:t>|  Tax Year End (T)                                                                                |</w:t>
              <w:br/>
              <w:t>|  |                                                                                               |</w:t>
              <w:br/>
              <w:t>|  v                                                                                               |</w:t>
              <w:br/>
              <w:t>|  [=========================== MANDATORY STATUTORY RETENTION ===========================]         |</w:t>
              <w:br/>
              <w:t>|  Year 1       Year 2       Year 3       Year 4       Year 5       Year 6       Year 6 + 1 Day    |</w:t>
              <w:br/>
              <w:t>|  Active       Active       Active       Active       Active       Active       Eligible for      |</w:t>
              <w:br/>
              <w:t>|  Read/Write   Archived     Archived     Archived     Archived     WORM Lock    Secure Destruction|</w:t>
              <w:br/>
              <w:t>|                                                                                                  |</w:t>
              <w:br/>
              <w:t>|  * Note: Under UK GDPR Art. 17(3)(b), requests for erasure are legally blocked during Years 1-6. |</w:t>
              <w:br/>
              <w:t>+--------------------------------------------------------------------------------------------------+</w:t>
            </w:r>
          </w:p>
        </w:tc>
      </w:tr>
    </w:tbl>
    <w:p>
      <w:pPr>
        <w:spacing w:after="80"/>
      </w:pPr>
    </w:p>
    <w:p>
      <w:pPr>
        <w:spacing w:before="0" w:after="100"/>
      </w:pPr>
      <w:r>
        <w:rPr>
          <w:rFonts w:ascii="Segoe UI" w:hAnsi="Segoe UI"/>
          <w:color w:val="1E293B"/>
          <w:sz w:val="19"/>
        </w:rPr>
      </w:r>
      <w:r>
        <w:rPr>
          <w:rFonts w:ascii="Segoe UI" w:hAnsi="Segoe UI"/>
          <w:b/>
          <w:color w:val="1E293B"/>
          <w:sz w:val="19"/>
        </w:rPr>
        <w:t>Technical Enforcement in blynt:</w:t>
      </w:r>
      <w:r>
        <w:rPr>
          <w:rFonts w:ascii="Segoe UI" w:hAnsi="Segoe UI"/>
          <w:color w:val="1E293B"/>
          <w:sz w:val="19"/>
        </w:rPr>
      </w:r>
    </w:p>
    <w:p>
      <w:pPr>
        <w:pStyle w:val="ListBullet"/>
        <w:spacing w:before="0" w:after="40"/>
      </w:pPr>
      <w:r>
        <w:rPr>
          <w:rFonts w:ascii="Segoe UI" w:hAnsi="Segoe UI"/>
          <w:color w:val="1E293B"/>
          <w:sz w:val="19"/>
        </w:rPr>
      </w:r>
      <w:r>
        <w:rPr>
          <w:rFonts w:ascii="Segoe UI" w:hAnsi="Segoe UI"/>
          <w:b/>
          <w:color w:val="1E293B"/>
          <w:sz w:val="19"/>
        </w:rPr>
        <w:t>WORM Storage Architecture:</w:t>
      </w:r>
      <w:r>
        <w:rPr>
          <w:rFonts w:ascii="Segoe UI" w:hAnsi="Segoe UI"/>
          <w:color w:val="1E293B"/>
          <w:sz w:val="19"/>
        </w:rPr>
        <w:t xml:space="preserve"> Invoices, journal entries, and PDF artifacts are stored in AWS S3 buckets configured with </w:t>
      </w:r>
      <w:r>
        <w:rPr>
          <w:rFonts w:ascii="Segoe UI" w:hAnsi="Segoe UI"/>
          <w:b/>
          <w:color w:val="1E293B"/>
          <w:sz w:val="19"/>
        </w:rPr>
        <w:t>Object Lock in Compliance Mode</w:t>
      </w:r>
      <w:r>
        <w:rPr>
          <w:rFonts w:ascii="Segoe UI" w:hAnsi="Segoe UI"/>
          <w:color w:val="1E293B"/>
          <w:sz w:val="19"/>
        </w:rPr>
        <w:t>. Neither tenant administrators nor privileged blynt support engineers can overwrite or delete objects during the 6-year retention retention timer.</w:t>
      </w:r>
    </w:p>
    <w:p>
      <w:pPr>
        <w:pStyle w:val="ListBullet"/>
        <w:spacing w:before="0" w:after="40"/>
      </w:pPr>
      <w:r>
        <w:rPr>
          <w:rFonts w:ascii="Segoe UI" w:hAnsi="Segoe UI"/>
          <w:color w:val="1E293B"/>
          <w:sz w:val="19"/>
        </w:rPr>
      </w:r>
      <w:r>
        <w:rPr>
          <w:rFonts w:ascii="Segoe UI" w:hAnsi="Segoe UI"/>
          <w:b/>
          <w:color w:val="1E293B"/>
          <w:sz w:val="19"/>
        </w:rPr>
        <w:t>Legal Hold Mechanism:</w:t>
      </w:r>
      <w:r>
        <w:rPr>
          <w:rFonts w:ascii="Segoe UI" w:hAnsi="Segoe UI"/>
          <w:color w:val="1E293B"/>
          <w:sz w:val="19"/>
        </w:rPr>
        <w:t xml:space="preserve"> In the event of active litigation, HMRC tax inquiry, or regulatory investigation, authorized legal officers can apply an immutable `LegalHoldFlag` on tenant data, indefinitely freezing all automated lifecycle purging.</w:t>
      </w:r>
    </w:p>
    <w:p>
      <w:pPr>
        <w:keepNext/>
        <w:spacing w:before="240" w:after="80"/>
      </w:pPr>
      <w:r>
        <w:rPr>
          <w:rFonts w:ascii="Segoe UI" w:hAnsi="Segoe UI"/>
          <w:b/>
          <w:color w:val="FF7F6C"/>
          <w:sz w:val="24"/>
        </w:rPr>
        <w:t>2.3 Value Added Tax Act 1994 &amp; Making Tax Digital (MTD) Regulations 2018</w:t>
      </w:r>
    </w:p>
    <w:p>
      <w:pPr>
        <w:spacing w:before="0" w:after="100"/>
      </w:pPr>
      <w:r>
        <w:rPr>
          <w:rFonts w:ascii="Segoe UI" w:hAnsi="Segoe UI"/>
          <w:color w:val="1E293B"/>
          <w:sz w:val="19"/>
        </w:rPr>
        <w:t>The VAT Regulations 1995 (as amended by SI 2018/261) mandate that all VAT-registered entities must maintain electronic business records and submit periodic VAT returns using functional compatible software communicating via the HMRC Making Tax Digital API.</w:t>
      </w:r>
    </w:p>
    <w:p>
      <w:pPr>
        <w:keepNext/>
        <w:spacing w:before="160" w:after="60"/>
      </w:pPr>
      <w:r>
        <w:rPr>
          <w:rFonts w:ascii="Segoe UI" w:hAnsi="Segoe UI"/>
          <w:b/>
          <w:color w:val="162D5F"/>
          <w:sz w:val="21"/>
        </w:rPr>
        <w:t>2.3.1 The Digital Links Mandate</w:t>
      </w:r>
    </w:p>
    <w:p>
      <w:pPr>
        <w:spacing w:before="0" w:after="100"/>
      </w:pPr>
      <w:r>
        <w:rPr>
          <w:rFonts w:ascii="Segoe UI" w:hAnsi="Segoe UI"/>
          <w:color w:val="1E293B"/>
          <w:sz w:val="19"/>
        </w:rPr>
        <w:t xml:space="preserve">The statutory regulations strictly define a </w:t>
      </w:r>
      <w:r>
        <w:rPr>
          <w:rFonts w:ascii="Segoe UI" w:hAnsi="Segoe UI"/>
          <w:b/>
          <w:color w:val="1E293B"/>
          <w:sz w:val="19"/>
        </w:rPr>
        <w:t>Digital Link</w:t>
      </w:r>
      <w:r>
        <w:rPr>
          <w:rFonts w:ascii="Segoe UI" w:hAnsi="Segoe UI"/>
          <w:color w:val="1E293B"/>
          <w:sz w:val="19"/>
        </w:rPr>
        <w:t xml:space="preserve"> as an electronic transfer or exchange of data between software programs, products, or applications. Manual copying and pasting of figures, or rekeying data between spreadsheets, is explicitly illegal under HMRC rules.</w:t>
      </w:r>
    </w:p>
    <w:p>
      <w:pPr>
        <w:pStyle w:val="ListBullet"/>
        <w:spacing w:before="0" w:after="40"/>
      </w:pPr>
      <w:r>
        <w:rPr>
          <w:rFonts w:ascii="Segoe UI" w:hAnsi="Segoe UI"/>
          <w:color w:val="1E293B"/>
          <w:sz w:val="19"/>
        </w:rPr>
      </w:r>
      <w:r>
        <w:rPr>
          <w:rFonts w:ascii="Segoe UI" w:hAnsi="Segoe UI"/>
          <w:b/>
          <w:color w:val="1E293B"/>
          <w:sz w:val="19"/>
        </w:rPr>
        <w:t>blynt Enforcement:</w:t>
      </w:r>
      <w:r>
        <w:rPr>
          <w:rFonts w:ascii="Segoe UI" w:hAnsi="Segoe UI"/>
          <w:color w:val="1E293B"/>
          <w:sz w:val="19"/>
        </w:rPr>
        <w:t xml:space="preserve"> blynt enforces automated digital links from initial sales invoice creation or bank feed ingestion directly into the VAT calculation engine and onwards to Box 1–9 return payloads. No intermediate manual data entry step is exposed.</w:t>
      </w:r>
    </w:p>
    <w:p>
      <w:pPr>
        <w:keepNext/>
        <w:spacing w:before="160" w:after="60"/>
      </w:pPr>
      <w:r>
        <w:rPr>
          <w:rFonts w:ascii="Segoe UI" w:hAnsi="Segoe UI"/>
          <w:b/>
          <w:color w:val="162D5F"/>
          <w:sz w:val="21"/>
        </w:rPr>
        <w:t>2.3.2 HMRC Fraud Prevention Headers Specification</w:t>
      </w:r>
    </w:p>
    <w:p>
      <w:pPr>
        <w:spacing w:before="0" w:after="100"/>
      </w:pPr>
      <w:r>
        <w:rPr>
          <w:rFonts w:ascii="Segoe UI" w:hAnsi="Segoe UI"/>
          <w:color w:val="1E293B"/>
          <w:sz w:val="19"/>
        </w:rPr>
        <w:t>In compliance with HMRC statutory notices under the Commissioners for Revenue and Customs Act 2005, blynt automatically captures, cryptographically validates, and transmits the complete suite of mandated `Gov-Client` anti-fraud audit headers on every transactional API request:</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Gov-Client-Connection-Method: WEB_APP_VIA_SERVER</w:t>
              <w:br/>
              <w:t>Gov-Client-Public-IP: 185.122.45.10</w:t>
              <w:br/>
              <w:t>Gov-Client-Public-Port: 44321</w:t>
              <w:br/>
              <w:t>Gov-Client-Device-ID: be8910b8-4c81-4b12-9c1a-8899aabbccdd</w:t>
              <w:br/>
              <w:t>Gov-Client-User-IDs: blynt=usr_77a901ff</w:t>
              <w:br/>
              <w:t>Gov-Client-Timezone: UTC+01:00</w:t>
              <w:br/>
              <w:t>Gov-Client-Local-IPs: 192.168.1.104</w:t>
              <w:br/>
              <w:t>Gov-Client-Screens: width=1920&amp;height=1080&amp;scaling-factor=1&amp;colour-depth=24</w:t>
              <w:br/>
              <w:t>Gov-Client-Window-Size: width=1440&amp;height=900</w:t>
              <w:br/>
              <w:t>Gov-Client-Browser-Plugins: Shockwave%20Flash::PDF%20Viewer</w:t>
              <w:br/>
              <w:t>Gov-Client-Browser-JS-User-Agent: Mozilla/5.0 (Windows NT 10.0; Win64; x64)</w:t>
              <w:br/>
              <w:t>Gov-Client-Browser-Do-Not-Track: 0</w:t>
              <w:br/>
              <w:t>Gov-Client-Multi-Factor: type=AUTH_APP&amp;timestamp=2026-10-12T00:20:00Z</w:t>
            </w:r>
          </w:p>
        </w:tc>
      </w:tr>
    </w:tbl>
    <w:p>
      <w:pPr>
        <w:spacing w:after="80"/>
      </w:pPr>
    </w:p>
    <w:p>
      <w:pPr>
        <w:keepNext/>
        <w:spacing w:before="240" w:after="80"/>
      </w:pPr>
      <w:r>
        <w:rPr>
          <w:rFonts w:ascii="Segoe UI" w:hAnsi="Segoe UI"/>
          <w:b/>
          <w:color w:val="FF7F6C"/>
          <w:sz w:val="24"/>
        </w:rPr>
        <w:t>2.4 Anti-Money Laundering (MLR 2017) &amp; Sanctions Screening</w:t>
      </w:r>
    </w:p>
    <w:p>
      <w:pPr>
        <w:spacing w:before="0" w:after="100"/>
      </w:pPr>
      <w:r>
        <w:rPr>
          <w:rFonts w:ascii="Segoe UI" w:hAnsi="Segoe UI"/>
          <w:color w:val="1E293B"/>
          <w:sz w:val="19"/>
        </w:rPr>
        <w:t>Under the Money Laundering, Terrorist Financing and Transfer of Funds Regulations 2017 (SI 2017/692) and the Sanctions and Anti-Money Laundering Act 2018 (SAMLA), financial software platforms must assist regulated entities in detecting suspicious transactions and screening against global sanctions regimes:</w:t>
      </w:r>
    </w:p>
    <w:p>
      <w:pPr>
        <w:pStyle w:val="ListBullet"/>
        <w:spacing w:before="0" w:after="40"/>
      </w:pPr>
      <w:r>
        <w:rPr>
          <w:rFonts w:ascii="Segoe UI" w:hAnsi="Segoe UI"/>
          <w:color w:val="1E293B"/>
          <w:sz w:val="19"/>
        </w:rPr>
      </w:r>
      <w:r>
        <w:rPr>
          <w:rFonts w:ascii="Segoe UI" w:hAnsi="Segoe UI"/>
          <w:b/>
          <w:color w:val="1E293B"/>
          <w:sz w:val="19"/>
        </w:rPr>
        <w:t>Automated OFSI Sanctions Screening:</w:t>
      </w:r>
      <w:r>
        <w:rPr>
          <w:rFonts w:ascii="Segoe UI" w:hAnsi="Segoe UI"/>
          <w:color w:val="1E293B"/>
          <w:sz w:val="19"/>
        </w:rPr>
        <w:t xml:space="preserve"> All customer legal entity names and supplier payees are screened against the UK Office of Financial Sanctions Implementation (OFSI) consolidated list and the US OFAC SDN list upon creation and prior to payout batch execution.</w:t>
      </w:r>
    </w:p>
    <w:p>
      <w:pPr>
        <w:pStyle w:val="ListBullet"/>
        <w:spacing w:before="0" w:after="40"/>
      </w:pPr>
      <w:r>
        <w:rPr>
          <w:rFonts w:ascii="Segoe UI" w:hAnsi="Segoe UI"/>
          <w:color w:val="1E293B"/>
          <w:sz w:val="19"/>
        </w:rPr>
      </w:r>
      <w:r>
        <w:rPr>
          <w:rFonts w:ascii="Segoe UI" w:hAnsi="Segoe UI"/>
          <w:b/>
          <w:color w:val="1E293B"/>
          <w:sz w:val="19"/>
        </w:rPr>
        <w:t>Suspicious Activity Alerting:</w:t>
      </w:r>
      <w:r>
        <w:rPr>
          <w:rFonts w:ascii="Segoe UI" w:hAnsi="Segoe UI"/>
          <w:color w:val="1E293B"/>
          <w:sz w:val="19"/>
        </w:rPr>
        <w:t xml:space="preserve"> Anomalous transaction patterns (e.g., sudden split payments under £10,000 threshold, rapid transfers to high-risk non-FATF jurisdictions) trigger automated internal alerts for the tenant compliance officer.</w:t>
      </w:r>
    </w:p>
    <w:p>
      <w:pPr>
        <w:keepNext/>
        <w:spacing w:before="240" w:after="80"/>
      </w:pPr>
      <w:r>
        <w:rPr>
          <w:rFonts w:ascii="Segoe UI" w:hAnsi="Segoe UI"/>
          <w:b/>
          <w:color w:val="FF7F6C"/>
          <w:sz w:val="24"/>
        </w:rPr>
        <w:t>2.5 Electronic Communications &amp; eIDAS Digital Signatures</w:t>
      </w:r>
    </w:p>
    <w:p>
      <w:pPr>
        <w:spacing w:before="0" w:after="100"/>
      </w:pPr>
      <w:r>
        <w:rPr>
          <w:rFonts w:ascii="Segoe UI" w:hAnsi="Segoe UI"/>
          <w:color w:val="1E293B"/>
          <w:sz w:val="19"/>
        </w:rPr>
        <w:t>Under the UK Electronic Communications Act 2000 and the retained UK eIDAS Regulation (SI 2019/89), electronic invoices and contracts generated by blynt carry full legal equivalence to physical paper records:</w:t>
      </w:r>
    </w:p>
    <w:p>
      <w:pPr>
        <w:pStyle w:val="ListBullet"/>
        <w:spacing w:before="0" w:after="40"/>
      </w:pPr>
      <w:r>
        <w:rPr>
          <w:rFonts w:ascii="Segoe UI" w:hAnsi="Segoe UI"/>
          <w:color w:val="1E293B"/>
          <w:sz w:val="19"/>
        </w:rPr>
        <w:t>Invoices exported from blynt embed a cryptographic SHA-256 digital fingerprint and qualified electronic timestamp certifying date of creation, issuer identity, and unaltered integrity.</w:t>
      </w:r>
    </w:p>
    <w:p>
      <w:pPr>
        <w:spacing w:before="0" w:after="100"/>
      </w:pPr>
      <w:r>
        <w:rPr>
          <w:rFonts w:ascii="Segoe UI" w:hAnsi="Segoe UI"/>
          <w:color w:val="1E293B"/>
          <w:sz w:val="19"/>
        </w:rPr>
        <w:t>---</w:t>
      </w:r>
    </w:p>
    <w:p>
      <w:pPr>
        <w:keepNext/>
        <w:spacing w:before="320" w:after="120"/>
      </w:pPr>
      <w:r>
        <w:rPr>
          <w:rFonts w:ascii="Segoe UI" w:hAnsi="Segoe UI"/>
          <w:b/>
          <w:color w:val="162D5F"/>
          <w:sz w:val="30"/>
        </w:rPr>
        <w:t>3. ISO/IEC 27001:2022 Information Security Management System (ISMS)</w:t>
      </w:r>
    </w:p>
    <w:p>
      <w:pPr>
        <w:keepNext/>
        <w:spacing w:before="240" w:after="80"/>
      </w:pPr>
      <w:r>
        <w:rPr>
          <w:rFonts w:ascii="Segoe UI" w:hAnsi="Segoe UI"/>
          <w:b/>
          <w:color w:val="FF7F6C"/>
          <w:sz w:val="24"/>
        </w:rPr>
        <w:t>3.1 ISMS Context &amp; Leadership (Clauses 4–10)</w:t>
      </w:r>
    </w:p>
    <w:p>
      <w:pPr>
        <w:spacing w:before="0" w:after="100"/>
      </w:pPr>
      <w:r>
        <w:rPr>
          <w:rFonts w:ascii="Segoe UI" w:hAnsi="Segoe UI"/>
          <w:color w:val="1E293B"/>
          <w:sz w:val="19"/>
        </w:rPr>
        <w:t xml:space="preserve">blynt has established, implemented, and maintains a certified </w:t>
      </w:r>
      <w:r>
        <w:rPr>
          <w:rFonts w:ascii="Segoe UI" w:hAnsi="Segoe UI"/>
          <w:b/>
          <w:color w:val="1E293B"/>
          <w:sz w:val="19"/>
        </w:rPr>
        <w:t>Information Security Management System (ISMS)</w:t>
      </w:r>
      <w:r>
        <w:rPr>
          <w:rFonts w:ascii="Segoe UI" w:hAnsi="Segoe UI"/>
          <w:color w:val="1E293B"/>
          <w:sz w:val="19"/>
        </w:rPr>
        <w:t xml:space="preserve"> conforming to the updated ISO/IEC 27001:2022 standard. The ISMS operates on an iterative </w:t>
      </w:r>
      <w:r>
        <w:rPr>
          <w:rFonts w:ascii="Segoe UI" w:hAnsi="Segoe UI"/>
          <w:b/>
          <w:color w:val="1E293B"/>
          <w:sz w:val="19"/>
        </w:rPr>
        <w:t>Plan-Do-Check-Act (PDCA)</w:t>
      </w:r>
      <w:r>
        <w:rPr>
          <w:rFonts w:ascii="Segoe UI" w:hAnsi="Segoe UI"/>
          <w:color w:val="1E293B"/>
          <w:sz w:val="19"/>
        </w:rPr>
        <w:t xml:space="preserve"> methodology:</w:t>
      </w:r>
    </w:p>
    <w:p>
      <w:pPr>
        <w:pStyle w:val="ListBullet"/>
        <w:spacing w:before="0" w:after="40"/>
      </w:pPr>
      <w:r>
        <w:rPr>
          <w:rFonts w:ascii="Segoe UI" w:hAnsi="Segoe UI"/>
          <w:color w:val="1E293B"/>
          <w:sz w:val="19"/>
        </w:rPr>
      </w:r>
      <w:r>
        <w:rPr>
          <w:rFonts w:ascii="Segoe UI" w:hAnsi="Segoe UI"/>
          <w:b/>
          <w:color w:val="1E293B"/>
          <w:sz w:val="19"/>
        </w:rPr>
        <w:t>Clause 4 (Context of Organization):</w:t>
      </w:r>
      <w:r>
        <w:rPr>
          <w:rFonts w:ascii="Segoe UI" w:hAnsi="Segoe UI"/>
          <w:color w:val="1E293B"/>
          <w:sz w:val="19"/>
        </w:rPr>
        <w:t xml:space="preserve"> Systematic identification of internal and external issues, interested party requirements (HMRC, customers, regulators), and boundary definitions encompassing all cloud production systems.</w:t>
      </w:r>
    </w:p>
    <w:p>
      <w:pPr>
        <w:pStyle w:val="ListBullet"/>
        <w:spacing w:before="0" w:after="40"/>
      </w:pPr>
      <w:r>
        <w:rPr>
          <w:rFonts w:ascii="Segoe UI" w:hAnsi="Segoe UI"/>
          <w:color w:val="1E293B"/>
          <w:sz w:val="19"/>
        </w:rPr>
      </w:r>
      <w:r>
        <w:rPr>
          <w:rFonts w:ascii="Segoe UI" w:hAnsi="Segoe UI"/>
          <w:b/>
          <w:color w:val="1E293B"/>
          <w:sz w:val="19"/>
        </w:rPr>
        <w:t>Clause 5 (Leadership &amp; Commitment):</w:t>
      </w:r>
      <w:r>
        <w:rPr>
          <w:rFonts w:ascii="Segoe UI" w:hAnsi="Segoe UI"/>
          <w:color w:val="1E293B"/>
          <w:sz w:val="19"/>
        </w:rPr>
        <w:t xml:space="preserve"> Executive approval of security policies, assignment of security roles, and allocation of budget.</w:t>
      </w:r>
    </w:p>
    <w:p>
      <w:pPr>
        <w:pStyle w:val="ListBullet"/>
        <w:spacing w:before="0" w:after="40"/>
      </w:pPr>
      <w:r>
        <w:rPr>
          <w:rFonts w:ascii="Segoe UI" w:hAnsi="Segoe UI"/>
          <w:color w:val="1E293B"/>
          <w:sz w:val="19"/>
        </w:rPr>
      </w:r>
      <w:r>
        <w:rPr>
          <w:rFonts w:ascii="Segoe UI" w:hAnsi="Segoe UI"/>
          <w:b/>
          <w:color w:val="1E293B"/>
          <w:sz w:val="19"/>
        </w:rPr>
        <w:t>Clause 6 (Planning &amp; Risk Assessment):</w:t>
      </w:r>
      <w:r>
        <w:rPr>
          <w:rFonts w:ascii="Segoe UI" w:hAnsi="Segoe UI"/>
          <w:color w:val="1E293B"/>
          <w:sz w:val="19"/>
        </w:rPr>
        <w:t xml:space="preserve"> Formal risk assessment methodology evaluating threat likelihood and impact against defined risk tolerance criteria.</w:t>
      </w:r>
    </w:p>
    <w:p>
      <w:pPr>
        <w:pStyle w:val="ListBullet"/>
        <w:spacing w:before="0" w:after="40"/>
      </w:pPr>
      <w:r>
        <w:rPr>
          <w:rFonts w:ascii="Segoe UI" w:hAnsi="Segoe UI"/>
          <w:color w:val="1E293B"/>
          <w:sz w:val="19"/>
        </w:rPr>
      </w:r>
      <w:r>
        <w:rPr>
          <w:rFonts w:ascii="Segoe UI" w:hAnsi="Segoe UI"/>
          <w:b/>
          <w:color w:val="1E293B"/>
          <w:sz w:val="19"/>
        </w:rPr>
        <w:t>Clause 7 (Support &amp; Awareness):</w:t>
      </w:r>
      <w:r>
        <w:rPr>
          <w:rFonts w:ascii="Segoe UI" w:hAnsi="Segoe UI"/>
          <w:color w:val="1E293B"/>
          <w:sz w:val="19"/>
        </w:rPr>
        <w:t xml:space="preserve"> Mandatory quarterly security awareness training, phishing simulations, and competence verification for 100% of staff.</w:t>
      </w:r>
    </w:p>
    <w:p>
      <w:pPr>
        <w:pStyle w:val="ListBullet"/>
        <w:spacing w:before="0" w:after="40"/>
      </w:pPr>
      <w:r>
        <w:rPr>
          <w:rFonts w:ascii="Segoe UI" w:hAnsi="Segoe UI"/>
          <w:color w:val="1E293B"/>
          <w:sz w:val="19"/>
        </w:rPr>
      </w:r>
      <w:r>
        <w:rPr>
          <w:rFonts w:ascii="Segoe UI" w:hAnsi="Segoe UI"/>
          <w:b/>
          <w:color w:val="1E293B"/>
          <w:sz w:val="19"/>
        </w:rPr>
        <w:t>Clause 8 (Operation):</w:t>
      </w:r>
      <w:r>
        <w:rPr>
          <w:rFonts w:ascii="Segoe UI" w:hAnsi="Segoe UI"/>
          <w:color w:val="1E293B"/>
          <w:sz w:val="19"/>
        </w:rPr>
        <w:t xml:space="preserve"> Strict operational change controls, configuration management, and vulnerability patching.</w:t>
      </w:r>
    </w:p>
    <w:p>
      <w:pPr>
        <w:pStyle w:val="ListBullet"/>
        <w:spacing w:before="0" w:after="40"/>
      </w:pPr>
      <w:r>
        <w:rPr>
          <w:rFonts w:ascii="Segoe UI" w:hAnsi="Segoe UI"/>
          <w:color w:val="1E293B"/>
          <w:sz w:val="19"/>
        </w:rPr>
      </w:r>
      <w:r>
        <w:rPr>
          <w:rFonts w:ascii="Segoe UI" w:hAnsi="Segoe UI"/>
          <w:b/>
          <w:color w:val="1E293B"/>
          <w:sz w:val="19"/>
        </w:rPr>
        <w:t>Clause 9 (Performance Evaluation):</w:t>
      </w:r>
      <w:r>
        <w:rPr>
          <w:rFonts w:ascii="Segoe UI" w:hAnsi="Segoe UI"/>
          <w:color w:val="1E293B"/>
          <w:sz w:val="19"/>
        </w:rPr>
        <w:t xml:space="preserve"> Internal audits conducted semi-annually; annual independent Stage 2 surveillance audits by an accredited certification body (UKAS certified).</w:t>
      </w:r>
    </w:p>
    <w:p>
      <w:pPr>
        <w:pStyle w:val="ListBullet"/>
        <w:spacing w:before="0" w:after="40"/>
      </w:pPr>
      <w:r>
        <w:rPr>
          <w:rFonts w:ascii="Segoe UI" w:hAnsi="Segoe UI"/>
          <w:color w:val="1E293B"/>
          <w:sz w:val="19"/>
        </w:rPr>
      </w:r>
      <w:r>
        <w:rPr>
          <w:rFonts w:ascii="Segoe UI" w:hAnsi="Segoe UI"/>
          <w:b/>
          <w:color w:val="1E293B"/>
          <w:sz w:val="19"/>
        </w:rPr>
        <w:t>Clause 10 (Improvement):</w:t>
      </w:r>
      <w:r>
        <w:rPr>
          <w:rFonts w:ascii="Segoe UI" w:hAnsi="Segoe UI"/>
          <w:color w:val="1E293B"/>
          <w:sz w:val="19"/>
        </w:rPr>
        <w:t xml:space="preserve"> Root cause analysis (RCA) and corrective actions registered for all security non-conformities.</w:t>
      </w:r>
    </w:p>
    <w:p>
      <w:pPr>
        <w:keepNext/>
        <w:spacing w:before="240" w:after="80"/>
      </w:pPr>
      <w:r>
        <w:rPr>
          <w:rFonts w:ascii="Segoe UI" w:hAnsi="Segoe UI"/>
          <w:b/>
          <w:color w:val="FF7F6C"/>
          <w:sz w:val="24"/>
        </w:rPr>
        <w:t>3.2 Statement of Applicability (SoA) &amp; Annex A Controls Matrix</w:t>
      </w:r>
    </w:p>
    <w:p>
      <w:pPr>
        <w:spacing w:before="0" w:after="100"/>
      </w:pPr>
      <w:r>
        <w:rPr>
          <w:rFonts w:ascii="Segoe UI" w:hAnsi="Segoe UI"/>
          <w:color w:val="1E293B"/>
          <w:sz w:val="19"/>
        </w:rPr>
        <w:t xml:space="preserve">The ISO/IEC 27001:2022 framework organizes security controls into four modern domains encompassing 93 controls. In the blynt Statement of Applicability (SoA), all 93 controls are categorized as </w:t>
      </w:r>
      <w:r>
        <w:rPr>
          <w:rFonts w:ascii="Segoe UI" w:hAnsi="Segoe UI"/>
          <w:b/>
          <w:color w:val="1E293B"/>
          <w:sz w:val="19"/>
        </w:rPr>
        <w:t>Applicable</w:t>
      </w:r>
      <w:r>
        <w:rPr>
          <w:rFonts w:ascii="Segoe UI" w:hAnsi="Segoe UI"/>
          <w:color w:val="1E293B"/>
          <w:sz w:val="19"/>
        </w:rPr>
        <w:t xml:space="preserve"> and verified:</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w:t>
              <w:br/>
              <w:t>|                               ISO/IEC 27001:2022 ANNEX A DOMAIN OVERVIEW                         |</w:t>
              <w:br/>
              <w:t>+--------------------+------------------+----------------------------------------------------------+</w:t>
              <w:br/>
              <w:t>| Annex A Domain     | Control Count    | Key Control Focus Areas in blynt                         |</w:t>
              <w:br/>
              <w:t>+--------------------+------------------+----------------------------------------------------------+</w:t>
              <w:br/>
              <w:t>| A.5 Organizational | 37 Controls      | Policies, Roles, Asset Inventory, Supplier Management    |</w:t>
              <w:br/>
              <w:t>| A.6 People         | 8 Controls       | Screening, Terms of Employment, Awareness, Remote Work   |</w:t>
              <w:br/>
              <w:t>| A.7 Physical       | 14 Controls      | Clear Desk/Screen, Equipment Siting, AWS DC Inherited    |</w:t>
              <w:br/>
              <w:t>| A.8 Technological  | 34 Controls      | Identity/Access, Cryptography, Secure SDLC, Logging, SCA |</w:t>
              <w:br/>
              <w:t>+--------------------+------------------+----------------------------------------------------------+</w:t>
            </w:r>
          </w:p>
        </w:tc>
      </w:tr>
    </w:tbl>
    <w:p>
      <w:pPr>
        <w:spacing w:after="80"/>
      </w:pPr>
    </w:p>
    <w:p>
      <w:pPr>
        <w:keepNext/>
        <w:spacing w:before="160" w:after="60"/>
      </w:pPr>
      <w:r>
        <w:rPr>
          <w:rFonts w:ascii="Segoe UI" w:hAnsi="Segoe UI"/>
          <w:b/>
          <w:color w:val="162D5F"/>
          <w:sz w:val="21"/>
        </w:rPr>
        <w:t>Detailed Breakdown of Critical Controls in blynt:</w:t>
      </w:r>
    </w:p>
    <w:p>
      <w:pPr>
        <w:pStyle w:val="ListBullet"/>
        <w:spacing w:before="0" w:after="40"/>
      </w:pPr>
      <w:r>
        <w:rPr>
          <w:rFonts w:ascii="Segoe UI" w:hAnsi="Segoe UI"/>
          <w:color w:val="1E293B"/>
          <w:sz w:val="19"/>
        </w:rPr>
      </w:r>
      <w:r>
        <w:rPr>
          <w:rFonts w:ascii="Segoe UI" w:hAnsi="Segoe UI"/>
          <w:b/>
          <w:color w:val="1E293B"/>
          <w:sz w:val="19"/>
        </w:rPr>
        <w:t>A.5.15 Access Control:</w:t>
      </w:r>
      <w:r>
        <w:rPr>
          <w:rFonts w:ascii="Segoe UI" w:hAnsi="Segoe UI"/>
          <w:color w:val="1E293B"/>
          <w:sz w:val="19"/>
        </w:rPr>
        <w:t xml:space="preserve"> Mandatory multi-factor authentication (MFA) with WebAuthn/FIDO2 hardware keys or TOTP; zero administrative access without just-in-time (JIT) role elevation and automated session expiration after 60 minutes.</w:t>
      </w:r>
    </w:p>
    <w:p>
      <w:pPr>
        <w:pStyle w:val="ListBullet"/>
        <w:spacing w:before="0" w:after="40"/>
      </w:pPr>
      <w:r>
        <w:rPr>
          <w:rFonts w:ascii="Segoe UI" w:hAnsi="Segoe UI"/>
          <w:color w:val="1E293B"/>
          <w:sz w:val="19"/>
        </w:rPr>
      </w:r>
      <w:r>
        <w:rPr>
          <w:rFonts w:ascii="Segoe UI" w:hAnsi="Segoe UI"/>
          <w:b/>
          <w:color w:val="1E293B"/>
          <w:sz w:val="19"/>
        </w:rPr>
        <w:t>A.5.19 Information Security in Supplier Relationships:</w:t>
      </w:r>
      <w:r>
        <w:rPr>
          <w:rFonts w:ascii="Segoe UI" w:hAnsi="Segoe UI"/>
          <w:color w:val="1E293B"/>
          <w:sz w:val="19"/>
        </w:rPr>
        <w:t xml:space="preserve"> Third-Party Vendor Risk Management (TPRM) policy requiring annual SOC 2 Type II or ISO 27001 verification for all cloud vendors (AWS, Stripe, Redis Labs, PostHog).</w:t>
      </w:r>
    </w:p>
    <w:p>
      <w:pPr>
        <w:pStyle w:val="ListBullet"/>
        <w:spacing w:before="0" w:after="40"/>
      </w:pPr>
      <w:r>
        <w:rPr>
          <w:rFonts w:ascii="Segoe UI" w:hAnsi="Segoe UI"/>
          <w:color w:val="1E293B"/>
          <w:sz w:val="19"/>
        </w:rPr>
      </w:r>
      <w:r>
        <w:rPr>
          <w:rFonts w:ascii="Segoe UI" w:hAnsi="Segoe UI"/>
          <w:b/>
          <w:color w:val="1E293B"/>
          <w:sz w:val="19"/>
        </w:rPr>
        <w:t>A.6.1 Screening:</w:t>
      </w:r>
      <w:r>
        <w:rPr>
          <w:rFonts w:ascii="Segoe UI" w:hAnsi="Segoe UI"/>
          <w:color w:val="1E293B"/>
          <w:sz w:val="19"/>
        </w:rPr>
        <w:t xml:space="preserve"> Mandatory enhanced background checks (criminal records, reference verification, identity validation) for 100% of engineering and support personnel prior to production access.</w:t>
      </w:r>
    </w:p>
    <w:p>
      <w:pPr>
        <w:pStyle w:val="ListBullet"/>
        <w:spacing w:before="0" w:after="40"/>
      </w:pPr>
      <w:r>
        <w:rPr>
          <w:rFonts w:ascii="Segoe UI" w:hAnsi="Segoe UI"/>
          <w:color w:val="1E293B"/>
          <w:sz w:val="19"/>
        </w:rPr>
      </w:r>
      <w:r>
        <w:rPr>
          <w:rFonts w:ascii="Segoe UI" w:hAnsi="Segoe UI"/>
          <w:b/>
          <w:color w:val="1E293B"/>
          <w:sz w:val="19"/>
        </w:rPr>
        <w:t>A.8.2 Privileged Access Rights:</w:t>
      </w:r>
      <w:r>
        <w:rPr>
          <w:rFonts w:ascii="Segoe UI" w:hAnsi="Segoe UI"/>
          <w:color w:val="1E293B"/>
          <w:sz w:val="19"/>
        </w:rPr>
        <w:t xml:space="preserve"> Segregation of duties between software developers and production infrastructure administrators. Developers cannot commit code directly to production without pull request approvals and automated CI/CD pipeline gating.</w:t>
      </w:r>
    </w:p>
    <w:p>
      <w:pPr>
        <w:pStyle w:val="ListBullet"/>
        <w:spacing w:before="0" w:after="40"/>
      </w:pPr>
      <w:r>
        <w:rPr>
          <w:rFonts w:ascii="Segoe UI" w:hAnsi="Segoe UI"/>
          <w:color w:val="1E293B"/>
          <w:sz w:val="19"/>
        </w:rPr>
      </w:r>
      <w:r>
        <w:rPr>
          <w:rFonts w:ascii="Segoe UI" w:hAnsi="Segoe UI"/>
          <w:b/>
          <w:color w:val="1E293B"/>
          <w:sz w:val="19"/>
        </w:rPr>
        <w:t>A.8.20 Network Security:</w:t>
      </w:r>
      <w:r>
        <w:rPr>
          <w:rFonts w:ascii="Segoe UI" w:hAnsi="Segoe UI"/>
          <w:color w:val="1E293B"/>
          <w:sz w:val="19"/>
        </w:rPr>
        <w:t xml:space="preserve"> Strict VPC network isolation with private subnets for PostgreSQL and Redis; zero public internet ingress to database ports; ingress strictly through AWS Application Load Balancers with AWS WAF bot-mitigation rules.</w:t>
      </w:r>
    </w:p>
    <w:p>
      <w:pPr>
        <w:pStyle w:val="ListBullet"/>
        <w:spacing w:before="0" w:after="40"/>
      </w:pPr>
      <w:r>
        <w:rPr>
          <w:rFonts w:ascii="Segoe UI" w:hAnsi="Segoe UI"/>
          <w:color w:val="1E293B"/>
          <w:sz w:val="19"/>
        </w:rPr>
      </w:r>
      <w:r>
        <w:rPr>
          <w:rFonts w:ascii="Segoe UI" w:hAnsi="Segoe UI"/>
          <w:b/>
          <w:color w:val="1E293B"/>
          <w:sz w:val="19"/>
        </w:rPr>
        <w:t>A.8.24 Use of Cryptography:</w:t>
      </w:r>
      <w:r>
        <w:rPr>
          <w:rFonts w:ascii="Segoe UI" w:hAnsi="Segoe UI"/>
          <w:color w:val="1E293B"/>
          <w:sz w:val="19"/>
        </w:rPr>
        <w:t xml:space="preserve"> AES-256-GCM encryption at rest with AWS KMS customer-managed keys rotated annually; TLS 1.3 encryption in transit with forward secrecy; strict envelope encryption for tenant secret credentials.</w:t>
      </w:r>
    </w:p>
    <w:p>
      <w:pPr>
        <w:pStyle w:val="ListBullet"/>
        <w:spacing w:before="0" w:after="40"/>
      </w:pPr>
      <w:r>
        <w:rPr>
          <w:rFonts w:ascii="Segoe UI" w:hAnsi="Segoe UI"/>
          <w:color w:val="1E293B"/>
          <w:sz w:val="19"/>
        </w:rPr>
      </w:r>
      <w:r>
        <w:rPr>
          <w:rFonts w:ascii="Segoe UI" w:hAnsi="Segoe UI"/>
          <w:b/>
          <w:color w:val="1E293B"/>
          <w:sz w:val="19"/>
        </w:rPr>
        <w:t>A.8.28 Secure Coding:</w:t>
      </w:r>
      <w:r>
        <w:rPr>
          <w:rFonts w:ascii="Segoe UI" w:hAnsi="Segoe UI"/>
          <w:color w:val="1E293B"/>
          <w:sz w:val="19"/>
        </w:rPr>
        <w:t xml:space="preserve"> OWASP Top 10 automated SAST scanning (SonarQube) and Software Composition Analysis (SCA via Snyk/Trivy) integrated into GitHub Actions pull request gates.</w:t>
      </w:r>
    </w:p>
    <w:p>
      <w:pPr>
        <w:spacing w:before="0" w:after="100"/>
      </w:pPr>
      <w:r>
        <w:rPr>
          <w:rFonts w:ascii="Segoe UI" w:hAnsi="Segoe UI"/>
          <w:color w:val="1E293B"/>
          <w:sz w:val="19"/>
        </w:rPr>
        <w:t>---</w:t>
      </w:r>
    </w:p>
    <w:p>
      <w:pPr>
        <w:keepNext/>
        <w:spacing w:before="320" w:after="120"/>
      </w:pPr>
      <w:r>
        <w:rPr>
          <w:rFonts w:ascii="Segoe UI" w:hAnsi="Segoe UI"/>
          <w:b/>
          <w:color w:val="162D5F"/>
          <w:sz w:val="30"/>
        </w:rPr>
        <w:t>4. Data Privacy, UK GDPR &amp; Data Protection Act 2018 (DPA 2018)</w:t>
      </w:r>
    </w:p>
    <w:p>
      <w:pPr>
        <w:keepNext/>
        <w:spacing w:before="240" w:after="80"/>
      </w:pPr>
      <w:r>
        <w:rPr>
          <w:rFonts w:ascii="Segoe UI" w:hAnsi="Segoe UI"/>
          <w:b/>
          <w:color w:val="FF7F6C"/>
          <w:sz w:val="24"/>
        </w:rPr>
        <w:t>4.1 Data Controller vs. Data Processor Classification</w:t>
      </w:r>
    </w:p>
    <w:p>
      <w:pPr>
        <w:spacing w:before="0" w:after="100"/>
      </w:pPr>
      <w:r>
        <w:rPr>
          <w:rFonts w:ascii="Segoe UI" w:hAnsi="Segoe UI"/>
          <w:color w:val="1E293B"/>
          <w:sz w:val="19"/>
        </w:rPr>
        <w:t>To maintain legal transparency and ensure lawful data handling under Regulation (EU) 2016/679 as retained in UK law (UK GDPR) and the Data Protection Act 2018, blynt establishes a clear dual classification:</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w:t>
              <w:br/>
              <w:t>|                                CONTROLLER VS. PROCESSOR JURISDICTION                             |</w:t>
              <w:br/>
              <w:t>+--------------------------+-------------------------------+---------------------------------------+</w:t>
              <w:br/>
              <w:t>| Operational Dimension    | blynt as Data Controller      | blynt as Data Processor               |</w:t>
              <w:br/>
              <w:t>+--------------------------+-------------------------------+---------------------------------------+</w:t>
              <w:br/>
              <w:t>| Data Scope               | Direct subscriber user info,  | Tenant customer &amp; supplier records,   |</w:t>
              <w:br/>
              <w:t>|                          | billing details, support logs | accounting journal lines, VAT entries |</w:t>
              <w:br/>
              <w:t>| Lawful Basis (Art. 6)    | Contract (Art. 6(1)(b)),      | Processed strictly under the lawful   |</w:t>
              <w:br/>
              <w:t>|                          | Legitimate Interest (6(1)(f)) | instructions of the Tenant Controller |</w:t>
              <w:br/>
              <w:t>| Primary Regulatory Role  | Direct accountability to ICO  | Bound by statutory Data Processing    |</w:t>
              <w:br/>
              <w:t>|                          | for subscriber privacy rights | Addendum (DPA) under UK GDPR Art. 28  |</w:t>
              <w:br/>
              <w:t>+--------------------------+-------------------------------+---------------------------------------+</w:t>
            </w:r>
          </w:p>
        </w:tc>
      </w:tr>
    </w:tbl>
    <w:p>
      <w:pPr>
        <w:spacing w:after="80"/>
      </w:pPr>
    </w:p>
    <w:p>
      <w:pPr>
        <w:keepNext/>
        <w:spacing w:before="240" w:after="80"/>
      </w:pPr>
      <w:r>
        <w:rPr>
          <w:rFonts w:ascii="Segoe UI" w:hAnsi="Segoe UI"/>
          <w:b/>
          <w:color w:val="FF7F6C"/>
          <w:sz w:val="24"/>
        </w:rPr>
        <w:t>4.2 Data Subject Rights (DSR) &amp; The Financial Retention Conflict</w:t>
      </w:r>
    </w:p>
    <w:p>
      <w:pPr>
        <w:spacing w:before="0" w:after="100"/>
      </w:pPr>
      <w:r>
        <w:rPr>
          <w:rFonts w:ascii="Segoe UI" w:hAnsi="Segoe UI"/>
          <w:color w:val="1E293B"/>
          <w:sz w:val="19"/>
        </w:rPr>
        <w:t>Under Chapter III of the UK GDPR, individuals possess fundamental privacy rights. However, in financial accounting, these rights interact directly with statutory company and tax laws. blynt resolves these interactions through precise legal mechanisms:</w:t>
      </w:r>
    </w:p>
    <w:p>
      <w:pPr>
        <w:keepNext/>
        <w:spacing w:before="160" w:after="60"/>
      </w:pPr>
      <w:r>
        <w:rPr>
          <w:rFonts w:ascii="Segoe UI" w:hAnsi="Segoe UI"/>
          <w:b/>
          <w:color w:val="162D5F"/>
          <w:sz w:val="21"/>
        </w:rPr>
        <w:t>4.2.1 Right of Access (DSAR - Article 15)</w:t>
      </w:r>
    </w:p>
    <w:p>
      <w:pPr>
        <w:pStyle w:val="ListBullet"/>
        <w:spacing w:before="0" w:after="40"/>
      </w:pPr>
      <w:r>
        <w:rPr>
          <w:rFonts w:ascii="Segoe UI" w:hAnsi="Segoe UI"/>
          <w:color w:val="1E293B"/>
          <w:sz w:val="19"/>
        </w:rPr>
        <w:t>Data subjects can request a complete disclosure of their personal data.</w:t>
      </w:r>
    </w:p>
    <w:p>
      <w:pPr>
        <w:pStyle w:val="ListBullet"/>
        <w:spacing w:before="0" w:after="40"/>
      </w:pPr>
      <w:r>
        <w:rPr>
          <w:rFonts w:ascii="Segoe UI" w:hAnsi="Segoe UI"/>
          <w:color w:val="1E293B"/>
          <w:sz w:val="19"/>
        </w:rPr>
      </w:r>
      <w:r>
        <w:rPr>
          <w:rFonts w:ascii="Segoe UI" w:hAnsi="Segoe UI"/>
          <w:b/>
          <w:color w:val="1E293B"/>
          <w:sz w:val="19"/>
        </w:rPr>
        <w:t>SLA &amp; Execution:</w:t>
      </w:r>
      <w:r>
        <w:rPr>
          <w:rFonts w:ascii="Segoe UI" w:hAnsi="Segoe UI"/>
          <w:color w:val="1E293B"/>
          <w:sz w:val="19"/>
        </w:rPr>
        <w:t xml:space="preserve"> blynt provides an automated self-serve DSAR extraction tool allowing tenant administrators to generate a structured, password-protected JSON/PDF archive within </w:t>
      </w:r>
      <w:r>
        <w:rPr>
          <w:rFonts w:ascii="Segoe UI" w:hAnsi="Segoe UI"/>
          <w:b/>
          <w:color w:val="1E293B"/>
          <w:sz w:val="19"/>
        </w:rPr>
        <w:t>72 business hours</w:t>
      </w:r>
      <w:r>
        <w:rPr>
          <w:rFonts w:ascii="Segoe UI" w:hAnsi="Segoe UI"/>
          <w:color w:val="1E293B"/>
          <w:sz w:val="19"/>
        </w:rPr>
        <w:t xml:space="preserve"> (well within the statutory 30-day requirement).</w:t>
      </w:r>
    </w:p>
    <w:p>
      <w:pPr>
        <w:keepNext/>
        <w:spacing w:before="160" w:after="60"/>
      </w:pPr>
      <w:r>
        <w:rPr>
          <w:rFonts w:ascii="Segoe UI" w:hAnsi="Segoe UI"/>
          <w:b/>
          <w:color w:val="162D5F"/>
          <w:sz w:val="21"/>
        </w:rPr>
        <w:t>4.2.2 Right to Rectification (Article 16) vs. Accounting Integrity</w:t>
      </w:r>
    </w:p>
    <w:p>
      <w:pPr>
        <w:pStyle w:val="ListBullet"/>
        <w:spacing w:before="0" w:after="40"/>
      </w:pPr>
      <w:r>
        <w:rPr>
          <w:rFonts w:ascii="Segoe UI" w:hAnsi="Segoe UI"/>
          <w:color w:val="1E293B"/>
          <w:sz w:val="19"/>
        </w:rPr>
        <w:t>If personal data on a customer or supplier record is inaccurate, it can be updated in the subledger directory.</w:t>
      </w:r>
    </w:p>
    <w:p>
      <w:pPr>
        <w:pStyle w:val="ListBullet"/>
        <w:spacing w:before="0" w:after="40"/>
      </w:pPr>
      <w:r>
        <w:rPr>
          <w:rFonts w:ascii="Segoe UI" w:hAnsi="Segoe UI"/>
          <w:color w:val="1E293B"/>
          <w:sz w:val="19"/>
        </w:rPr>
      </w:r>
      <w:r>
        <w:rPr>
          <w:rFonts w:ascii="Segoe UI" w:hAnsi="Segoe UI"/>
          <w:b/>
          <w:color w:val="1E293B"/>
          <w:sz w:val="19"/>
        </w:rPr>
        <w:t>Accounting Invariant Safeguard:</w:t>
      </w:r>
      <w:r>
        <w:rPr>
          <w:rFonts w:ascii="Segoe UI" w:hAnsi="Segoe UI"/>
          <w:color w:val="1E293B"/>
          <w:sz w:val="19"/>
        </w:rPr>
        <w:t xml:space="preserve"> Historical financial transactions cannot be rewritten. If an invoice contained an incorrect legal name or VAT registration number, the statutory correction must be executed via an official Credit Note and reissue, preserving audit trail validity under the Companies Act 2006.</w:t>
      </w:r>
    </w:p>
    <w:p>
      <w:pPr>
        <w:keepNext/>
        <w:spacing w:before="160" w:after="60"/>
      </w:pPr>
      <w:r>
        <w:rPr>
          <w:rFonts w:ascii="Segoe UI" w:hAnsi="Segoe UI"/>
          <w:b/>
          <w:color w:val="162D5F"/>
          <w:sz w:val="21"/>
        </w:rPr>
        <w:t>4.2.3 Right to Erasure ("Right to be Forgotten" - Article 17) vs. Statutory Retention Exemption</w:t>
      </w:r>
    </w:p>
    <w:p>
      <w:pPr>
        <w:spacing w:before="0" w:after="100"/>
      </w:pPr>
      <w:r>
        <w:rPr>
          <w:rFonts w:ascii="Segoe UI" w:hAnsi="Segoe UI"/>
          <w:color w:val="1E293B"/>
          <w:sz w:val="19"/>
        </w:rPr>
        <w:t>This represents the single most critical intersection between privacy law and financial regulation.</w:t>
      </w:r>
    </w:p>
    <w:p>
      <w:pPr>
        <w:pStyle w:val="ListBullet"/>
        <w:spacing w:before="0" w:after="40"/>
      </w:pPr>
      <w:r>
        <w:rPr>
          <w:rFonts w:ascii="Segoe UI" w:hAnsi="Segoe UI"/>
          <w:color w:val="1E293B"/>
          <w:sz w:val="19"/>
        </w:rPr>
      </w:r>
      <w:r>
        <w:rPr>
          <w:rFonts w:ascii="Segoe UI" w:hAnsi="Segoe UI"/>
          <w:b/>
          <w:color w:val="1E293B"/>
          <w:sz w:val="19"/>
        </w:rPr>
        <w:t>The Legal Exemption:</w:t>
      </w:r>
      <w:r>
        <w:rPr>
          <w:rFonts w:ascii="Segoe UI" w:hAnsi="Segoe UI"/>
          <w:color w:val="1E293B"/>
          <w:sz w:val="19"/>
        </w:rPr>
        <w:t xml:space="preserve"> Under </w:t>
      </w:r>
      <w:r>
        <w:rPr>
          <w:rFonts w:ascii="Segoe UI" w:hAnsi="Segoe UI"/>
          <w:b/>
          <w:color w:val="1E293B"/>
          <w:sz w:val="19"/>
        </w:rPr>
        <w:t>Article 17(3)(b) of the UK GDPR</w:t>
      </w:r>
      <w:r>
        <w:rPr>
          <w:rFonts w:ascii="Segoe UI" w:hAnsi="Segoe UI"/>
          <w:color w:val="1E293B"/>
          <w:sz w:val="19"/>
        </w:rPr>
        <w:t>, the right to erasure does *not* apply to the extent that processing is necessary:</w:t>
      </w:r>
    </w:p>
    <w:p>
      <w:pPr>
        <w:spacing w:before="0" w:after="100"/>
      </w:pPr>
      <w:r>
        <w:rPr>
          <w:rFonts w:ascii="Segoe UI" w:hAnsi="Segoe UI"/>
          <w:color w:val="1E293B"/>
          <w:sz w:val="19"/>
        </w:rPr>
        <w:t>&gt; *"for compliance with a legal obligation which requires processing by Union or Member State law to which the controller is subject..."*</w:t>
      </w:r>
    </w:p>
    <w:p>
      <w:pPr>
        <w:pStyle w:val="ListBullet"/>
        <w:spacing w:before="0" w:after="40"/>
      </w:pPr>
      <w:r>
        <w:rPr>
          <w:rFonts w:ascii="Segoe UI" w:hAnsi="Segoe UI"/>
          <w:color w:val="1E293B"/>
          <w:sz w:val="19"/>
        </w:rPr>
      </w:r>
      <w:r>
        <w:rPr>
          <w:rFonts w:ascii="Segoe UI" w:hAnsi="Segoe UI"/>
          <w:b/>
          <w:color w:val="1E293B"/>
          <w:sz w:val="19"/>
        </w:rPr>
        <w:t>Statutory Superiority:</w:t>
      </w:r>
      <w:r>
        <w:rPr>
          <w:rFonts w:ascii="Segoe UI" w:hAnsi="Segoe UI"/>
          <w:color w:val="1E293B"/>
          <w:sz w:val="19"/>
        </w:rPr>
        <w:t xml:space="preserve"> Because Section 12B of the Taxes Management Act 1970 and Sections 386–388 of the Companies Act 2006 legally mandate the preservation of accounting vouchers and transaction records for 6 years, </w:t>
      </w:r>
      <w:r>
        <w:rPr>
          <w:rFonts w:ascii="Segoe UI" w:hAnsi="Segoe UI"/>
          <w:b/>
          <w:color w:val="1E293B"/>
          <w:sz w:val="19"/>
        </w:rPr>
        <w:t>blynt is legally prohibited from erasing posted journal lines or invoices during this statutory window</w:t>
      </w:r>
      <w:r>
        <w:rPr>
          <w:rFonts w:ascii="Segoe UI" w:hAnsi="Segoe UI"/>
          <w:color w:val="1E293B"/>
          <w:sz w:val="19"/>
        </w:rPr>
        <w:t>.</w:t>
      </w:r>
    </w:p>
    <w:p>
      <w:pPr>
        <w:pStyle w:val="ListBullet"/>
        <w:spacing w:before="0" w:after="40"/>
      </w:pPr>
      <w:r>
        <w:rPr>
          <w:rFonts w:ascii="Segoe UI" w:hAnsi="Segoe UI"/>
          <w:color w:val="1E293B"/>
          <w:sz w:val="19"/>
        </w:rPr>
      </w:r>
      <w:r>
        <w:rPr>
          <w:rFonts w:ascii="Segoe UI" w:hAnsi="Segoe UI"/>
          <w:b/>
          <w:color w:val="1E293B"/>
          <w:sz w:val="19"/>
        </w:rPr>
        <w:t>Technical Resolution (Soft Redaction):</w:t>
      </w:r>
      <w:r>
        <w:rPr>
          <w:rFonts w:ascii="Segoe UI" w:hAnsi="Segoe UI"/>
          <w:color w:val="1E293B"/>
          <w:sz w:val="19"/>
        </w:rPr>
        <w:t xml:space="preserve"> In response to a valid Article 17 request, blynt anonymizes non-statutory personal identifiers (e.g., personal phone numbers, profile images, personal email addresses) while permanently retaining the immutable ledger line, transaction amount, VAT classification, and company tax registration number in accordance with statutory duty.</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w:t>
              <w:br/>
              <w:t>|                            ARTICLE 17 ERASURE TRIAGE LOGIC IN BLYNT                              |</w:t>
              <w:br/>
              <w:t>|                                                                                                  |</w:t>
              <w:br/>
              <w:t>|   Incoming Erasure Request (Data Subject)                                                        |</w:t>
              <w:br/>
              <w:t>|   +---------------------------------------------+                                                |</w:t>
              <w:br/>
              <w:t>|   | Target: User Record &amp; Financial Invoices    |                                                |</w:t>
              <w:br/>
              <w:t>|   +----------------------+----------------------+                                                |</w:t>
              <w:br/>
              <w:t>|                          |                                                                       |</w:t>
              <w:br/>
              <w:t>|                          v                                                                       |</w:t>
              <w:br/>
              <w:t>|          +-------------------------------+                                                       |</w:t>
              <w:br/>
              <w:t>|          | Does record constitute part   |                                                       |</w:t>
              <w:br/>
              <w:t>|          | of Statutory Financial Ledger?|                                                       |</w:t>
              <w:br/>
              <w:t>|          +---------------+---------------+                                                       |</w:t>
              <w:br/>
              <w:t>|                          |                                                                       |</w:t>
              <w:br/>
              <w:t>|           +--------------+---------------+                                                       |</w:t>
              <w:br/>
              <w:t>|           |                              |                                                       |</w:t>
              <w:br/>
              <w:t>|     [YES] v                        [NO]  v                                                       |</w:t>
              <w:br/>
              <w:t>|  +------------------------------+  +------------------------------+                              |</w:t>
              <w:br/>
              <w:t>|  | APPLY STATUTORY EXEMPTION    |  | FULL CRYPTOGRAPHIC DELETION  |                              |</w:t>
              <w:br/>
              <w:t>|  | - Invoke UK GDPR Art 17(3)(b)|  | - Purge user auth profile    |                              |</w:t>
              <w:br/>
              <w:t>|  | - Retain 6-Yr TMA Ledger Line|  | - Remove session tokens      |                              |</w:t>
              <w:br/>
              <w:t>|  | - Soft-anonymize contact PII |  | - Issue GDPR Deletion Receipt|                              |</w:t>
              <w:br/>
              <w:t>|  +------------------------------+  +------------------------------+                              |</w:t>
              <w:br/>
              <w:t>+--------------------------------------------------------------------------------------------------+</w:t>
            </w:r>
          </w:p>
        </w:tc>
      </w:tr>
    </w:tbl>
    <w:p>
      <w:pPr>
        <w:spacing w:after="80"/>
      </w:pPr>
    </w:p>
    <w:p>
      <w:pPr>
        <w:keepNext/>
        <w:spacing w:before="240" w:after="80"/>
      </w:pPr>
      <w:r>
        <w:rPr>
          <w:rFonts w:ascii="Segoe UI" w:hAnsi="Segoe UI"/>
          <w:b/>
          <w:color w:val="FF7F6C"/>
          <w:sz w:val="24"/>
        </w:rPr>
        <w:t>4.3 Records of Processing Activities (RoPA - Article 30)</w:t>
      </w:r>
    </w:p>
    <w:p>
      <w:pPr>
        <w:spacing w:before="0" w:after="100"/>
      </w:pPr>
      <w:r>
        <w:rPr>
          <w:rFonts w:ascii="Segoe UI" w:hAnsi="Segoe UI"/>
          <w:color w:val="1E293B"/>
          <w:sz w:val="19"/>
        </w:rPr>
        <w:t xml:space="preserve">In compliance with Article 30 of the UK GDPR, blynt maintains an up-to-date </w:t>
      </w:r>
      <w:r>
        <w:rPr>
          <w:rFonts w:ascii="Segoe UI" w:hAnsi="Segoe UI"/>
          <w:b/>
          <w:color w:val="1E293B"/>
          <w:sz w:val="19"/>
        </w:rPr>
        <w:t>Record of Processing Activities (RoPA)</w:t>
      </w:r>
      <w:r>
        <w:rPr>
          <w:rFonts w:ascii="Segoe UI" w:hAnsi="Segoe UI"/>
          <w:color w:val="1E293B"/>
          <w:sz w:val="19"/>
        </w:rPr>
        <w:t xml:space="preserve"> documenting:</w:t>
      </w:r>
    </w:p>
    <w:p>
      <w:pPr>
        <w:spacing w:before="0" w:after="100"/>
      </w:pPr>
      <w:r>
        <w:rPr>
          <w:rFonts w:ascii="Segoe UI" w:hAnsi="Segoe UI"/>
          <w:color w:val="1E293B"/>
          <w:sz w:val="19"/>
        </w:rPr>
        <w:t>1. Contact details of the Controller, Processor, and Data Protection Officer (`dpo@blynt.io`).</w:t>
      </w:r>
    </w:p>
    <w:p>
      <w:pPr>
        <w:spacing w:before="0" w:after="100"/>
      </w:pPr>
      <w:r>
        <w:rPr>
          <w:rFonts w:ascii="Segoe UI" w:hAnsi="Segoe UI"/>
          <w:color w:val="1E293B"/>
          <w:sz w:val="19"/>
        </w:rPr>
        <w:t>2. Categories of data subjects (Customer employees, vendor contacts, subscriber administrators).</w:t>
      </w:r>
    </w:p>
    <w:p>
      <w:pPr>
        <w:spacing w:before="0" w:after="100"/>
      </w:pPr>
      <w:r>
        <w:rPr>
          <w:rFonts w:ascii="Segoe UI" w:hAnsi="Segoe UI"/>
          <w:color w:val="1E293B"/>
          <w:sz w:val="19"/>
        </w:rPr>
        <w:t>3. Categories of personal data (Names, email addresses, business addresses, IP addresses, bank account numbers).</w:t>
      </w:r>
    </w:p>
    <w:p>
      <w:pPr>
        <w:spacing w:before="0" w:after="100"/>
      </w:pPr>
      <w:r>
        <w:rPr>
          <w:rFonts w:ascii="Segoe UI" w:hAnsi="Segoe UI"/>
          <w:color w:val="1E293B"/>
          <w:sz w:val="19"/>
        </w:rPr>
        <w:t>4. Categories of recipients (AWS Cloud Infrastructure, HMRC API Gateway, Open Banking aggregators).</w:t>
      </w:r>
    </w:p>
    <w:p>
      <w:pPr>
        <w:spacing w:before="0" w:after="100"/>
      </w:pPr>
      <w:r>
        <w:rPr>
          <w:rFonts w:ascii="Segoe UI" w:hAnsi="Segoe UI"/>
          <w:color w:val="1E293B"/>
          <w:sz w:val="19"/>
        </w:rPr>
        <w:t>5. Cross-border international transfers and legal transfer mechanisms.</w:t>
      </w:r>
    </w:p>
    <w:p>
      <w:pPr>
        <w:spacing w:before="0" w:after="100"/>
      </w:pPr>
      <w:r>
        <w:rPr>
          <w:rFonts w:ascii="Segoe UI" w:hAnsi="Segoe UI"/>
          <w:color w:val="1E293B"/>
          <w:sz w:val="19"/>
        </w:rPr>
        <w:t>6. Statutory retention schedules (6 years for accounting data; 90 days for API debug logs).</w:t>
      </w:r>
    </w:p>
    <w:p>
      <w:pPr>
        <w:spacing w:before="0" w:after="100"/>
      </w:pPr>
      <w:r>
        <w:rPr>
          <w:rFonts w:ascii="Segoe UI" w:hAnsi="Segoe UI"/>
          <w:color w:val="1E293B"/>
          <w:sz w:val="19"/>
        </w:rPr>
        <w:t>7. General description of technical and organizational security measures (TOMs).</w:t>
      </w:r>
    </w:p>
    <w:p>
      <w:pPr>
        <w:keepNext/>
        <w:spacing w:before="240" w:after="80"/>
      </w:pPr>
      <w:r>
        <w:rPr>
          <w:rFonts w:ascii="Segoe UI" w:hAnsi="Segoe UI"/>
          <w:b/>
          <w:color w:val="FF7F6C"/>
          <w:sz w:val="24"/>
        </w:rPr>
        <w:t>4.4 Data Protection Impact Assessments (DPIA - Article 35)</w:t>
      </w:r>
    </w:p>
    <w:p>
      <w:pPr>
        <w:spacing w:before="0" w:after="100"/>
      </w:pPr>
      <w:r>
        <w:rPr>
          <w:rFonts w:ascii="Segoe UI" w:hAnsi="Segoe UI"/>
          <w:color w:val="1E293B"/>
          <w:sz w:val="19"/>
        </w:rPr>
        <w:t xml:space="preserve">Whenever new platform features involve automated decision-making, optical character recognition (OCR) on financial documents, or integrations with third-party banking APIs, a formal </w:t>
      </w:r>
      <w:r>
        <w:rPr>
          <w:rFonts w:ascii="Segoe UI" w:hAnsi="Segoe UI"/>
          <w:b/>
          <w:color w:val="1E293B"/>
          <w:sz w:val="19"/>
        </w:rPr>
        <w:t>Data Protection Impact Assessment (DPIA)</w:t>
      </w:r>
      <w:r>
        <w:rPr>
          <w:rFonts w:ascii="Segoe UI" w:hAnsi="Segoe UI"/>
          <w:color w:val="1E293B"/>
          <w:sz w:val="19"/>
        </w:rPr>
        <w:t xml:space="preserve"> is conducted by the Product Manager and reviewed by the DPO to evaluate privacy risks and implement mitigating controls before release.</w:t>
      </w:r>
    </w:p>
    <w:p>
      <w:pPr>
        <w:keepNext/>
        <w:spacing w:before="240" w:after="80"/>
      </w:pPr>
      <w:r>
        <w:rPr>
          <w:rFonts w:ascii="Segoe UI" w:hAnsi="Segoe UI"/>
          <w:b/>
          <w:color w:val="FF7F6C"/>
          <w:sz w:val="24"/>
        </w:rPr>
        <w:t>4.5 International Data Transfers &amp; Standard Contractual Clauses (SCCs)</w:t>
      </w:r>
    </w:p>
    <w:p>
      <w:pPr>
        <w:spacing w:before="0" w:after="100"/>
      </w:pPr>
      <w:r>
        <w:rPr>
          <w:rFonts w:ascii="Segoe UI" w:hAnsi="Segoe UI"/>
          <w:color w:val="1E293B"/>
          <w:sz w:val="19"/>
        </w:rPr>
        <w:t xml:space="preserve">All production databases and primary data processing facilities for blynt are hosted within the </w:t>
      </w:r>
      <w:r>
        <w:rPr>
          <w:rFonts w:ascii="Segoe UI" w:hAnsi="Segoe UI"/>
          <w:b/>
          <w:color w:val="1E293B"/>
          <w:sz w:val="19"/>
        </w:rPr>
        <w:t>United Kingdom (AWS eu-west-2, London)</w:t>
      </w:r>
      <w:r>
        <w:rPr>
          <w:rFonts w:ascii="Segoe UI" w:hAnsi="Segoe UI"/>
          <w:color w:val="1E293B"/>
          <w:sz w:val="19"/>
        </w:rPr>
        <w:t>.</w:t>
      </w:r>
    </w:p>
    <w:p>
      <w:pPr>
        <w:pStyle w:val="ListBullet"/>
        <w:spacing w:before="0" w:after="40"/>
      </w:pPr>
      <w:r>
        <w:rPr>
          <w:rFonts w:ascii="Segoe UI" w:hAnsi="Segoe UI"/>
          <w:color w:val="1E293B"/>
          <w:sz w:val="19"/>
        </w:rPr>
      </w:r>
      <w:r>
        <w:rPr>
          <w:rFonts w:ascii="Segoe UI" w:hAnsi="Segoe UI"/>
          <w:b/>
          <w:color w:val="1E293B"/>
          <w:sz w:val="19"/>
        </w:rPr>
        <w:t>Cross-Border Transfer Protections:</w:t>
      </w:r>
      <w:r>
        <w:rPr>
          <w:rFonts w:ascii="Segoe UI" w:hAnsi="Segoe UI"/>
          <w:color w:val="1E293B"/>
          <w:sz w:val="19"/>
        </w:rPr>
        <w:t xml:space="preserve"> Where sub-processors operate outside the UK or European Economic Area (EEA), transfers are governed by the UK </w:t>
      </w:r>
      <w:r>
        <w:rPr>
          <w:rFonts w:ascii="Segoe UI" w:hAnsi="Segoe UI"/>
          <w:b/>
          <w:color w:val="1E293B"/>
          <w:sz w:val="19"/>
        </w:rPr>
        <w:t>International Data Transfer Agreement (IDTA)</w:t>
      </w:r>
      <w:r>
        <w:rPr>
          <w:rFonts w:ascii="Segoe UI" w:hAnsi="Segoe UI"/>
          <w:color w:val="1E293B"/>
          <w:sz w:val="19"/>
        </w:rPr>
        <w:t xml:space="preserve"> or the EU Standard Contractual Clauses (SCCs) supplemented by formal Transfer Impact Assessments (TIAs) confirming adequate data protection equivalence.</w:t>
      </w:r>
    </w:p>
    <w:p>
      <w:pPr>
        <w:keepNext/>
        <w:spacing w:before="240" w:after="80"/>
      </w:pPr>
      <w:r>
        <w:rPr>
          <w:rFonts w:ascii="Segoe UI" w:hAnsi="Segoe UI"/>
          <w:b/>
          <w:color w:val="FF7F6C"/>
          <w:sz w:val="24"/>
        </w:rPr>
        <w:t>4.6 72-Hour Personal Data Breach Escalation Protocol (Articles 33 &amp; 34)</w:t>
      </w:r>
    </w:p>
    <w:p>
      <w:pPr>
        <w:spacing w:before="0" w:after="100"/>
      </w:pPr>
      <w:r>
        <w:rPr>
          <w:rFonts w:ascii="Segoe UI" w:hAnsi="Segoe UI"/>
          <w:color w:val="1E293B"/>
          <w:sz w:val="19"/>
        </w:rPr>
        <w:t>Under Articles 33 and 34 of the UK GDPR, personal data breaches must be identified, contained, assessed, and reported under strict legal timeframes:</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w:t>
              <w:br/>
              <w:t>|                                72-HOUR ICO BREACH ESCALATION TIMELINE                            |</w:t>
              <w:br/>
              <w:t>+---------------+----------------------------------------------------------------------------------+</w:t>
              <w:br/>
              <w:t>| Elapsed Time  | Mandatory Legal &amp; Technical Milestone                                            |</w:t>
              <w:br/>
              <w:t>+---------------+----------------------------------------------------------------------------------+</w:t>
              <w:br/>
              <w:t>| T = 0 Hours   | Security Incident Detected; P0 SIRT Team Activated; Immediate System Containment |</w:t>
              <w:br/>
              <w:t>| T + 12 Hours  | Forensic Triage Complete; Nature of Compromised Personal Data Categorized        |</w:t>
              <w:br/>
              <w:t>| T + 24 Hours  | DPO &amp; General Counsel Risk Assessment: Likelihood of Harm to Individuals Evaluated|</w:t>
              <w:br/>
              <w:t>| T + 48 Hours  | Formal Breach Notification Dossier Compiled (Root cause, impact, mitigations)   |</w:t>
              <w:br/>
              <w:t>| T &lt;= 72 Hours | Mandatory Formal Breach Notification Submitted to Information Commissioner (ICO) |</w:t>
              <w:br/>
              <w:t>| Post-72 Hours | Notification dispatched to affected Data Controllers / Individuals without delay|</w:t>
              <w:br/>
              <w:t>+---------------+----------------------------------------------------------------------------------+</w:t>
            </w:r>
          </w:p>
        </w:tc>
      </w:tr>
    </w:tbl>
    <w:p>
      <w:pPr>
        <w:spacing w:after="80"/>
      </w:pPr>
    </w:p>
    <w:p>
      <w:pPr>
        <w:spacing w:before="0" w:after="100"/>
      </w:pPr>
      <w:r>
        <w:rPr>
          <w:rFonts w:ascii="Segoe UI" w:hAnsi="Segoe UI"/>
          <w:color w:val="1E293B"/>
          <w:sz w:val="19"/>
        </w:rPr>
        <w:t>---</w:t>
      </w:r>
    </w:p>
    <w:p>
      <w:pPr>
        <w:keepNext/>
        <w:spacing w:before="320" w:after="120"/>
      </w:pPr>
      <w:r>
        <w:rPr>
          <w:rFonts w:ascii="Segoe UI" w:hAnsi="Segoe UI"/>
          <w:b/>
          <w:color w:val="162D5F"/>
          <w:sz w:val="30"/>
        </w:rPr>
        <w:t>5. Contractual Protections, SaaS Terms of Service &amp; SLA Guarantees</w:t>
      </w:r>
    </w:p>
    <w:p>
      <w:pPr>
        <w:keepNext/>
        <w:spacing w:before="240" w:after="80"/>
      </w:pPr>
      <w:r>
        <w:rPr>
          <w:rFonts w:ascii="Segoe UI" w:hAnsi="Segoe UI"/>
          <w:b/>
          <w:color w:val="FF7F6C"/>
          <w:sz w:val="24"/>
        </w:rPr>
        <w:t>5.1 Enterprise SaaS Agreement Structure</w:t>
      </w:r>
    </w:p>
    <w:p>
      <w:pPr>
        <w:spacing w:before="0" w:after="100"/>
      </w:pPr>
      <w:r>
        <w:rPr>
          <w:rFonts w:ascii="Segoe UI" w:hAnsi="Segoe UI"/>
          <w:color w:val="1E293B"/>
          <w:sz w:val="19"/>
        </w:rPr>
        <w:t xml:space="preserve">All enterprise customer relationships are governed by the </w:t>
      </w:r>
      <w:r>
        <w:rPr>
          <w:rFonts w:ascii="Segoe UI" w:hAnsi="Segoe UI"/>
          <w:b/>
          <w:color w:val="1E293B"/>
          <w:sz w:val="19"/>
        </w:rPr>
        <w:t>blynt Master Services Agreement (MSA)</w:t>
      </w:r>
      <w:r>
        <w:rPr>
          <w:rFonts w:ascii="Segoe UI" w:hAnsi="Segoe UI"/>
          <w:color w:val="1E293B"/>
          <w:sz w:val="19"/>
        </w:rPr>
        <w:t xml:space="preserve"> and incorporated schedules:</w:t>
      </w:r>
    </w:p>
    <w:p>
      <w:pPr>
        <w:spacing w:before="0" w:after="100"/>
      </w:pPr>
      <w:r>
        <w:rPr>
          <w:rFonts w:ascii="Segoe UI" w:hAnsi="Segoe UI"/>
          <w:color w:val="1E293B"/>
          <w:sz w:val="19"/>
        </w:rPr>
        <w:t xml:space="preserve">1. </w:t>
      </w:r>
      <w:r>
        <w:rPr>
          <w:rFonts w:ascii="Segoe UI" w:hAnsi="Segoe UI"/>
          <w:b/>
          <w:color w:val="1E293B"/>
          <w:sz w:val="19"/>
        </w:rPr>
        <w:t>Schedule 1: Service Level Agreement (SLA)</w:t>
      </w:r>
      <w:r>
        <w:rPr>
          <w:rFonts w:ascii="Segoe UI" w:hAnsi="Segoe UI"/>
          <w:color w:val="1E293B"/>
          <w:sz w:val="19"/>
        </w:rPr>
        <w:t xml:space="preserve"> — Guaranteeing </w:t>
      </w:r>
      <w:r>
        <w:rPr>
          <w:rFonts w:ascii="Segoe UI" w:hAnsi="Segoe UI"/>
          <w:b/>
          <w:color w:val="1E293B"/>
          <w:sz w:val="19"/>
        </w:rPr>
        <w:t>99.95% monthly uptime</w:t>
      </w:r>
      <w:r>
        <w:rPr>
          <w:rFonts w:ascii="Segoe UI" w:hAnsi="Segoe UI"/>
          <w:color w:val="1E293B"/>
          <w:sz w:val="19"/>
        </w:rPr>
        <w:t xml:space="preserve"> availability (excluding scheduled maintenance) with financial service credits scaling up to 25% of monthly fees in the event of SLA breach.</w:t>
      </w:r>
    </w:p>
    <w:p>
      <w:pPr>
        <w:spacing w:before="0" w:after="100"/>
      </w:pPr>
      <w:r>
        <w:rPr>
          <w:rFonts w:ascii="Segoe UI" w:hAnsi="Segoe UI"/>
          <w:color w:val="1E293B"/>
          <w:sz w:val="19"/>
        </w:rPr>
        <w:t xml:space="preserve">2. </w:t>
      </w:r>
      <w:r>
        <w:rPr>
          <w:rFonts w:ascii="Segoe UI" w:hAnsi="Segoe UI"/>
          <w:b/>
          <w:color w:val="1E293B"/>
          <w:sz w:val="19"/>
        </w:rPr>
        <w:t>Schedule 2: Data Processing Addendum (DPA)</w:t>
      </w:r>
      <w:r>
        <w:rPr>
          <w:rFonts w:ascii="Segoe UI" w:hAnsi="Segoe UI"/>
          <w:color w:val="1E293B"/>
          <w:sz w:val="19"/>
        </w:rPr>
        <w:t xml:space="preserve"> — Binding blynt to statutory UK GDPR Article 28 processor obligations, confidentiality mandates, and sub-processor notification windows (minimum 30 days prior notice of new sub-processors).</w:t>
      </w:r>
    </w:p>
    <w:p>
      <w:pPr>
        <w:spacing w:before="0" w:after="100"/>
      </w:pPr>
      <w:r>
        <w:rPr>
          <w:rFonts w:ascii="Segoe UI" w:hAnsi="Segoe UI"/>
          <w:color w:val="1E293B"/>
          <w:sz w:val="19"/>
        </w:rPr>
        <w:t xml:space="preserve">3. </w:t>
      </w:r>
      <w:r>
        <w:rPr>
          <w:rFonts w:ascii="Segoe UI" w:hAnsi="Segoe UI"/>
          <w:b/>
          <w:color w:val="1E293B"/>
          <w:sz w:val="19"/>
        </w:rPr>
        <w:t>Schedule 3: Acceptable Use Policy (AUP)</w:t>
      </w:r>
      <w:r>
        <w:rPr>
          <w:rFonts w:ascii="Segoe UI" w:hAnsi="Segoe UI"/>
          <w:color w:val="1E293B"/>
          <w:sz w:val="19"/>
        </w:rPr>
        <w:t xml:space="preserve"> — Prohibiting illegal financial transactions, money laundering, sanctions evasion, and unauthorized penetration testing against production nodes.</w:t>
      </w:r>
    </w:p>
    <w:p>
      <w:pPr>
        <w:keepNext/>
        <w:spacing w:before="240" w:after="80"/>
      </w:pPr>
      <w:r>
        <w:rPr>
          <w:rFonts w:ascii="Segoe UI" w:hAnsi="Segoe UI"/>
          <w:b/>
          <w:color w:val="FF7F6C"/>
          <w:sz w:val="24"/>
        </w:rPr>
        <w:t>5.2 Limitation of Liability &amp; Tax Disclaimer</w:t>
      </w:r>
    </w:p>
    <w:p>
      <w:pPr>
        <w:pStyle w:val="ListBullet"/>
        <w:spacing w:before="0" w:after="40"/>
      </w:pPr>
      <w:r>
        <w:rPr>
          <w:rFonts w:ascii="Segoe UI" w:hAnsi="Segoe UI"/>
          <w:color w:val="1E293B"/>
          <w:sz w:val="19"/>
        </w:rPr>
      </w:r>
      <w:r>
        <w:rPr>
          <w:rFonts w:ascii="Segoe UI" w:hAnsi="Segoe UI"/>
          <w:b/>
          <w:color w:val="1E293B"/>
          <w:sz w:val="19"/>
        </w:rPr>
        <w:t>Accounting Decision Autonomy:</w:t>
      </w:r>
      <w:r>
        <w:rPr>
          <w:rFonts w:ascii="Segoe UI" w:hAnsi="Segoe UI"/>
          <w:color w:val="1E293B"/>
          <w:sz w:val="19"/>
        </w:rPr>
        <w:t xml:space="preserve"> The MSA explicitly affirms that while blynt provides high-precision automated calculation and validation tools, the customer's appointed company directors and certified accountants retain ultimate statutory responsibility under the Companies Act 2006 for the accuracy and completeness of statutory accounts and HMRC tax filings.</w:t>
      </w:r>
    </w:p>
    <w:p>
      <w:pPr>
        <w:pStyle w:val="ListBullet"/>
        <w:spacing w:before="0" w:after="40"/>
      </w:pPr>
      <w:r>
        <w:rPr>
          <w:rFonts w:ascii="Segoe UI" w:hAnsi="Segoe UI"/>
          <w:color w:val="1E293B"/>
          <w:sz w:val="19"/>
        </w:rPr>
      </w:r>
      <w:r>
        <w:rPr>
          <w:rFonts w:ascii="Segoe UI" w:hAnsi="Segoe UI"/>
          <w:b/>
          <w:color w:val="1E293B"/>
          <w:sz w:val="19"/>
        </w:rPr>
        <w:t>Liability Caps:</w:t>
      </w:r>
      <w:r>
        <w:rPr>
          <w:rFonts w:ascii="Segoe UI" w:hAnsi="Segoe UI"/>
          <w:color w:val="1E293B"/>
          <w:sz w:val="19"/>
        </w:rPr>
        <w:t xml:space="preserve"> Aggregate liability is commercially balanced and capped at 12 months of paid subscription fees, excluding breaches of confidentiality, data protection indemnities, or gross negligence.</w:t>
      </w:r>
    </w:p>
    <w:p>
      <w:pPr>
        <w:keepNext/>
        <w:spacing w:before="240" w:after="80"/>
      </w:pPr>
      <w:r>
        <w:rPr>
          <w:rFonts w:ascii="Segoe UI" w:hAnsi="Segoe UI"/>
          <w:b/>
          <w:color w:val="FF7F6C"/>
          <w:sz w:val="24"/>
        </w:rPr>
        <w:t>5.3 Exit Management &amp; Cryptographic Offboarding</w:t>
      </w:r>
    </w:p>
    <w:p>
      <w:pPr>
        <w:spacing w:before="0" w:after="100"/>
      </w:pPr>
      <w:r>
        <w:rPr>
          <w:rFonts w:ascii="Segoe UI" w:hAnsi="Segoe UI"/>
          <w:color w:val="1E293B"/>
          <w:sz w:val="19"/>
        </w:rPr>
        <w:t>Upon termination of an enterprise subscription:</w:t>
      </w:r>
    </w:p>
    <w:p>
      <w:pPr>
        <w:pStyle w:val="ListBullet"/>
        <w:spacing w:before="0" w:after="40"/>
      </w:pPr>
      <w:r>
        <w:rPr>
          <w:rFonts w:ascii="Segoe UI" w:hAnsi="Segoe UI"/>
          <w:color w:val="1E293B"/>
          <w:sz w:val="19"/>
        </w:rPr>
      </w:r>
      <w:r>
        <w:rPr>
          <w:rFonts w:ascii="Segoe UI" w:hAnsi="Segoe UI"/>
          <w:b/>
          <w:color w:val="1E293B"/>
          <w:sz w:val="19"/>
        </w:rPr>
        <w:t>90-Day Transition Window:</w:t>
      </w:r>
      <w:r>
        <w:rPr>
          <w:rFonts w:ascii="Segoe UI" w:hAnsi="Segoe UI"/>
          <w:color w:val="1E293B"/>
          <w:sz w:val="19"/>
        </w:rPr>
        <w:t xml:space="preserve"> The tenant maintains full read-only export access to download all historical journal lines, invoices, audit trails, and vouchers in standardized, open formats (JSON, CSV, PDF, and SAF-T compatible XML).</w:t>
      </w:r>
    </w:p>
    <w:p>
      <w:pPr>
        <w:pStyle w:val="ListBullet"/>
        <w:spacing w:before="0" w:after="40"/>
      </w:pPr>
      <w:r>
        <w:rPr>
          <w:rFonts w:ascii="Segoe UI" w:hAnsi="Segoe UI"/>
          <w:color w:val="1E293B"/>
          <w:sz w:val="19"/>
        </w:rPr>
      </w:r>
      <w:r>
        <w:rPr>
          <w:rFonts w:ascii="Segoe UI" w:hAnsi="Segoe UI"/>
          <w:b/>
          <w:color w:val="1E293B"/>
          <w:sz w:val="19"/>
        </w:rPr>
        <w:t>Cryptographic Destruction:</w:t>
      </w:r>
      <w:r>
        <w:rPr>
          <w:rFonts w:ascii="Segoe UI" w:hAnsi="Segoe UI"/>
          <w:color w:val="1E293B"/>
          <w:sz w:val="19"/>
        </w:rPr>
        <w:t xml:space="preserve"> Following the transition window, tenant encryption keys in AWS KMS are permanently revoked, rendering all stored tenant ciphertext irrevocably unrecoverable across all storage tiers. A formal Certificate of Cryptographic Destruction is issued to the tenant.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