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85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 w:after="160"/>
        <w:jc w:val="center"/>
      </w:pPr>
      <w:r>
        <w:rPr>
          <w:rFonts w:ascii="Segoe UI" w:hAnsi="Segoe UI"/>
          <w:b/>
          <w:color w:val="162D5F"/>
          <w:sz w:val="76"/>
        </w:rPr>
        <w:t>blynt</w:t>
      </w:r>
    </w:p>
    <w:p>
      <w:pPr>
        <w:spacing w:after="240"/>
        <w:jc w:val="center"/>
      </w:pPr>
      <w:r>
        <w:rPr>
          <w:rFonts w:ascii="Segoe UI" w:hAnsi="Segoe UI"/>
          <w:b/>
          <w:color w:val="162D5F"/>
          <w:sz w:val="32"/>
        </w:rPr>
        <w:t>COMPLETE 50-PHASE ROADMAP &amp; ENGINEERING SPECIFICATION</w:t>
      </w:r>
    </w:p>
    <w:p>
      <w:pPr>
        <w:spacing w:after="400"/>
        <w:jc w:val="center"/>
      </w:pPr>
      <w:r>
        <w:rPr>
          <w:rFonts w:ascii="Segoe UI" w:hAnsi="Segoe UI"/>
          <w:color w:val="FF7F6C"/>
          <w:sz w:val="22"/>
        </w:rPr>
        <w:t>Granular Architectural Phase Breakdown • Milestones 1 to 4 • Deliverables, Endpoints &amp; DB Schemas</w:t>
        <w:br/>
        <w:t>Statutory UK HMRC MTD Readiness • Open Banking &amp; AI Intelligence Strategy</w:t>
        <w:br/>
        <w:t>Authoritative Engineering Roadmap •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62D5F"/>
                <w:sz w:val="24"/>
              </w:rPr>
              <w:t>Strategic Phase Architecture Notice</w:t>
              <w:br/>
            </w:r>
            <w:r>
              <w:rPr>
                <w:rFonts w:ascii="Segoe UI" w:hAnsi="Segoe UI"/>
                <w:i/>
                <w:color w:val="475569"/>
                <w:sz w:val="20"/>
              </w:rPr>
              <w:t>This standalone manual provides exhaustive technical, functional, and architectural documentation for all 50 discrete phases of the blynt financial operating system across four major strategic milestones.</w:t>
            </w:r>
          </w:p>
        </w:tc>
      </w:tr>
    </w:tbl>
    <w:p>
      <w:pPr>
        <w:spacing w:before="600"/>
        <w:jc w:val="center"/>
      </w:pPr>
      <w:r>
        <w:rPr>
          <w:rFonts w:ascii="Segoe UI" w:hAnsi="Segoe UI"/>
          <w:b/>
          <w:color w:val="162D5F"/>
          <w:sz w:val="19"/>
        </w:rPr>
        <w:t xml:space="preserve">Document Ref: </w:t>
      </w:r>
      <w:r>
        <w:rPr>
          <w:rFonts w:ascii="Segoe UI" w:hAnsi="Segoe UI"/>
          <w:color w:val="1E293B"/>
          <w:sz w:val="19"/>
        </w:rPr>
        <w:t>BLYNT-ENG-PHASES-V1</w:t>
        <w:br/>
      </w:r>
      <w:r>
        <w:rPr>
          <w:rFonts w:ascii="Segoe UI" w:hAnsi="Segoe UI"/>
          <w:b/>
          <w:color w:val="162D5F"/>
          <w:sz w:val="19"/>
        </w:rPr>
        <w:t xml:space="preserve">System Name: </w:t>
      </w:r>
      <w:r>
        <w:rPr>
          <w:rFonts w:ascii="Segoe UI" w:hAnsi="Segoe UI"/>
          <w:color w:val="1E293B"/>
          <w:sz w:val="19"/>
        </w:rPr>
        <w:t>blynt (Internal Code: Ledgerline)</w:t>
        <w:br/>
      </w:r>
      <w:r>
        <w:rPr>
          <w:rFonts w:ascii="Segoe UI" w:hAnsi="Segoe UI"/>
          <w:b/>
          <w:color w:val="162D5F"/>
          <w:sz w:val="19"/>
        </w:rPr>
        <w:t xml:space="preserve">Roadmap Scope: </w:t>
      </w:r>
      <w:r>
        <w:rPr>
          <w:rFonts w:ascii="Segoe UI" w:hAnsi="Segoe UI"/>
          <w:color w:val="1E293B"/>
          <w:sz w:val="19"/>
        </w:rPr>
        <w:t>50 Discrete Phases across 4 Strategic Milestones</w:t>
        <w:br/>
      </w:r>
      <w:r>
        <w:rPr>
          <w:rFonts w:ascii="Segoe UI" w:hAnsi="Segoe UI"/>
          <w:b/>
          <w:color w:val="162D5F"/>
          <w:sz w:val="19"/>
        </w:rPr>
        <w:t xml:space="preserve">Milestone 1 State: </w:t>
      </w:r>
      <w:r>
        <w:rPr>
          <w:rFonts w:ascii="Segoe UI" w:hAnsi="Segoe UI"/>
          <w:color w:val="1E293B"/>
          <w:sz w:val="19"/>
        </w:rPr>
        <w:t>Completed &amp; Verified (Phases 1–8: 26 Suites / 127 Tests Passing)</w:t>
        <w:br/>
      </w:r>
      <w:r>
        <w:rPr>
          <w:rFonts w:ascii="Segoe UI" w:hAnsi="Segoe UI"/>
          <w:b/>
          <w:color w:val="162D5F"/>
          <w:sz w:val="19"/>
        </w:rPr>
        <w:t xml:space="preserve">Milestone 2 State: </w:t>
      </w:r>
      <w:r>
        <w:rPr>
          <w:rFonts w:ascii="Segoe UI" w:hAnsi="Segoe UI"/>
          <w:color w:val="1E293B"/>
          <w:sz w:val="19"/>
        </w:rPr>
        <w:t>Delivered &amp; Active (Phases 9–15: Invoicing, Contacts V2, Reports V1)</w:t>
        <w:br/>
      </w:r>
      <w:r>
        <w:rPr>
          <w:rFonts w:ascii="Segoe UI" w:hAnsi="Segoe UI"/>
          <w:b/>
          <w:color w:val="162D5F"/>
          <w:sz w:val="19"/>
        </w:rPr>
        <w:t xml:space="preserve">Milestone 3 State: </w:t>
      </w:r>
      <w:r>
        <w:rPr>
          <w:rFonts w:ascii="Segoe UI" w:hAnsi="Segoe UI"/>
          <w:color w:val="1E293B"/>
          <w:sz w:val="19"/>
        </w:rPr>
        <w:t>Planned Q1 2027 (Phases 16–25: HMRC MTD, VAT Returns, Year-End)</w:t>
        <w:br/>
      </w:r>
      <w:r>
        <w:rPr>
          <w:rFonts w:ascii="Segoe UI" w:hAnsi="Segoe UI"/>
          <w:b/>
          <w:color w:val="162D5F"/>
          <w:sz w:val="19"/>
        </w:rPr>
        <w:t xml:space="preserve">Milestone 4 State: </w:t>
      </w:r>
      <w:r>
        <w:rPr>
          <w:rFonts w:ascii="Segoe UI" w:hAnsi="Segoe UI"/>
          <w:color w:val="1E293B"/>
          <w:sz w:val="19"/>
        </w:rPr>
        <w:t>Planned Q2 2027+ (Phases 26–50: Open Banking, AI Intelligence, Multi-Currency)</w:t>
        <w:br/>
      </w:r>
      <w:r>
        <w:rPr>
          <w:rFonts w:ascii="Segoe UI" w:hAnsi="Segoe UI"/>
          <w:b/>
          <w:color w:val="162D5F"/>
          <w:sz w:val="19"/>
        </w:rPr>
        <w:t xml:space="preserve">Classification: </w:t>
      </w:r>
      <w:r>
        <w:rPr>
          <w:rFonts w:ascii="Segoe UI" w:hAnsi="Segoe UI"/>
          <w:color w:val="1E293B"/>
          <w:sz w:val="19"/>
        </w:rPr>
        <w:t>Confidential Engineering Architecture &amp; Roadmap Specification</w:t>
        <w:br/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blynt — Complete 50-Phase Roadmap &amp; Engineering Specification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Classification:</w:t>
      </w:r>
      <w:r>
        <w:rPr>
          <w:rFonts w:ascii="Segoe UI" w:hAnsi="Segoe UI"/>
        </w:rPr>
        <w:t xml:space="preserve"> Strategic Engineering Roadmap &amp; Phase Architecture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Target Systems: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</w:t>
      </w:r>
      <w:r>
        <w:rPr>
          <w:rFonts w:ascii="Segoe UI" w:hAnsi="Segoe UI"/>
        </w:rPr>
        <w:t xml:space="preserve"> (NestJS 11 Backend), </w:t>
      </w:r>
      <w:r>
        <w:rPr>
          <w:rFonts w:ascii="Consolas" w:hAnsi="Consolas"/>
          <w:color w:val="B42828"/>
          <w:sz w:val="19"/>
        </w:rPr>
        <w:t>apps/web</w:t>
      </w:r>
      <w:r>
        <w:rPr>
          <w:rFonts w:ascii="Segoe UI" w:hAnsi="Segoe UI"/>
        </w:rPr>
        <w:t xml:space="preserve"> (Next.js 15 Frontend), </w:t>
      </w:r>
      <w:r>
        <w:rPr>
          <w:rFonts w:ascii="Consolas" w:hAnsi="Consolas"/>
          <w:color w:val="B42828"/>
          <w:sz w:val="19"/>
        </w:rPr>
        <w:t>prisma/schema.prisma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Execution Horizon:</w:t>
      </w:r>
      <w:r>
        <w:rPr>
          <w:rFonts w:ascii="Segoe UI" w:hAnsi="Segoe UI"/>
        </w:rPr>
        <w:t xml:space="preserve"> 50 Discrete Engineering Phases across 4 Strategic Milestones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Version:</w:t>
      </w:r>
      <w:r>
        <w:rPr>
          <w:rFonts w:ascii="Segoe UI" w:hAnsi="Segoe UI"/>
        </w:rPr>
        <w:t xml:space="preserve"> 1.0 Production Readiness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Ref: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BLYNT-ENG-PHASES-V1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Table of Contents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1. Strategic Roadmap Vision &amp; Milestone Architecture</w:t>
      </w:r>
    </w:p>
    <w:p>
      <w:pPr>
        <w:pStyle w:val="ListBullet"/>
        <w:spacing w:before="20" w:after="40"/>
      </w:pPr>
      <w:r>
        <w:rPr>
          <w:rFonts w:ascii="Segoe UI" w:hAnsi="Segoe UI"/>
        </w:rPr>
        <w:t>1.1 The 4-Milestone Strategic Evolution Framework</w:t>
      </w:r>
    </w:p>
    <w:p>
      <w:pPr>
        <w:pStyle w:val="ListBullet"/>
        <w:spacing w:before="20" w:after="40"/>
      </w:pPr>
      <w:r>
        <w:rPr>
          <w:rFonts w:ascii="Segoe UI" w:hAnsi="Segoe UI"/>
        </w:rPr>
        <w:t>1.2 Core Architectural Principles &amp; Gatekeeper Criteria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2. Milestone 1: The Indestructible Foundation (Phases 1–8) — [COMPLETED &amp; VERIFIED]</w:t>
      </w:r>
    </w:p>
    <w:p>
      <w:pPr>
        <w:pStyle w:val="ListBullet"/>
        <w:spacing w:before="20" w:after="40"/>
      </w:pPr>
      <w:r>
        <w:rPr>
          <w:rFonts w:ascii="Segoe UI" w:hAnsi="Segoe UI"/>
        </w:rPr>
        <w:t>2.1 Phase 1: Project &amp; Database Foundation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2.2 Phase 2: Authentication &amp; Sessions</w:t>
      </w:r>
    </w:p>
    <w:p>
      <w:pPr>
        <w:pStyle w:val="ListBullet"/>
        <w:spacing w:before="20" w:after="40"/>
      </w:pPr>
      <w:r>
        <w:rPr>
          <w:rFonts w:ascii="Segoe UI" w:hAnsi="Segoe UI"/>
        </w:rPr>
        <w:t>2.3 Phase 3: Multi-Organisation Management</w:t>
      </w:r>
    </w:p>
    <w:p>
      <w:pPr>
        <w:pStyle w:val="ListBullet"/>
        <w:spacing w:before="20" w:after="40"/>
      </w:pPr>
      <w:r>
        <w:rPr>
          <w:rFonts w:ascii="Segoe UI" w:hAnsi="Segoe UI"/>
        </w:rPr>
        <w:t>2.4 Phase 4: Roles &amp; Permissions (RBAC)</w:t>
      </w:r>
    </w:p>
    <w:p>
      <w:pPr>
        <w:pStyle w:val="ListBullet"/>
        <w:spacing w:before="20" w:after="40"/>
      </w:pPr>
      <w:r>
        <w:rPr>
          <w:rFonts w:ascii="Segoe UI" w:hAnsi="Segoe UI"/>
        </w:rPr>
        <w:t>2.5 Phase 5: Chart of Accounts &amp; UK Template Seeding</w:t>
      </w:r>
    </w:p>
    <w:p>
      <w:pPr>
        <w:pStyle w:val="ListBullet"/>
        <w:spacing w:before="20" w:after="40"/>
      </w:pPr>
      <w:r>
        <w:rPr>
          <w:rFonts w:ascii="Segoe UI" w:hAnsi="Segoe UI"/>
        </w:rPr>
        <w:t>2.6 Phase 6: Financial Years &amp; Accounting Periods</w:t>
      </w:r>
    </w:p>
    <w:p>
      <w:pPr>
        <w:pStyle w:val="ListBullet"/>
        <w:spacing w:before="20" w:after="40"/>
      </w:pPr>
      <w:r>
        <w:rPr>
          <w:rFonts w:ascii="Segoe UI" w:hAnsi="Segoe UI"/>
        </w:rPr>
        <w:t>2.7 Phase 7: Manual Journal Entry &amp; Multi-Line Grid</w:t>
      </w:r>
    </w:p>
    <w:p>
      <w:pPr>
        <w:pStyle w:val="ListBullet"/>
        <w:spacing w:before="20" w:after="40"/>
      </w:pPr>
      <w:r>
        <w:rPr>
          <w:rFonts w:ascii="Segoe UI" w:hAnsi="Segoe UI"/>
        </w:rPr>
        <w:t>2.8 Phase 8: Journal Validation Engine &amp; The 15 Invariants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3. Milestone 2: Commercial Workflows &amp; Subledgers (Phases 9–15) — [ACTIVE &amp; DELIVERED]</w:t>
      </w:r>
    </w:p>
    <w:p>
      <w:pPr>
        <w:pStyle w:val="ListBullet"/>
        <w:spacing w:before="20" w:after="40"/>
      </w:pPr>
      <w:r>
        <w:rPr>
          <w:rFonts w:ascii="Segoe UI" w:hAnsi="Segoe UI"/>
        </w:rPr>
        <w:t>3.1 Phase 9: Contacts V2 &amp; Subledger Architecture</w:t>
      </w:r>
    </w:p>
    <w:p>
      <w:pPr>
        <w:pStyle w:val="ListBullet"/>
        <w:spacing w:before="20" w:after="40"/>
      </w:pPr>
      <w:r>
        <w:rPr>
          <w:rFonts w:ascii="Segoe UI" w:hAnsi="Segoe UI"/>
        </w:rPr>
        <w:t>3.2 Phase 10: Sales Invoicing &amp; General Ledger Auto-Posting</w:t>
      </w:r>
    </w:p>
    <w:p>
      <w:pPr>
        <w:pStyle w:val="ListBullet"/>
        <w:spacing w:before="20" w:after="40"/>
      </w:pPr>
      <w:r>
        <w:rPr>
          <w:rFonts w:ascii="Segoe UI" w:hAnsi="Segoe UI"/>
        </w:rPr>
        <w:t>3.3 Phase 11: Customer Statements &amp; Ageing Analysis</w:t>
      </w:r>
    </w:p>
    <w:p>
      <w:pPr>
        <w:pStyle w:val="ListBullet"/>
        <w:spacing w:before="20" w:after="40"/>
      </w:pPr>
      <w:r>
        <w:rPr>
          <w:rFonts w:ascii="Segoe UI" w:hAnsi="Segoe UI"/>
        </w:rPr>
        <w:t>3.4 Phase 12: Purchase Bills &amp; Accounts Payable Subledger</w:t>
      </w:r>
    </w:p>
    <w:p>
      <w:pPr>
        <w:pStyle w:val="ListBullet"/>
        <w:spacing w:before="20" w:after="40"/>
      </w:pPr>
      <w:r>
        <w:rPr>
          <w:rFonts w:ascii="Segoe UI" w:hAnsi="Segoe UI"/>
        </w:rPr>
        <w:t>3.5 Phase 13: Customer Receipts, Supplier Payments &amp; Allocations</w:t>
      </w:r>
    </w:p>
    <w:p>
      <w:pPr>
        <w:pStyle w:val="ListBullet"/>
        <w:spacing w:before="20" w:after="40"/>
      </w:pPr>
      <w:r>
        <w:rPr>
          <w:rFonts w:ascii="Segoe UI" w:hAnsi="Segoe UI"/>
        </w:rPr>
        <w:t>3.6 Phase 14: Bank Accounts &amp; Manual Bank Statement Reconciliation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3.7 Phase 15: Financial Reporting Suite V1 (TB, P&amp;L, Balance Sheet)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4. Milestone 3: UK Statutory Tax &amp; HMRC MTD Integration (Phases 16–25) — [PLANNED Q1 2027]</w:t>
      </w:r>
    </w:p>
    <w:p>
      <w:pPr>
        <w:pStyle w:val="ListBullet"/>
        <w:spacing w:before="20" w:after="40"/>
      </w:pPr>
      <w:r>
        <w:rPr>
          <w:rFonts w:ascii="Segoe UI" w:hAnsi="Segoe UI"/>
        </w:rPr>
        <w:t>4.1 Phase 16: UK VAT Return Calculation (Boxes 1–9)</w:t>
      </w:r>
    </w:p>
    <w:p>
      <w:pPr>
        <w:pStyle w:val="ListBullet"/>
        <w:spacing w:before="20" w:after="40"/>
      </w:pPr>
      <w:r>
        <w:rPr>
          <w:rFonts w:ascii="Segoe UI" w:hAnsi="Segoe UI"/>
        </w:rPr>
        <w:t>4.2 Phase 17: HMRC Making Tax Digital (MTD) Direct API Integration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4.3 Phase 18: Year-End Close Automation &amp; Retained Earnings Rollover</w:t>
      </w:r>
    </w:p>
    <w:p>
      <w:pPr>
        <w:pStyle w:val="ListBullet"/>
        <w:spacing w:before="20" w:after="40"/>
      </w:pPr>
      <w:r>
        <w:rPr>
          <w:rFonts w:ascii="Segoe UI" w:hAnsi="Segoe UI"/>
        </w:rPr>
        <w:t>4.4 Phase 19: Fixed Asset Register &amp; Automated Depreciation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4.5 Phase 20: EC Sales List &amp; Domestic Reverse Charge VAT</w:t>
      </w:r>
    </w:p>
    <w:p>
      <w:pPr>
        <w:pStyle w:val="ListBullet"/>
        <w:spacing w:before="20" w:after="40"/>
      </w:pPr>
      <w:r>
        <w:rPr>
          <w:rFonts w:ascii="Segoe UI" w:hAnsi="Segoe UI"/>
        </w:rPr>
        <w:t>4.6 Phase 21: Multi-Client Accounting Practice Portal</w:t>
      </w:r>
    </w:p>
    <w:p>
      <w:pPr>
        <w:pStyle w:val="ListBullet"/>
        <w:spacing w:before="20" w:after="40"/>
      </w:pPr>
      <w:r>
        <w:rPr>
          <w:rFonts w:ascii="Segoe UI" w:hAnsi="Segoe UI"/>
        </w:rPr>
        <w:t>4.7 Phase 22: Companies House Micro-Entity Filing (FRS 105)</w:t>
      </w:r>
    </w:p>
    <w:p>
      <w:pPr>
        <w:pStyle w:val="ListBullet"/>
        <w:spacing w:before="20" w:after="40"/>
      </w:pPr>
      <w:r>
        <w:rPr>
          <w:rFonts w:ascii="Segoe UI" w:hAnsi="Segoe UI"/>
        </w:rPr>
        <w:t>4.8 Phase 23: Departmental Budgeting &amp; Variance Reporting</w:t>
      </w:r>
    </w:p>
    <w:p>
      <w:pPr>
        <w:pStyle w:val="ListBullet"/>
        <w:spacing w:before="20" w:after="40"/>
      </w:pPr>
      <w:r>
        <w:rPr>
          <w:rFonts w:ascii="Segoe UI" w:hAnsi="Segoe UI"/>
        </w:rPr>
        <w:t>4.9 Phase 24: Recurring Journals, Prepayments &amp; Accruals</w:t>
      </w:r>
    </w:p>
    <w:p>
      <w:pPr>
        <w:pStyle w:val="ListBullet"/>
        <w:spacing w:before="20" w:after="40"/>
      </w:pPr>
      <w:r>
        <w:rPr>
          <w:rFonts w:ascii="Segoe UI" w:hAnsi="Segoe UI"/>
        </w:rPr>
        <w:t>4.10 Phase 25: Statutory Compliance &amp; External Audit Export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5. Milestone 4: Advanced Operations, AI &amp; Ecosystem (Phases 26–50) — [PLANNED Q2 2027+]</w:t>
      </w:r>
    </w:p>
    <w:p>
      <w:pPr>
        <w:pStyle w:val="ListBullet"/>
        <w:spacing w:before="20" w:after="40"/>
      </w:pPr>
      <w:r>
        <w:rPr>
          <w:rFonts w:ascii="Segoe UI" w:hAnsi="Segoe UI"/>
        </w:rPr>
        <w:t>5.1 Phases 26–30: UK Open Banking Live Bank Feeds (TrueLayer / Plaid)</w:t>
      </w:r>
    </w:p>
    <w:p>
      <w:pPr>
        <w:pStyle w:val="ListBullet"/>
        <w:spacing w:before="20" w:after="40"/>
      </w:pPr>
      <w:r>
        <w:rPr>
          <w:rFonts w:ascii="Segoe UI" w:hAnsi="Segoe UI"/>
        </w:rPr>
        <w:t>5.2 Phases 31–35: AI Optical Character Recognition (OCR) &amp; Receipt Capture</w:t>
      </w:r>
    </w:p>
    <w:p>
      <w:pPr>
        <w:pStyle w:val="ListBullet"/>
        <w:spacing w:before="20" w:after="40"/>
      </w:pPr>
      <w:r>
        <w:rPr>
          <w:rFonts w:ascii="Segoe UI" w:hAnsi="Segoe UI"/>
        </w:rPr>
        <w:t>5.3 Phases 36–40: Machine Learning Nominal Categorization &amp; Guardrails</w:t>
      </w:r>
    </w:p>
    <w:p>
      <w:pPr>
        <w:pStyle w:val="ListBullet"/>
        <w:spacing w:before="20" w:after="40"/>
      </w:pPr>
      <w:r>
        <w:rPr>
          <w:rFonts w:ascii="Segoe UI" w:hAnsi="Segoe UI"/>
        </w:rPr>
        <w:t>5.4 Phases 41–45: Multi-Currency &amp; Realized/Unrealized FX Revaluations</w:t>
      </w:r>
    </w:p>
    <w:p>
      <w:pPr>
        <w:pStyle w:val="ListBullet"/>
        <w:spacing w:before="20" w:after="40"/>
      </w:pPr>
      <w:r>
        <w:rPr>
          <w:rFonts w:ascii="Segoe UI" w:hAnsi="Segoe UI"/>
        </w:rPr>
        <w:t>5.5 Phases 46–50: Intercompany Consolidation, Elimination &amp; Group Accounts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6. Phase Dependency Matrix &amp; Release Timeline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1. Strategic Roadmap Vision &amp; Milestone Architecture</w:t>
      </w:r>
    </w:p>
    <w:p>
      <w:pPr>
        <w:spacing w:before="40" w:after="80" w:line="276" w:lineRule="auto"/>
      </w:pPr>
      <w:r>
        <w:rPr>
          <w:rFonts w:ascii="Segoe UI" w:hAnsi="Segoe UI"/>
        </w:rPr>
        <w:t>Building an institutional double-entry accounting operating system requires a sequential, layered approach. Autonomous AI tax filing or Open Banking integrations cannot succeed without an indestructible mathematical and relational ledger core.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_roadmap_milest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Roadmap - Master 50-Phase Strategic Evolution Roadmap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1.1 The 4-Milestone Strategic Evolution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Phase Range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Core Strategic Theme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Business Value Delivered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Milestone 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Phases 1–8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COMPLETED &amp; VERIFIED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The Indestructible Foundation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Mathematical zero-drift engine, double-entry general ledger, multi-tenancy, RBAC, 15 accounting invariants. Verified by 26 test suites (127 tests).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Milestone 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Phases 9–15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ACTIVE &amp; DELIVERED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Commercial Workflows &amp; Subledgers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Real-time sales invoicing, Accounts Receivable/Payable subledgers, dynamic contact balances, customer statements, Trial Balance, P&amp;L, Balance Sheet.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Milestone 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Phases 16–25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PLANNED Q1 2027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UK Statutory Tax &amp; HMRC MTD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Making Tax Digital (MTD) direct VAT filing with HMRC, Companies House micro-entity filing (FRS 105), fixed asset register, year-end close.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Milestone 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Phases 26–50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PLANNED Q2 2027+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Automation, AI &amp; Ecosystem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UK Open Banking live feeds (Barclays, NatWest, HSBC, etc.), OCR receipt scanning, ML nominal suggestions, multi-currency, and group consolidation.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1.2 Core Architectural Principles &amp; Gatekeeper Criteria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Mathematical Invariance:</w:t>
      </w:r>
      <w:r>
        <w:rPr>
          <w:rFonts w:ascii="Segoe UI" w:hAnsi="Segoe UI"/>
        </w:rPr>
        <w:t xml:space="preserve"> No phase may compromise the fundamental equation $</w:t>
        <w:tab/>
        <w:t xml:space="preserve">ext{Assets} = </w:t>
        <w:tab/>
        <w:t xml:space="preserve">ext{Liabilities} + </w:t>
        <w:tab/>
        <w:t xml:space="preserve">ext{Equity}$ or permit an unbalanced journal entry ($\sum </w:t>
        <w:tab/>
        <w:t>ext{Debits}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e \sum </w:t>
        <w:tab/>
        <w:t>ext{Credits}$).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Audit Immutability:</w:t>
      </w:r>
      <w:r>
        <w:rPr>
          <w:rFonts w:ascii="Segoe UI" w:hAnsi="Segoe UI"/>
        </w:rPr>
        <w:t xml:space="preserve"> Deletion or update of historical posted journal lines or audit logs is strictly prohibited. Reversals must be executed as GAAP counter-balancing entries.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No Cached Balance Drift:</w:t>
      </w:r>
      <w:r>
        <w:rPr>
          <w:rFonts w:ascii="Segoe UI" w:hAnsi="Segoe UI"/>
        </w:rPr>
        <w:t xml:space="preserve"> Subledgers must never rely on mutable cached balance columns; customer and supplier balances are derived dynamically from posted journal lines.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Tenant Boundary Isolation:</w:t>
      </w:r>
      <w:r>
        <w:rPr>
          <w:rFonts w:ascii="Segoe UI" w:hAnsi="Segoe UI"/>
        </w:rPr>
        <w:t xml:space="preserve"> Composite foreign keys </w:t>
      </w:r>
      <w:r>
        <w:rPr>
          <w:rFonts w:ascii="Consolas" w:hAnsi="Consolas"/>
          <w:color w:val="B42828"/>
          <w:sz w:val="19"/>
        </w:rPr>
        <w:t>(organization_id, id)</w:t>
      </w:r>
      <w:r>
        <w:rPr>
          <w:rFonts w:ascii="Segoe UI" w:hAnsi="Segoe UI"/>
        </w:rPr>
        <w:t xml:space="preserve"> must be enforced at the PostgreSQL level for every child table.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2. Milestone 1: The Indestructible Foundation (Phases 1–8) — [COMPLETED &amp; VERIFIED]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Milestone 1 represents the completed, verified foundation of blynt. All 8 phases are implemented in </w:t>
      </w:r>
      <w:r>
        <w:rPr>
          <w:rFonts w:ascii="Consolas" w:hAnsi="Consolas"/>
          <w:color w:val="B42828"/>
          <w:sz w:val="19"/>
        </w:rPr>
        <w:t>apps/api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apps/web</w:t>
      </w:r>
      <w:r>
        <w:rPr>
          <w:rFonts w:ascii="Segoe UI" w:hAnsi="Segoe UI"/>
        </w:rPr>
        <w:t xml:space="preserve"> with 127 automated tests passing.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16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1 - High-level system architecture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2.1 Phase 1: Project &amp; Database Foundation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Establish production monorepo architecture, Docker containerization, NestJS 11 backend, Prisma ORM, and PostgreSQL 16 engine.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Database &amp; Schema Innovations: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Integration of PostgreSQL </w:t>
      </w:r>
      <w:r>
        <w:rPr>
          <w:rFonts w:ascii="Consolas" w:hAnsi="Consolas"/>
          <w:color w:val="B42828"/>
          <w:sz w:val="19"/>
        </w:rPr>
        <w:t>btree_gist</w:t>
      </w:r>
      <w:r>
        <w:rPr>
          <w:rFonts w:ascii="Segoe UI" w:hAnsi="Segoe UI"/>
        </w:rPr>
        <w:t xml:space="preserve"> extension for temporal non-overlapping exclusions.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Relational CHECK constraints on journal amounts: </w:t>
      </w:r>
      <w:r>
        <w:rPr>
          <w:rFonts w:ascii="Consolas" w:hAnsi="Consolas"/>
          <w:color w:val="B42828"/>
          <w:sz w:val="19"/>
        </w:rPr>
        <w:t>debit &gt;= 0 AND credit &gt;= 0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NOT (debit = 0 AND credit = 0)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NOT (debit &gt; 0 AND credit &gt; 0)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Statutory immutable trigger </w:t>
      </w:r>
      <w:r>
        <w:rPr>
          <w:rFonts w:ascii="Consolas" w:hAnsi="Consolas"/>
          <w:color w:val="B42828"/>
          <w:sz w:val="19"/>
        </w:rPr>
        <w:t>trg_audit_logs_immutable</w:t>
      </w:r>
      <w:r>
        <w:rPr>
          <w:rFonts w:ascii="Segoe UI" w:hAnsi="Segoe UI"/>
        </w:rPr>
        <w:t xml:space="preserve"> raising an exception on any attempt to UPDATE or DELETE audit records.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Common Middleware:</w:t>
      </w:r>
      <w:r>
        <w:rPr>
          <w:rFonts w:ascii="Segoe UI" w:hAnsi="Segoe UI"/>
        </w:rPr>
        <w:t xml:space="preserve"> Correlation ID tracking via </w:t>
      </w:r>
      <w:r>
        <w:rPr>
          <w:rFonts w:ascii="Consolas" w:hAnsi="Consolas"/>
          <w:color w:val="B42828"/>
          <w:sz w:val="19"/>
        </w:rPr>
        <w:t>x-request-id</w:t>
      </w:r>
      <w:r>
        <w:rPr>
          <w:rFonts w:ascii="Segoe UI" w:hAnsi="Segoe UI"/>
        </w:rPr>
        <w:t xml:space="preserve">, structured JSON logging with </w:t>
      </w:r>
      <w:r>
        <w:rPr>
          <w:rFonts w:ascii="Consolas" w:hAnsi="Consolas"/>
          <w:color w:val="B42828"/>
          <w:sz w:val="19"/>
        </w:rPr>
        <w:t>AppLogger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Verification Status:</w:t>
      </w:r>
      <w:r>
        <w:rPr>
          <w:rFonts w:ascii="Segoe UI" w:hAnsi="Segoe UI"/>
        </w:rPr>
        <w:t xml:space="preserve"> Fully passing in CI; verified across all 26 test suites.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2.2 Phase 2: Authentication &amp; Sessions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Implement institutional-grade authentication without third-party vendor lock-in.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Architectural Mechanics: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Password hashing via Node.js native </w:t>
      </w:r>
      <w:r>
        <w:rPr>
          <w:rFonts w:ascii="Consolas" w:hAnsi="Consolas"/>
          <w:color w:val="B42828"/>
          <w:sz w:val="19"/>
        </w:rPr>
        <w:t>crypto.scrypt</w:t>
      </w:r>
      <w:r>
        <w:rPr>
          <w:rFonts w:ascii="Segoe UI" w:hAnsi="Segoe UI"/>
        </w:rPr>
        <w:t xml:space="preserve"> with a cryptographically secure 16-byte random salt and 64-byte key length.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Password verification using </w:t>
      </w:r>
      <w:r>
        <w:rPr>
          <w:rFonts w:ascii="Consolas" w:hAnsi="Consolas"/>
          <w:color w:val="B42828"/>
          <w:sz w:val="19"/>
        </w:rPr>
        <w:t>crypto.timingSafeEqual</w:t>
      </w:r>
      <w:r>
        <w:rPr>
          <w:rFonts w:ascii="Segoe UI" w:hAnsi="Segoe UI"/>
        </w:rPr>
        <w:t xml:space="preserve"> to eliminate timing side-channel vulnerabilities.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Stateful session management in </w:t>
      </w:r>
      <w:r>
        <w:rPr>
          <w:rFonts w:ascii="Consolas" w:hAnsi="Consolas"/>
          <w:color w:val="B42828"/>
          <w:sz w:val="19"/>
        </w:rPr>
        <w:t>user_sessions</w:t>
      </w:r>
      <w:r>
        <w:rPr>
          <w:rFonts w:ascii="Segoe UI" w:hAnsi="Segoe UI"/>
        </w:rPr>
        <w:t xml:space="preserve"> with bearer token validation, multi-device tracking, and instant remote revocation.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Endpoints: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POST /auth/register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POST /auth/login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POST /auth/logout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GET /auth/me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POST /auth/refresh</w:t>
      </w:r>
      <w:r>
        <w:rPr>
          <w:rFonts w:ascii="Segoe UI" w:hAnsi="Segoe UI"/>
        </w:rPr>
        <w:t>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2.3 Phase 3: Multi-Organisation Management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Provide strict tenant boundary isolation with seamless multi-organisation switching.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Architectural Mechanics: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Root </w:t>
      </w:r>
      <w:r>
        <w:rPr>
          <w:rFonts w:ascii="Consolas" w:hAnsi="Consolas"/>
          <w:color w:val="B42828"/>
          <w:sz w:val="19"/>
        </w:rPr>
        <w:t>Organization</w:t>
      </w:r>
      <w:r>
        <w:rPr>
          <w:rFonts w:ascii="Segoe UI" w:hAnsi="Segoe UI"/>
        </w:rPr>
        <w:t xml:space="preserve"> entity with unique URL slug and base currency (default </w:t>
      </w:r>
      <w:r>
        <w:rPr>
          <w:rFonts w:ascii="Consolas" w:hAnsi="Consolas"/>
          <w:color w:val="B42828"/>
          <w:sz w:val="19"/>
        </w:rPr>
        <w:t>GBP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Composite foreign keys </w:t>
      </w:r>
      <w:r>
        <w:rPr>
          <w:rFonts w:ascii="Consolas" w:hAnsi="Consolas"/>
          <w:color w:val="B42828"/>
          <w:sz w:val="19"/>
        </w:rPr>
        <w:t>(organization_id, id)</w:t>
      </w:r>
      <w:r>
        <w:rPr>
          <w:rFonts w:ascii="Segoe UI" w:hAnsi="Segoe UI"/>
        </w:rPr>
        <w:t xml:space="preserve"> on all child entities ensuring cross-tenant data leaks are physically blocked by the database engine.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Multi-organisation switcher in </w:t>
      </w:r>
      <w:r>
        <w:rPr>
          <w:rFonts w:ascii="Consolas" w:hAnsi="Consolas"/>
          <w:color w:val="B42828"/>
          <w:sz w:val="19"/>
        </w:rPr>
        <w:t>apps/web</w:t>
      </w:r>
      <w:r>
        <w:rPr>
          <w:rFonts w:ascii="Segoe UI" w:hAnsi="Segoe UI"/>
        </w:rPr>
        <w:t xml:space="preserve"> allowing instant tenant switching without requiring re-authentication.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2.4 Phase 4: Roles &amp; Permissions (RBAC)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Enforce granular role-based access control matching real-world accounting firm hierarchies.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The 5 System Roles: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>: Full tenant sovereignty, billing, legal entity management.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ADMINISTRATOR</w:t>
      </w:r>
      <w:r>
        <w:rPr>
          <w:rFonts w:ascii="Segoe UI" w:hAnsi="Segoe UI"/>
        </w:rPr>
        <w:t>: User administration, period locking, system configuration.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: Journal creation, posting, period locks, reporting, reconciliation.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BOOKKEEPER</w:t>
      </w:r>
      <w:r>
        <w:rPr>
          <w:rFonts w:ascii="Segoe UI" w:hAnsi="Segoe UI"/>
        </w:rPr>
        <w:t>: Draft journals, invoices, customer and supplier master records.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VIEWER</w:t>
      </w:r>
      <w:r>
        <w:rPr>
          <w:rFonts w:ascii="Segoe UI" w:hAnsi="Segoe UI"/>
        </w:rPr>
        <w:t>: Read-only access across general ledger and financial reports.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Security Guards: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RolesGuard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OrganizationAccessGuard</w:t>
      </w:r>
      <w:r>
        <w:rPr>
          <w:rFonts w:ascii="Segoe UI" w:hAnsi="Segoe UI"/>
        </w:rPr>
        <w:t xml:space="preserve"> verifying membership and permission metadata on every request.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2.5 Phase 5: Chart of Accounts &amp; UK Template Seeding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Standardized nominal ledger architecture matching UK GAAP and HMRC reporting requirements.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Architectural Mechanics:</w:t>
      </w:r>
    </w:p>
    <w:p>
      <w:pPr>
        <w:pStyle w:val="ListBullet"/>
        <w:spacing w:before="20" w:after="40"/>
      </w:pPr>
      <w:r>
        <w:rPr>
          <w:rFonts w:ascii="Segoe UI" w:hAnsi="Segoe UI"/>
        </w:rPr>
        <w:t>Standard nominal ranges: 1000–1999 (Assets), 2000–2999 (Liabilities), 3000–3999 (Equity), 4000–4999 (Revenue), 5000–5999 (Cost of Sales), 6000–8999 (Operating Expenses).</w:t>
      </w:r>
    </w:p>
    <w:p>
      <w:pPr>
        <w:pStyle w:val="ListBullet"/>
        <w:spacing w:before="20" w:after="40"/>
      </w:pPr>
      <w:r>
        <w:rPr>
          <w:rFonts w:ascii="Segoe UI" w:hAnsi="Segoe UI"/>
        </w:rPr>
        <w:t>46-account standard UK SME template seeded automatically upon organisation creation.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Control account protection: Accounts flagged </w:t>
      </w:r>
      <w:r>
        <w:rPr>
          <w:rFonts w:ascii="Consolas" w:hAnsi="Consolas"/>
          <w:color w:val="B42828"/>
          <w:sz w:val="19"/>
        </w:rPr>
        <w:t>is_control_account: true</w:t>
      </w:r>
      <w:r>
        <w:rPr>
          <w:rFonts w:ascii="Segoe UI" w:hAnsi="Segoe UI"/>
        </w:rPr>
        <w:t xml:space="preserve"> (1100 AR, 2000 AP, 2100 VAT, 3100 Retained Earnings) reject direct manual journal entries.</w:t>
      </w:r>
    </w:p>
    <w:p>
      <w:pPr>
        <w:pStyle w:val="ListBullet"/>
        <w:spacing w:before="20" w:after="40"/>
      </w:pPr>
      <w:r>
        <w:rPr>
          <w:rFonts w:ascii="Segoe UI" w:hAnsi="Segoe UI"/>
        </w:rPr>
        <w:t>Hierarchical parent/child account trees with cycle detection and self-parent prevention.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2.6 Phase 6: Financial Years &amp; Accounting Periods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Temporal partitioning and statutory period lockdown state machine.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Architectural Mechanics:</w:t>
      </w:r>
    </w:p>
    <w:p>
      <w:pPr>
        <w:pStyle w:val="ListBullet"/>
        <w:spacing w:before="20" w:after="40"/>
      </w:pPr>
      <w:r>
        <w:rPr>
          <w:rFonts w:ascii="Segoe UI" w:hAnsi="Segoe UI"/>
        </w:rPr>
        <w:t>Automated 12-month calendar generator with exact leap-year calculations (e.g. February 29th handling).</w:t>
      </w:r>
    </w:p>
    <w:p>
      <w:pPr>
        <w:pStyle w:val="ListBullet"/>
        <w:spacing w:before="20" w:after="40"/>
      </w:pPr>
      <w:r>
        <w:rPr>
          <w:rFonts w:ascii="Segoe UI" w:hAnsi="Segoe UI"/>
        </w:rPr>
        <w:t>Three-Tier Period Lockdown State Machine: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OPEN</w:t>
      </w:r>
      <w:r>
        <w:rPr>
          <w:rFonts w:ascii="Segoe UI" w:hAnsi="Segoe UI"/>
        </w:rPr>
        <w:t>: Standard operational state; all authorized roles may post.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SOFT_LOCKED</w:t>
      </w:r>
      <w:r>
        <w:rPr>
          <w:rFonts w:ascii="Segoe UI" w:hAnsi="Segoe UI"/>
        </w:rPr>
        <w:t>: Month-end reconciliation state; bookkeepers blocked; accountants can post with audited override.</w:t>
      </w:r>
    </w:p>
    <w:p>
      <w:pPr>
        <w:pStyle w:val="ListBullet"/>
        <w:spacing w:before="20" w:after="40"/>
      </w:pPr>
      <w:r>
        <w:rPr>
          <w:rFonts w:ascii="Consolas" w:hAnsi="Consolas"/>
          <w:color w:val="B42828"/>
          <w:sz w:val="19"/>
        </w:rPr>
        <w:t>HARD_LOCKED</w:t>
      </w:r>
      <w:r>
        <w:rPr>
          <w:rFonts w:ascii="Segoe UI" w:hAnsi="Segoe UI"/>
        </w:rPr>
        <w:t>: Permanent statutory year-end close; completely immutable.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PostgreSQL </w:t>
      </w:r>
      <w:r>
        <w:rPr>
          <w:rFonts w:ascii="Consolas" w:hAnsi="Consolas"/>
          <w:color w:val="B42828"/>
          <w:sz w:val="19"/>
        </w:rPr>
        <w:t>btree_gist</w:t>
      </w:r>
      <w:r>
        <w:rPr>
          <w:rFonts w:ascii="Segoe UI" w:hAnsi="Segoe UI"/>
        </w:rPr>
        <w:t xml:space="preserve"> exclusion constraints preventing overlapping financial year date ranges.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2.7 Phase 7: Manual Journal Entry &amp; Multi-Line Grid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Provide a double-entry journal interface for accountants and bookkeepers.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Architectural Mechanics:</w:t>
      </w:r>
    </w:p>
    <w:p>
      <w:pPr>
        <w:pStyle w:val="ListBullet"/>
        <w:spacing w:before="20" w:after="40"/>
      </w:pPr>
      <w:r>
        <w:rPr>
          <w:rFonts w:ascii="Segoe UI" w:hAnsi="Segoe UI"/>
        </w:rPr>
        <w:t>Interactive multi-line dynamic table in Next.js 15 with real-time autocompleting nominal dropdowns.</w:t>
      </w:r>
    </w:p>
    <w:p>
      <w:pPr>
        <w:pStyle w:val="ListBullet"/>
        <w:spacing w:before="20" w:after="40"/>
      </w:pPr>
      <w:r>
        <w:rPr>
          <w:rFonts w:ascii="Segoe UI" w:hAnsi="Segoe UI"/>
        </w:rPr>
        <w:t>Atomic sequence generation inside database transaction producing consecutive numbers (</w:t>
      </w:r>
      <w:r>
        <w:rPr>
          <w:rFonts w:ascii="Consolas" w:hAnsi="Consolas"/>
          <w:color w:val="B42828"/>
          <w:sz w:val="19"/>
        </w:rPr>
        <w:t>JE-YYYY-XXXXXX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Staging in </w:t>
      </w:r>
      <w:r>
        <w:rPr>
          <w:rFonts w:ascii="Consolas" w:hAnsi="Consolas"/>
          <w:color w:val="B42828"/>
          <w:sz w:val="19"/>
        </w:rPr>
        <w:t>DRAFT</w:t>
      </w:r>
      <w:r>
        <w:rPr>
          <w:rFonts w:ascii="Segoe UI" w:hAnsi="Segoe UI"/>
        </w:rPr>
        <w:t xml:space="preserve"> status before execution of the validation pipeline.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2.8 Phase 8: Journal Validation Engine &amp; The 15 Invariants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The core mathematical gatekeeper of the platform.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The 15 Invariants Checked by `JournalValidationService`: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$\sum </w:t>
        <w:tab/>
        <w:t xml:space="preserve">ext{Debits} == \sum </w:t>
        <w:tab/>
        <w:t>ext{Credits}$ (Exact decimal equality).</w:t>
      </w:r>
    </w:p>
    <w:p>
      <w:pPr>
        <w:spacing w:before="40" w:after="80" w:line="276" w:lineRule="auto"/>
      </w:pPr>
      <w:r>
        <w:rPr>
          <w:rFonts w:ascii="Segoe UI" w:hAnsi="Segoe UI"/>
        </w:rPr>
        <w:t>2. Minimum of 2 lines per journal entry.</w:t>
      </w:r>
    </w:p>
    <w:p>
      <w:pPr>
        <w:spacing w:before="40" w:after="80" w:line="276" w:lineRule="auto"/>
      </w:pPr>
      <w:r>
        <w:rPr>
          <w:rFonts w:ascii="Segoe UI" w:hAnsi="Segoe UI"/>
        </w:rPr>
        <w:t>3. Strict single-organization tenant boundary verification.</w:t>
      </w:r>
    </w:p>
    <w:p>
      <w:pPr>
        <w:spacing w:before="40" w:after="80" w:line="276" w:lineRule="auto"/>
      </w:pPr>
      <w:r>
        <w:rPr>
          <w:rFonts w:ascii="Segoe UI" w:hAnsi="Segoe UI"/>
        </w:rPr>
        <w:t>4. Active account verification (archived nominals blocked).</w:t>
      </w:r>
    </w:p>
    <w:p>
      <w:pPr>
        <w:spacing w:before="40" w:after="80" w:line="276" w:lineRule="auto"/>
      </w:pPr>
      <w:r>
        <w:rPr>
          <w:rFonts w:ascii="Segoe UI" w:hAnsi="Segoe UI"/>
        </w:rPr>
        <w:t>5. Control account protection (manual journals to 1100, 2000 blocked).</w:t>
      </w:r>
    </w:p>
    <w:p>
      <w:pPr>
        <w:spacing w:before="40" w:after="80" w:line="276" w:lineRule="auto"/>
      </w:pPr>
      <w:r>
        <w:rPr>
          <w:rFonts w:ascii="Segoe UI" w:hAnsi="Segoe UI"/>
        </w:rPr>
        <w:t>6. Line cannot have both Debit and Credit equal to zero.</w:t>
      </w:r>
    </w:p>
    <w:p>
      <w:pPr>
        <w:spacing w:before="40" w:after="80" w:line="276" w:lineRule="auto"/>
      </w:pPr>
      <w:r>
        <w:rPr>
          <w:rFonts w:ascii="Segoe UI" w:hAnsi="Segoe UI"/>
        </w:rPr>
        <w:t>7. Line cannot have both Debit and Credit greater than zero.</w:t>
      </w:r>
    </w:p>
    <w:p>
      <w:pPr>
        <w:spacing w:before="40" w:after="80" w:line="276" w:lineRule="auto"/>
      </w:pPr>
      <w:r>
        <w:rPr>
          <w:rFonts w:ascii="Segoe UI" w:hAnsi="Segoe UI"/>
        </w:rPr>
        <w:t>8. Negative amounts strictly prohibited.</w:t>
      </w:r>
    </w:p>
    <w:p>
      <w:pPr>
        <w:spacing w:before="40" w:after="80" w:line="276" w:lineRule="auto"/>
      </w:pPr>
      <w:r>
        <w:rPr>
          <w:rFonts w:ascii="Segoe UI" w:hAnsi="Segoe UI"/>
        </w:rPr>
        <w:t>9. Posting date must resolve to an active accounting period.</w:t>
      </w:r>
    </w:p>
    <w:p>
      <w:pPr>
        <w:spacing w:before="40" w:after="80" w:line="276" w:lineRule="auto"/>
      </w:pPr>
      <w:r>
        <w:rPr>
          <w:rFonts w:ascii="Segoe UI" w:hAnsi="Segoe UI"/>
        </w:rPr>
        <w:t>10. Period must not be hard-locked.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11. Soft-lock override requires 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 xml:space="preserve"> or </w:t>
      </w:r>
      <w:r>
        <w:rPr>
          <w:rFonts w:ascii="Consolas" w:hAnsi="Consolas"/>
          <w:color w:val="B42828"/>
          <w:sz w:val="19"/>
        </w:rPr>
        <w:t>ADMINISTRATOR</w:t>
      </w:r>
      <w:r>
        <w:rPr>
          <w:rFonts w:ascii="Segoe UI" w:hAnsi="Segoe UI"/>
        </w:rPr>
        <w:t xml:space="preserve"> role.</w:t>
      </w:r>
    </w:p>
    <w:p>
      <w:pPr>
        <w:spacing w:before="40" w:after="80" w:line="276" w:lineRule="auto"/>
      </w:pPr>
      <w:r>
        <w:rPr>
          <w:rFonts w:ascii="Segoe UI" w:hAnsi="Segoe UI"/>
        </w:rPr>
        <w:t>12. Subledger contact ID required on AR/AP control account lines.</w:t>
      </w:r>
    </w:p>
    <w:p>
      <w:pPr>
        <w:spacing w:before="40" w:after="80" w:line="276" w:lineRule="auto"/>
      </w:pPr>
      <w:r>
        <w:rPr>
          <w:rFonts w:ascii="Segoe UI" w:hAnsi="Segoe UI"/>
        </w:rPr>
        <w:t>13. Sequential journal number uniqueness.</w:t>
      </w:r>
    </w:p>
    <w:p>
      <w:pPr>
        <w:spacing w:before="40" w:after="80" w:line="276" w:lineRule="auto"/>
      </w:pPr>
      <w:r>
        <w:rPr>
          <w:rFonts w:ascii="Segoe UI" w:hAnsi="Segoe UI"/>
        </w:rPr>
        <w:t>14. Subledger lines must match control line totals.</w:t>
      </w:r>
    </w:p>
    <w:p>
      <w:pPr>
        <w:spacing w:before="40" w:after="80" w:line="276" w:lineRule="auto"/>
      </w:pPr>
      <w:r>
        <w:rPr>
          <w:rFonts w:ascii="Segoe UI" w:hAnsi="Segoe UI"/>
        </w:rPr>
        <w:t>15. GAAP-compliant non-destructive reversals generating counter-balanced entries.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3. Milestone 2: Commercial Workflows &amp; Subledgers (Phases 9–15) — [ACTIVE &amp; DELIVERED]</w:t>
      </w:r>
    </w:p>
    <w:p>
      <w:pPr>
        <w:spacing w:before="40" w:after="80" w:line="276" w:lineRule="auto"/>
      </w:pPr>
      <w:r>
        <w:rPr>
          <w:rFonts w:ascii="Segoe UI" w:hAnsi="Segoe UI"/>
        </w:rPr>
        <w:t>Milestone 2 expands the foundational general ledger into day-to-day commercial business operations.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sales_invoice_po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5 - Sales invoice accounting flow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7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customer_paymen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6 - Customer payment flow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3.1 Phase 9: Contacts V2 &amp; Subledger Architecture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Transform the contact directory into an authoritative accounting subledger.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Unified entity model supporting </w:t>
      </w:r>
      <w:r>
        <w:rPr>
          <w:rFonts w:ascii="Consolas" w:hAnsi="Consolas"/>
          <w:color w:val="B42828"/>
          <w:sz w:val="19"/>
        </w:rPr>
        <w:t>CUSTOMER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SUPPLIER</w:t>
      </w:r>
      <w:r>
        <w:rPr>
          <w:rFonts w:ascii="Segoe UI" w:hAnsi="Segoe UI"/>
        </w:rPr>
        <w:t xml:space="preserve">, or </w:t>
      </w:r>
      <w:r>
        <w:rPr>
          <w:rFonts w:ascii="Consolas" w:hAnsi="Consolas"/>
          <w:color w:val="B42828"/>
          <w:sz w:val="19"/>
        </w:rPr>
        <w:t>BOTH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Dynamic AR/AP balance calculation:</w:t>
      </w:r>
    </w:p>
    <w:p>
      <w:pPr>
        <w:spacing w:before="40" w:after="80" w:line="276" w:lineRule="auto"/>
      </w:pPr>
      <w:r>
        <w:rPr>
          <w:rFonts w:ascii="Segoe UI" w:hAnsi="Segoe UI"/>
        </w:rPr>
        <w:t>$$</w:t>
        <w:tab/>
        <w:t>ext{Customer Balance} = \sum (</w:t>
        <w:tab/>
        <w:t>ext{Posted AR Debits}) - \sum (</w:t>
        <w:tab/>
        <w:t>ext{Posted AR Credits})$$</w:t>
      </w:r>
    </w:p>
    <w:p>
      <w:pPr>
        <w:pStyle w:val="ListBullet"/>
        <w:spacing w:before="20" w:after="40"/>
      </w:pPr>
      <w:r>
        <w:rPr>
          <w:rFonts w:ascii="Segoe UI" w:hAnsi="Segoe UI"/>
        </w:rPr>
        <w:t>Multi-contact person management per business entity (</w:t>
      </w:r>
      <w:r>
        <w:rPr>
          <w:rFonts w:ascii="Consolas" w:hAnsi="Consolas"/>
          <w:color w:val="B42828"/>
          <w:sz w:val="19"/>
        </w:rPr>
        <w:t>ContactPerson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>Heuristic duplicate checking (email, VAT number, company registration number).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3.2 Phase 10: Sales Invoicing &amp; General Ledger Auto-Posting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Sales billing with automated, atomic General Ledger journal generation.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Multi-rate UK VAT engine: Standard (20%), Reduced (5%), Zero (0%), and Exempt.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Row-level locked posting pipeline: Locks invoice </w:t>
      </w:r>
      <w:r>
        <w:rPr>
          <w:rFonts w:ascii="Consolas" w:hAnsi="Consolas"/>
          <w:color w:val="B42828"/>
          <w:sz w:val="19"/>
        </w:rPr>
        <w:t>FOR UPDATE</w:t>
      </w:r>
      <w:r>
        <w:rPr>
          <w:rFonts w:ascii="Segoe UI" w:hAnsi="Segoe UI"/>
        </w:rPr>
        <w:t>, validates double-entry lines, generates balanced journal (Debit AR 1100, Credit Revenue 4000, Credit VAT 2100), and links journal ID in a single atomic transaction.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Full invoice voiding workflow triggering an automated GAAP reversal journal.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3.3 Phase 11: Customer Statements &amp; Ageing Analysis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Produce commercial debtor statements and debt recovery analytics.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Chronological ledger statement generation with date range filtering, opening balances, and running balances.</w:t>
      </w:r>
    </w:p>
    <w:p>
      <w:pPr>
        <w:pStyle w:val="ListBullet"/>
        <w:spacing w:before="20" w:after="40"/>
      </w:pPr>
      <w:r>
        <w:rPr>
          <w:rFonts w:ascii="Segoe UI" w:hAnsi="Segoe UI"/>
        </w:rPr>
        <w:t>Accounts Receivable ageing analysis bucketed into Current, 30 Days, 60 Days, and 90+ Days.</w:t>
      </w:r>
    </w:p>
    <w:p>
      <w:pPr>
        <w:pStyle w:val="ListBullet"/>
        <w:spacing w:before="20" w:after="40"/>
      </w:pPr>
      <w:r>
        <w:rPr>
          <w:rFonts w:ascii="Segoe UI" w:hAnsi="Segoe UI"/>
        </w:rPr>
        <w:t>PDF statement generation and direct customer email delivery.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3.4 Phase 12: Purchase Bills &amp; Accounts Payable Subledger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Supplier bill capture and trade creditor management.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Inbound supplier invoice logging with expense nominal allocation.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Automated posting to General Ledger: Debit Expense (e.g. 5000/6000), Debit Input VAT (2100), Credit Accounts Payable (2000).</w:t>
      </w:r>
    </w:p>
    <w:p>
      <w:pPr>
        <w:pStyle w:val="ListBullet"/>
        <w:spacing w:before="20" w:after="40"/>
      </w:pPr>
      <w:r>
        <w:rPr>
          <w:rFonts w:ascii="Segoe UI" w:hAnsi="Segoe UI"/>
        </w:rPr>
        <w:t>Accounts Payable ageing analysis to optimize cash outflow and payment scheduling.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3.5 Phase 13: Customer Receipts, Supplier Payments &amp; Allocations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Cash settlement and subledger matching.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Recording customer receipts against outstanding sales invoices with partial payment support.</w:t>
      </w:r>
    </w:p>
    <w:p>
      <w:pPr>
        <w:pStyle w:val="ListBullet"/>
        <w:spacing w:before="20" w:after="40"/>
      </w:pPr>
      <w:r>
        <w:rPr>
          <w:rFonts w:ascii="Segoe UI" w:hAnsi="Segoe UI"/>
        </w:rPr>
        <w:t>Automated payment journal: Debit Cash at Bank (1000), Credit Accounts Receivable (1100).</w:t>
      </w:r>
    </w:p>
    <w:p>
      <w:pPr>
        <w:pStyle w:val="ListBullet"/>
        <w:spacing w:before="20" w:after="40"/>
      </w:pPr>
      <w:r>
        <w:rPr>
          <w:rFonts w:ascii="Segoe UI" w:hAnsi="Segoe UI"/>
        </w:rPr>
        <w:t>Recording supplier disbursements: Debit Accounts Payable (2000), Credit Cash at Bank (1000).</w:t>
      </w:r>
    </w:p>
    <w:p>
      <w:pPr>
        <w:pStyle w:val="ListBullet"/>
        <w:spacing w:before="20" w:after="40"/>
      </w:pPr>
      <w:r>
        <w:rPr>
          <w:rFonts w:ascii="Segoe UI" w:hAnsi="Segoe UI"/>
        </w:rPr>
        <w:t>Credit note allocation and overpayment balance management.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3.6 Phase 14: Bank Accounts &amp; Manual Bank Statement Reconciliation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Bank account management and bank statement reconciliation.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Dedicated bank nominal accounts (1000 Operating, 1010 Savings, 1020 Payroll).</w:t>
      </w:r>
    </w:p>
    <w:p>
      <w:pPr>
        <w:pStyle w:val="ListBullet"/>
        <w:spacing w:before="20" w:after="40"/>
      </w:pPr>
      <w:r>
        <w:rPr>
          <w:rFonts w:ascii="Segoe UI" w:hAnsi="Segoe UI"/>
        </w:rPr>
        <w:t>Statement file import supporting OFX, QIF, and standard bank CSV formats.</w:t>
      </w:r>
    </w:p>
    <w:p>
      <w:pPr>
        <w:pStyle w:val="ListBullet"/>
        <w:spacing w:before="20" w:after="40"/>
      </w:pPr>
      <w:r>
        <w:rPr>
          <w:rFonts w:ascii="Segoe UI" w:hAnsi="Segoe UI"/>
        </w:rPr>
        <w:t>Side-by-side reconciliation screen matching bank statement lines against general ledger journal entries.</w:t>
      </w:r>
    </w:p>
    <w:p>
      <w:pPr>
        <w:pStyle w:val="ListBullet"/>
        <w:spacing w:before="20" w:after="40"/>
      </w:pPr>
      <w:r>
        <w:rPr>
          <w:rFonts w:ascii="Segoe UI" w:hAnsi="Segoe UI"/>
        </w:rPr>
        <w:t>Unreconciled difference tracking ensuring cash book agrees with bank statement.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3.7 Phase 15: Financial Reporting Suite V1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Real-time generation of statutory financial reports.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Key Capabilities: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Trial Balance:</w:t>
      </w:r>
      <w:r>
        <w:rPr>
          <w:rFonts w:ascii="Segoe UI" w:hAnsi="Segoe UI"/>
        </w:rPr>
        <w:t xml:space="preserve"> Aggregates all posted nominal accounts; evaluates debit-normal vs credit-normal; validates equilibrium; exports RFC-4180 CSV.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Profit &amp; Loss (Income Statement):</w:t>
      </w:r>
      <w:r>
        <w:rPr>
          <w:rFonts w:ascii="Segoe UI" w:hAnsi="Segoe UI"/>
        </w:rPr>
        <w:t xml:space="preserve"> Calculates Turnover, Cost of Sales, Gross Profit, Operating Expenses, Operating Profit, and Net Profit.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Balance Sheet:</w:t>
      </w:r>
      <w:r>
        <w:rPr>
          <w:rFonts w:ascii="Segoe UI" w:hAnsi="Segoe UI"/>
        </w:rPr>
        <w:t xml:space="preserve"> Summarizes Assets, Liabilities, and Equity; dynamically calculates current year Net Profit into Retained Earnings; verifies $A = L + E$.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4. Milestone 3: UK Statutory Tax &amp; HMRC MTD Integration (Phases 16–25) — [PLANNED Q1 2027]</w:t>
      </w:r>
    </w:p>
    <w:p>
      <w:pPr>
        <w:spacing w:before="40" w:after="80" w:line="276" w:lineRule="auto"/>
      </w:pPr>
      <w:r>
        <w:rPr>
          <w:rFonts w:ascii="Segoe UI" w:hAnsi="Segoe UI"/>
        </w:rPr>
        <w:t>Milestone 3 equips blynt with automated statutory tax filing capabilities required for Making Tax Digital (MTD) compliance in the United Kingdom.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 Phase 16: UK VAT Return Calculation (Boxes 1–9)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Automatic compilation of the statutory UK 9-box VAT return from posted general ledger transactions.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Compilation Logic: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1:</w:t>
      </w:r>
      <w:r>
        <w:rPr>
          <w:rFonts w:ascii="Segoe UI" w:hAnsi="Segoe UI"/>
        </w:rPr>
        <w:t xml:space="preserve"> VAT due on sales and other outputs (Credit balance on Nominal 2100 output transactions).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2:</w:t>
      </w:r>
      <w:r>
        <w:rPr>
          <w:rFonts w:ascii="Segoe UI" w:hAnsi="Segoe UI"/>
        </w:rPr>
        <w:t xml:space="preserve"> VAT due on acquisitions from EU Member States.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3:</w:t>
      </w:r>
      <w:r>
        <w:rPr>
          <w:rFonts w:ascii="Segoe UI" w:hAnsi="Segoe UI"/>
        </w:rPr>
        <w:t xml:space="preserve"> Total VAT due ($</w:t>
        <w:tab/>
        <w:t xml:space="preserve">ext{Box 1} + </w:t>
        <w:tab/>
        <w:t>ext{Box 2}$).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4:</w:t>
      </w:r>
      <w:r>
        <w:rPr>
          <w:rFonts w:ascii="Segoe UI" w:hAnsi="Segoe UI"/>
        </w:rPr>
        <w:t xml:space="preserve"> VAT reclaimed on purchases and other inputs (Debit balance on Nominal 2100 input transactions).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5:</w:t>
      </w:r>
      <w:r>
        <w:rPr>
          <w:rFonts w:ascii="Segoe UI" w:hAnsi="Segoe UI"/>
        </w:rPr>
        <w:t xml:space="preserve"> Net VAT to pay to HMRC or reclaim ($|</w:t>
        <w:tab/>
        <w:t xml:space="preserve">ext{Box 3} - </w:t>
        <w:tab/>
        <w:t>ext{Box 4}|$).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6:</w:t>
      </w:r>
      <w:r>
        <w:rPr>
          <w:rFonts w:ascii="Segoe UI" w:hAnsi="Segoe UI"/>
        </w:rPr>
        <w:t xml:space="preserve"> Total value of sales and all other outputs excluding VAT.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7:</w:t>
      </w:r>
      <w:r>
        <w:rPr>
          <w:rFonts w:ascii="Segoe UI" w:hAnsi="Segoe UI"/>
        </w:rPr>
        <w:t xml:space="preserve"> Total value of purchases and all other inputs excluding VAT.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8:</w:t>
      </w:r>
      <w:r>
        <w:rPr>
          <w:rFonts w:ascii="Segoe UI" w:hAnsi="Segoe UI"/>
        </w:rPr>
        <w:t xml:space="preserve"> Total value of all supplies of goods and related costs to EU Member States.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Box 9:</w:t>
      </w:r>
      <w:r>
        <w:rPr>
          <w:rFonts w:ascii="Segoe UI" w:hAnsi="Segoe UI"/>
        </w:rPr>
        <w:t xml:space="preserve"> Total value of all acquisitions of goods and related costs from EU Member States.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Audit Trail Drill-Down:</w:t>
      </w:r>
      <w:r>
        <w:rPr>
          <w:rFonts w:ascii="Segoe UI" w:hAnsi="Segoe UI"/>
        </w:rPr>
        <w:t xml:space="preserve"> Every number in Boxes 1–9 links directly to its underlying posted journal lines for HMRC compliance audit review.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4.2 Phase 17: HMRC Making Tax Digital (MTD) Direct API Integration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Direct digital filing of VAT returns with HMRC via Government Gateway APIs.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Technical Integration Architecture:</w:t>
      </w:r>
    </w:p>
    <w:p>
      <w:pPr>
        <w:pStyle w:val="ListBullet"/>
        <w:spacing w:before="20" w:after="40"/>
      </w:pPr>
      <w:r>
        <w:rPr>
          <w:rFonts w:ascii="Segoe UI" w:hAnsi="Segoe UI"/>
        </w:rPr>
        <w:t>OAuth2 authentication with HMRC Government Gateway (</w:t>
      </w:r>
      <w:r>
        <w:rPr>
          <w:rFonts w:ascii="Consolas" w:hAnsi="Consolas"/>
          <w:color w:val="B42828"/>
          <w:sz w:val="19"/>
        </w:rPr>
        <w:t>https://api.service.hmrc.gov.uk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>Secure token storage in encrypted database vault with automated refresh token rotation.</w:t>
      </w:r>
    </w:p>
    <w:p>
      <w:pPr>
        <w:pStyle w:val="ListBullet"/>
        <w:spacing w:before="20" w:after="40"/>
      </w:pPr>
      <w:r>
        <w:rPr>
          <w:rFonts w:ascii="Segoe UI" w:hAnsi="Segoe UI"/>
        </w:rPr>
        <w:t>Retrieval of open VAT obligations from HMRC (</w:t>
      </w:r>
      <w:r>
        <w:rPr>
          <w:rFonts w:ascii="Consolas" w:hAnsi="Consolas"/>
          <w:color w:val="B42828"/>
          <w:sz w:val="19"/>
        </w:rPr>
        <w:t>GET /organisations/vat/{vrn}/obligations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>Digital submission of 9-box return (</w:t>
      </w:r>
      <w:r>
        <w:rPr>
          <w:rFonts w:ascii="Consolas" w:hAnsi="Consolas"/>
          <w:color w:val="B42828"/>
          <w:sz w:val="19"/>
        </w:rPr>
        <w:t>POST /organisations/vat/{vrn}/returns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>Retrieval of submission receipt with statutory timestamp and HMRC correlation ID.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4.3 Phase 18: Year-End Close Automation &amp; Retained Earnings Rollover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Automate statutory fiscal year closure and balance sheet equity rollover.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Technical Workflow:</w:t>
      </w:r>
    </w:p>
    <w:p>
      <w:pPr>
        <w:spacing w:before="40" w:after="80" w:line="276" w:lineRule="auto"/>
      </w:pPr>
      <w:r>
        <w:rPr>
          <w:rFonts w:ascii="Segoe UI" w:hAnsi="Segoe UI"/>
        </w:rPr>
        <w:t>1. System executes pre-close audit scan verifying no draft journals or unallocated payments exist.</w:t>
      </w:r>
    </w:p>
    <w:p>
      <w:pPr>
        <w:spacing w:before="40" w:after="80" w:line="276" w:lineRule="auto"/>
      </w:pPr>
      <w:r>
        <w:rPr>
          <w:rFonts w:ascii="Segoe UI" w:hAnsi="Segoe UI"/>
        </w:rPr>
        <w:t>2. System calculates cumulative Net Profit/Loss across all Revenue and Expense accounts.</w:t>
      </w:r>
    </w:p>
    <w:p>
      <w:pPr>
        <w:spacing w:before="40" w:after="80" w:line="276" w:lineRule="auto"/>
      </w:pPr>
      <w:r>
        <w:rPr>
          <w:rFonts w:ascii="Segoe UI" w:hAnsi="Segoe UI"/>
        </w:rPr>
        <w:t>3. System generates Year-End Closing Journal clearing nominals 4000–8999 to zero and posting the net balance into Retained Earnings (Nominal 3100).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System permanently transitions the Financial Year and all 12 periods to </w:t>
      </w:r>
      <w:r>
        <w:rPr>
          <w:rFonts w:ascii="Consolas" w:hAnsi="Consolas"/>
          <w:color w:val="B42828"/>
          <w:sz w:val="19"/>
        </w:rPr>
        <w:t>HARD_LOCKED</w:t>
      </w:r>
      <w:r>
        <w:rPr>
          <w:rFonts w:ascii="Segoe UI" w:hAnsi="Segoe UI"/>
        </w:rPr>
        <w:t>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4.4 Phase 19: Fixed Asset Register &amp; Automated Depreciation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Capital asset tracking and scheduled depreciation posting.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Technical 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Asset catalog capturing purchase date, initial cost, salvage value, and useful economic life.</w:t>
      </w:r>
    </w:p>
    <w:p>
      <w:pPr>
        <w:pStyle w:val="ListBullet"/>
        <w:spacing w:before="20" w:after="40"/>
      </w:pPr>
      <w:r>
        <w:rPr>
          <w:rFonts w:ascii="Segoe UI" w:hAnsi="Segoe UI"/>
        </w:rPr>
        <w:t>Depreciation methods: Straight-Line ($</w:t>
        <w:tab/>
        <w:t>ext{Depreciation} =</w:t>
      </w:r>
    </w:p>
    <w:p>
      <w:pPr>
        <w:spacing w:before="40" w:after="80" w:line="276" w:lineRule="auto"/>
      </w:pPr>
      <w:r>
        <w:rPr>
          <w:rFonts w:ascii="Segoe UI" w:hAnsi="Segoe UI"/>
        </w:rPr>
        <w:t>rac{</w:t>
        <w:tab/>
        <w:t xml:space="preserve">ext{Cost} - </w:t>
        <w:tab/>
        <w:t>ext{Salvage}}{</w:t>
        <w:tab/>
        <w:t>ext{Life}}$) and Reducing Balance.</w:t>
      </w:r>
    </w:p>
    <w:p>
      <w:pPr>
        <w:pStyle w:val="ListBullet"/>
        <w:spacing w:before="20" w:after="40"/>
      </w:pPr>
      <w:r>
        <w:rPr>
          <w:rFonts w:ascii="Segoe UI" w:hAnsi="Segoe UI"/>
        </w:rPr>
        <w:t>Automated monthly scheduled journal generation: Debit Depreciation Expense (8300), Credit Accumulated Depreciation (1550).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4.5 Phase 20: EC Sales List &amp; Domestic Reverse Charge VAT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Support complex UK VAT rules including Construction Industry Scheme (CIS) reverse charge and cross-border supplies.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4.6 Phase 21: Multi-Client Accounting Practice Portal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Specialized interface for external accounting firms managing multiple client tenants.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Capabilities:</w:t>
      </w:r>
      <w:r>
        <w:rPr>
          <w:rFonts w:ascii="Segoe UI" w:hAnsi="Segoe UI"/>
        </w:rPr>
        <w:t xml:space="preserve"> Single sign-on practice dashboard, client status overviews, batch review queues, and auditor review notes.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4.7 Phase 22: Companies House Micro-Entity Filing (FRS 105)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Generate statutory annual accounts for UK micro-entities.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Capabilities:</w:t>
      </w:r>
      <w:r>
        <w:rPr>
          <w:rFonts w:ascii="Segoe UI" w:hAnsi="Segoe UI"/>
        </w:rPr>
        <w:t xml:space="preserve"> Formats balance sheet, profit and loss account, and notes to the accounts compliant with FRS 105 and Companies House XML/iXBRL digital filing schema.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4.8 Phase 23: Departmental Budgeting &amp; Variance Reporting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Cost center and departmental tracking against annual budgets.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Capabilities:</w:t>
      </w:r>
      <w:r>
        <w:rPr>
          <w:rFonts w:ascii="Segoe UI" w:hAnsi="Segoe UI"/>
        </w:rPr>
        <w:t xml:space="preserve"> Tracking nominal accounts against monthly budgets with variance analysis (Actual vs Budget, £ and % variance).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4.9 Phase 24: Recurring Journals, Prepayments &amp; Accruals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Automation of recurring accounting transactions.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Capabilities:</w:t>
      </w:r>
      <w:r>
        <w:rPr>
          <w:rFonts w:ascii="Segoe UI" w:hAnsi="Segoe UI"/>
        </w:rPr>
        <w:t xml:space="preserve"> Scheduled monthly recurring journals for rent prepayments, software subscriptions, and unbilled revenue accruals.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4.10 Phase 25: Statutory Compliance &amp; External Audit Export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Complete forensic data packaging for external financial audits.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Capabilities:</w:t>
      </w:r>
      <w:r>
        <w:rPr>
          <w:rFonts w:ascii="Segoe UI" w:hAnsi="Segoe UI"/>
        </w:rPr>
        <w:t xml:space="preserve"> Full general ledger extract, audit log timeline, and trial balance schedule exported in OECD standard audit file formats.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5. Milestone 4: Advanced Operations, AI &amp; Ecosystem (Phases 26–50) — [PLANNED Q2 2027+]</w:t>
      </w:r>
    </w:p>
    <w:p>
      <w:pPr>
        <w:spacing w:before="40" w:after="80" w:line="276" w:lineRule="auto"/>
      </w:pPr>
      <w:r>
        <w:rPr>
          <w:rFonts w:ascii="Segoe UI" w:hAnsi="Segoe UI"/>
        </w:rPr>
        <w:t>Milestone 4 introduces banking feeds, computer vision receipt capture, machine learning categorization, and multi-currency accounting.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5.1 Phases 26–30: UK Open Banking Live Bank Feeds (TrueLayer / Plaid)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Real-time synchronization of bank transactions from all major UK banks.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Supported Institutions:</w:t>
      </w:r>
      <w:r>
        <w:rPr>
          <w:rFonts w:ascii="Segoe UI" w:hAnsi="Segoe UI"/>
        </w:rPr>
        <w:t xml:space="preserve"> Barclays, NatWest, HSBC, Lloyds, Santander, Monzo, Starling, Revolut.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Architecture:</w:t>
      </w:r>
    </w:p>
    <w:p>
      <w:pPr>
        <w:pStyle w:val="ListBullet"/>
        <w:spacing w:before="20" w:after="40"/>
      </w:pPr>
      <w:r>
        <w:rPr>
          <w:rFonts w:ascii="Segoe UI" w:hAnsi="Segoe UI"/>
        </w:rPr>
        <w:t>Secure PSD2 / Open Banking AISP connection via TrueLayer / Plaid.</w:t>
      </w:r>
    </w:p>
    <w:p>
      <w:pPr>
        <w:pStyle w:val="ListBullet"/>
        <w:spacing w:before="20" w:after="40"/>
      </w:pPr>
      <w:r>
        <w:rPr>
          <w:rFonts w:ascii="Segoe UI" w:hAnsi="Segoe UI"/>
        </w:rPr>
        <w:t>Webhook listener capturing real-time bank transaction events.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Automated staging of bank feed transactions in </w:t>
      </w:r>
      <w:r>
        <w:rPr>
          <w:rFonts w:ascii="Consolas" w:hAnsi="Consolas"/>
          <w:color w:val="B42828"/>
          <w:sz w:val="19"/>
        </w:rPr>
        <w:t>bank_transactions</w:t>
      </w:r>
      <w:r>
        <w:rPr>
          <w:rFonts w:ascii="Segoe UI" w:hAnsi="Segoe UI"/>
        </w:rPr>
        <w:t xml:space="preserve"> table for automated matching.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5.2 Phases 31–35: AI Optical Character Recognition (OCR) &amp; Receipt Capture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Automated document extraction from supplier bills and employee receipts.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Architecture:</w:t>
      </w:r>
    </w:p>
    <w:p>
      <w:pPr>
        <w:pStyle w:val="ListBullet"/>
        <w:spacing w:before="20" w:after="40"/>
      </w:pPr>
      <w:r>
        <w:rPr>
          <w:rFonts w:ascii="Segoe UI" w:hAnsi="Segoe UI"/>
        </w:rPr>
        <w:t>Multi-format document upload (PDF, JPEG, PNG) to secure S3 storage.</w:t>
      </w:r>
    </w:p>
    <w:p>
      <w:pPr>
        <w:pStyle w:val="ListBullet"/>
        <w:spacing w:before="20" w:after="40"/>
      </w:pPr>
      <w:r>
        <w:rPr>
          <w:rFonts w:ascii="Segoe UI" w:hAnsi="Segoe UI"/>
        </w:rPr>
        <w:t>OCR extraction pipeline extracting supplier name, invoice date, line items, VAT number, and gross total.</w:t>
      </w:r>
    </w:p>
    <w:p>
      <w:pPr>
        <w:pStyle w:val="ListBullet"/>
        <w:spacing w:before="20" w:after="40"/>
      </w:pPr>
      <w:r>
        <w:rPr>
          <w:rFonts w:ascii="Segoe UI" w:hAnsi="Segoe UI"/>
        </w:rPr>
        <w:t>Automated matching against existing supplier directory.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5.3 Phases 36–40: Machine Learning Nominal Categorization &amp; Guardrails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Predictive transaction categorization powered by the </w:t>
      </w:r>
      <w:r>
        <w:rPr>
          <w:rFonts w:ascii="Consolas" w:hAnsi="Consolas"/>
          <w:color w:val="B42828"/>
          <w:sz w:val="19"/>
        </w:rPr>
        <w:t>src/ai/</w:t>
      </w:r>
      <w:r>
        <w:rPr>
          <w:rFonts w:ascii="Segoe UI" w:hAnsi="Segoe UI"/>
        </w:rPr>
        <w:t xml:space="preserve"> module.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Architecture:</w:t>
      </w:r>
    </w:p>
    <w:p>
      <w:pPr>
        <w:pStyle w:val="ListBullet"/>
        <w:spacing w:before="20" w:after="40"/>
      </w:pPr>
      <w:r>
        <w:rPr>
          <w:rFonts w:ascii="Segoe UI" w:hAnsi="Segoe UI"/>
        </w:rPr>
        <w:t>Heuristic classification and LLM embeddings suggesting nominal expense codes.</w:t>
      </w:r>
    </w:p>
    <w:p>
      <w:pPr>
        <w:pStyle w:val="ListBullet"/>
        <w:spacing w:before="20" w:after="40"/>
      </w:pPr>
      <w:r>
        <w:rPr>
          <w:rFonts w:ascii="Segoe UI" w:hAnsi="Segoe UI"/>
        </w:rPr>
        <w:t>Transaction direction prediction (Debit vs Credit).</w:t>
      </w:r>
    </w:p>
    <w:p>
      <w:pPr>
        <w:pStyle w:val="ListBullet"/>
        <w:spacing w:before="20" w:after="40"/>
      </w:pPr>
      <w:r>
        <w:rPr>
          <w:rFonts w:ascii="Segoe UI" w:hAnsi="Segoe UI"/>
        </w:rPr>
        <w:t>Mandatory safety guardrail (</w:t>
      </w:r>
      <w:r>
        <w:rPr>
          <w:rFonts w:ascii="Consolas" w:hAnsi="Consolas"/>
          <w:color w:val="B42828"/>
          <w:sz w:val="19"/>
        </w:rPr>
        <w:t>AccountingSafetyService</w:t>
      </w:r>
      <w:r>
        <w:rPr>
          <w:rFonts w:ascii="Segoe UI" w:hAnsi="Segoe UI"/>
        </w:rPr>
        <w:t>): High-risk control account transactions are blocked from autonomous posting and routed to human review.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5.4 Phases 41–45: Multi-Currency &amp; Realized/Unrealized FX Revaluations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Global multi-currency accounting with automated foreign exchange tracking.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Daily ECB / Bank of England exchange rate feeds.</w:t>
      </w:r>
    </w:p>
    <w:p>
      <w:pPr>
        <w:pStyle w:val="ListBullet"/>
        <w:spacing w:before="20" w:after="40"/>
      </w:pPr>
      <w:r>
        <w:rPr>
          <w:rFonts w:ascii="Segoe UI" w:hAnsi="Segoe UI"/>
        </w:rPr>
        <w:t>Invoicing in foreign currencies (USD, EUR) with base currency (GBP) ledger conversion.</w:t>
      </w:r>
    </w:p>
    <w:p>
      <w:pPr>
        <w:pStyle w:val="ListBullet"/>
        <w:spacing w:before="20" w:after="40"/>
      </w:pPr>
      <w:r>
        <w:rPr>
          <w:rFonts w:ascii="Segoe UI" w:hAnsi="Segoe UI"/>
        </w:rPr>
        <w:t>Month-end currency revaluation generating realized and unrealized FX gain/loss journals.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5.5 Phases 46–50: Intercompany Consolidation &amp; Group Accounts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Multi-entity holding company accounting and consolidated financial statements.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Capabilities:</w:t>
      </w:r>
    </w:p>
    <w:p>
      <w:pPr>
        <w:pStyle w:val="ListBullet"/>
        <w:spacing w:before="20" w:after="40"/>
      </w:pPr>
      <w:r>
        <w:rPr>
          <w:rFonts w:ascii="Segoe UI" w:hAnsi="Segoe UI"/>
        </w:rPr>
        <w:t>Multi-tier parent/subsidiary organization hierarchies.</w:t>
      </w:r>
    </w:p>
    <w:p>
      <w:pPr>
        <w:pStyle w:val="ListBullet"/>
        <w:spacing w:before="20" w:after="40"/>
      </w:pPr>
      <w:r>
        <w:rPr>
          <w:rFonts w:ascii="Segoe UI" w:hAnsi="Segoe UI"/>
        </w:rPr>
        <w:t>Automated elimination journals removing intercompany balances and transactions.</w:t>
      </w:r>
    </w:p>
    <w:p>
      <w:pPr>
        <w:pStyle w:val="ListBullet"/>
        <w:spacing w:before="20" w:after="40"/>
      </w:pPr>
      <w:r>
        <w:rPr>
          <w:rFonts w:ascii="Segoe UI" w:hAnsi="Segoe UI"/>
        </w:rPr>
        <w:t>Consolidated Group Trial Balance, Profit &amp; Loss, and Balance Sheet reporting.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6. Phase Dependency Matrix &amp; Release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Milestone 1: Indestructible Foundation (Phases 1-8)  [COMPLETED]</w:t>
              <w:br/>
              <w:t xml:space="preserve">   │</w:t>
              <w:br/>
              <w:t xml:space="preserve">   ▼</w:t>
              <w:br/>
              <w:t>Milestone 2: Commercial Subledgers (Phases 9-15)    [ACTIVE]</w:t>
              <w:br/>
              <w:t xml:space="preserve">   │</w:t>
              <w:br/>
              <w:t xml:space="preserve">   ├──&gt; Phase 9: Contacts V2 Subledgers</w:t>
              <w:br/>
              <w:t xml:space="preserve">   ├──&gt; Phase 10: Sales Invoicing &amp; GL Posting</w:t>
              <w:br/>
              <w:t xml:space="preserve">   ├──&gt; Phase 11: Customer Statements</w:t>
              <w:br/>
              <w:t xml:space="preserve">   ├──&gt; Phase 12: Purchase Bills</w:t>
              <w:br/>
              <w:t xml:space="preserve">   ├──&gt; Phase 13: Payment Allocations</w:t>
              <w:br/>
              <w:t xml:space="preserve">   ├──&gt; Phase 14: Bank Accounts</w:t>
              <w:br/>
              <w:t xml:space="preserve">   └──&gt; Phase 15: Financial Reports V1</w:t>
              <w:br/>
              <w:t xml:space="preserve">   │</w:t>
              <w:br/>
              <w:t xml:space="preserve">   ▼</w:t>
              <w:br/>
              <w:t>Milestone 3: UK Tax &amp; HMRC MTD (Phases 16-25)        [Q1 2027]</w:t>
              <w:br/>
              <w:t xml:space="preserve">   │</w:t>
              <w:br/>
              <w:t xml:space="preserve">   ├──&gt; Phase 16: VAT Return 9-Box Calculation</w:t>
              <w:br/>
              <w:t xml:space="preserve">   ├──&gt; Phase 17: HMRC MTD Direct API Integration</w:t>
              <w:br/>
              <w:t xml:space="preserve">   ├──&gt; Phase 18: Year-End Close Automation</w:t>
              <w:br/>
              <w:t xml:space="preserve">   └──&gt; Phases 19-25: Fixed Assets, Practice Tools &amp; FRS 105</w:t>
              <w:br/>
              <w:t xml:space="preserve">   │</w:t>
              <w:br/>
              <w:t xml:space="preserve">   ▼</w:t>
              <w:br/>
              <w:t>Milestone 4: Open Banking &amp; AI (Phases 26-50)         [Q2 2027+]</w:t>
              <w:br/>
              <w:t xml:space="preserve">   │</w:t>
              <w:br/>
              <w:t xml:space="preserve">   ├──&gt; Phases 26-30: Open Banking Live Feeds</w:t>
              <w:br/>
              <w:t xml:space="preserve">   ├──&gt; Phases 31-35: AI OCR Document Extraction</w:t>
              <w:br/>
              <w:t xml:space="preserve">   ├──&gt; Phases 36-40: ML Nominal Categorization</w:t>
              <w:br/>
              <w:t xml:space="preserve">   ├──&gt; Phases 41-45: Multi-Currency FX Revaluations</w:t>
              <w:br/>
              <w:t xml:space="preserve">   └──&gt; Phases 46-50: Intercompany Consolidation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END OF BLYNT COMPLETE 50-PHASE ROADMAP &amp; ENGINEERING SPECIFICATION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