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200"/>
        <w:jc w:val="center"/>
      </w:pPr>
      <w:r>
        <w:drawing>
          <wp:inline xmlns:a="http://schemas.openxmlformats.org/drawingml/2006/main" xmlns:pic="http://schemas.openxmlformats.org/drawingml/2006/picture">
            <wp:extent cx="1508760" cy="18529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ynt-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08760" cy="1852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500" w:after="160"/>
        <w:jc w:val="center"/>
      </w:pPr>
      <w:r>
        <w:rPr>
          <w:rFonts w:ascii="Segoe UI" w:hAnsi="Segoe UI"/>
          <w:b/>
          <w:color w:val="162D5F"/>
          <w:sz w:val="76"/>
        </w:rPr>
        <w:t>blynt</w:t>
      </w:r>
    </w:p>
    <w:p>
      <w:pPr>
        <w:spacing w:after="240"/>
        <w:jc w:val="center"/>
      </w:pPr>
      <w:r>
        <w:rPr>
          <w:rFonts w:ascii="Segoe UI" w:hAnsi="Segoe UI"/>
          <w:b/>
          <w:color w:val="162D5F"/>
          <w:sz w:val="36"/>
        </w:rPr>
        <w:t>ENGINEERING &amp; OPERATIONS PLAYBOOK</w:t>
      </w:r>
    </w:p>
    <w:p>
      <w:pPr>
        <w:spacing w:after="400"/>
        <w:jc w:val="center"/>
      </w:pPr>
      <w:r>
        <w:rPr>
          <w:rFonts w:ascii="Segoe UI" w:hAnsi="Segoe UI"/>
          <w:color w:val="FF7F6C"/>
          <w:sz w:val="22"/>
        </w:rPr>
        <w:t>Site Reliability Engineering • Operational Runbooks • Incident Response Protocols</w:t>
        <w:br/>
        <w:t>Disaster Recovery Procedures • Financial Accounting Standard Operating Procedures</w:t>
        <w:br/>
        <w:t>Authoritative Operations Manual • October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EEF2F9"/>
            <w:tcMar>
              <w:top w:w="100" w:type="dxa"/>
              <w:bottom w:w="100" w:type="dxa"/>
              <w:left w:w="180" w:type="dxa"/>
              <w:right w:w="180" w:type="dxa"/>
            </w:tcMar>
          </w:tcPr>
          <w:p>
            <w:pPr>
              <w:jc w:val="center"/>
            </w:pPr>
            <w:r>
              <w:rPr>
                <w:rFonts w:ascii="Segoe UI" w:hAnsi="Segoe UI"/>
                <w:b/>
                <w:color w:val="162D5F"/>
                <w:sz w:val="24"/>
              </w:rPr>
              <w:t>Operational Governance Notice</w:t>
              <w:br/>
            </w:r>
            <w:r>
              <w:rPr>
                <w:rFonts w:ascii="Segoe UI" w:hAnsi="Segoe UI"/>
                <w:i/>
                <w:color w:val="475569"/>
                <w:sz w:val="20"/>
              </w:rPr>
              <w:t>This standalone Playbook prescribes mandatory standard operating procedures, incident triage protocols, disaster recovery runbooks, and financial period management rules for engineers, DevOps personnel, and financial administrators operating the blynt platform.</w:t>
            </w:r>
          </w:p>
        </w:tc>
      </w:tr>
    </w:tbl>
    <w:p>
      <w:pPr>
        <w:spacing w:before="600"/>
        <w:jc w:val="center"/>
      </w:pPr>
      <w:r>
        <w:rPr>
          <w:rFonts w:ascii="Segoe UI" w:hAnsi="Segoe UI"/>
          <w:b/>
          <w:color w:val="162D5F"/>
          <w:sz w:val="19"/>
        </w:rPr>
        <w:t xml:space="preserve">Document Ref: </w:t>
      </w:r>
      <w:r>
        <w:rPr>
          <w:rFonts w:ascii="Segoe UI" w:hAnsi="Segoe UI"/>
          <w:color w:val="1E293B"/>
          <w:sz w:val="19"/>
        </w:rPr>
        <w:t>BLYNT-OPS-PLAYBOOK-V1</w:t>
        <w:br/>
      </w:r>
      <w:r>
        <w:rPr>
          <w:rFonts w:ascii="Segoe UI" w:hAnsi="Segoe UI"/>
          <w:b/>
          <w:color w:val="162D5F"/>
          <w:sz w:val="19"/>
        </w:rPr>
        <w:t xml:space="preserve">System Name: </w:t>
      </w:r>
      <w:r>
        <w:rPr>
          <w:rFonts w:ascii="Segoe UI" w:hAnsi="Segoe UI"/>
          <w:color w:val="1E293B"/>
          <w:sz w:val="19"/>
        </w:rPr>
        <w:t>blynt (Internal Code: Ledgerline)</w:t>
        <w:br/>
      </w:r>
      <w:r>
        <w:rPr>
          <w:rFonts w:ascii="Segoe UI" w:hAnsi="Segoe UI"/>
          <w:b/>
          <w:color w:val="162D5F"/>
          <w:sz w:val="19"/>
        </w:rPr>
        <w:t xml:space="preserve">System Target Availability: </w:t>
      </w:r>
      <w:r>
        <w:rPr>
          <w:rFonts w:ascii="Segoe UI" w:hAnsi="Segoe UI"/>
          <w:color w:val="1E293B"/>
          <w:sz w:val="19"/>
        </w:rPr>
        <w:t>99.95% Monthly SLA</w:t>
        <w:br/>
      </w:r>
      <w:r>
        <w:rPr>
          <w:rFonts w:ascii="Segoe UI" w:hAnsi="Segoe UI"/>
          <w:b/>
          <w:color w:val="162D5F"/>
          <w:sz w:val="19"/>
        </w:rPr>
        <w:t xml:space="preserve">Financial Precision Rule: </w:t>
      </w:r>
      <w:r>
        <w:rPr>
          <w:rFonts w:ascii="Segoe UI" w:hAnsi="Segoe UI"/>
          <w:color w:val="1E293B"/>
          <w:sz w:val="19"/>
        </w:rPr>
        <w:t>Zero-Drift Arbitrary Fixed-Point Invariant</w:t>
        <w:br/>
      </w:r>
      <w:r>
        <w:rPr>
          <w:rFonts w:ascii="Segoe UI" w:hAnsi="Segoe UI"/>
          <w:b/>
          <w:color w:val="162D5F"/>
          <w:sz w:val="19"/>
        </w:rPr>
        <w:t xml:space="preserve">Recovery Objectives: </w:t>
      </w:r>
      <w:r>
        <w:rPr>
          <w:rFonts w:ascii="Segoe UI" w:hAnsi="Segoe UI"/>
          <w:color w:val="1E293B"/>
          <w:sz w:val="19"/>
        </w:rPr>
        <w:t>RPO = 0 (Zero Financial Data Loss) | RTO &lt; 30 Minutes</w:t>
        <w:br/>
      </w:r>
      <w:r>
        <w:rPr>
          <w:rFonts w:ascii="Segoe UI" w:hAnsi="Segoe UI"/>
          <w:b/>
          <w:color w:val="162D5F"/>
          <w:sz w:val="19"/>
        </w:rPr>
        <w:t xml:space="preserve">Document Classification: </w:t>
      </w:r>
      <w:r>
        <w:rPr>
          <w:rFonts w:ascii="Segoe UI" w:hAnsi="Segoe UI"/>
          <w:color w:val="1E293B"/>
          <w:sz w:val="19"/>
        </w:rPr>
        <w:t>Confidential Operational &amp; Engineering Playbook</w:t>
        <w:br/>
      </w:r>
      <w:r>
        <w:rPr>
          <w:rFonts w:ascii="Segoe UI" w:hAnsi="Segoe UI"/>
          <w:b/>
          <w:color w:val="162D5F"/>
          <w:sz w:val="19"/>
        </w:rPr>
        <w:t xml:space="preserve">Authorized Audience: </w:t>
      </w:r>
      <w:r>
        <w:rPr>
          <w:rFonts w:ascii="Segoe UI" w:hAnsi="Segoe UI"/>
          <w:color w:val="1E293B"/>
          <w:sz w:val="19"/>
        </w:rPr>
        <w:t>DevOps Engineers, SREs, Tech Leads, Financial Controllers</w:t>
        <w:br/>
      </w:r>
    </w:p>
    <w:p>
      <w:r>
        <w:br w:type="page"/>
      </w: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blynt — Engineering &amp; Operations Playbook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Classification:</w:t>
      </w:r>
      <w:r>
        <w:rPr>
          <w:rFonts w:ascii="Segoe UI" w:hAnsi="Segoe UI"/>
        </w:rPr>
        <w:t xml:space="preserve"> Engineering Runbooks &amp; Operational Governance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Target Systems:</w:t>
      </w:r>
      <w:r>
        <w:rPr>
          <w:rFonts w:ascii="Segoe UI" w:hAnsi="Segoe UI"/>
        </w:rPr>
        <w:t xml:space="preserve"> AWS Cloud Infrastructure (</w:t>
      </w:r>
      <w:r>
        <w:rPr>
          <w:rFonts w:ascii="Consolas" w:hAnsi="Consolas"/>
          <w:color w:val="B42828"/>
          <w:sz w:val="19"/>
        </w:rPr>
        <w:t>eu-west-2</w:t>
      </w:r>
      <w:r>
        <w:rPr>
          <w:rFonts w:ascii="Segoe UI" w:hAnsi="Segoe UI"/>
        </w:rPr>
        <w:t xml:space="preserve"> London), NestJS 11 Backend, PostgreSQL 16 Aurora/RDS, Next.js 15 Web Client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Version:</w:t>
      </w:r>
      <w:r>
        <w:rPr>
          <w:rFonts w:ascii="Segoe UI" w:hAnsi="Segoe UI"/>
        </w:rPr>
        <w:t xml:space="preserve"> 1.0 Production Readiness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Document Ref: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BLYNT-OPS-PLAYBOOK-V1</w:t>
      </w: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Table of Contents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1. Operational Charter, SLOs &amp; Incident Response Framework</w:t>
      </w:r>
    </w:p>
    <w:p>
      <w:pPr>
        <w:pStyle w:val="ListBullet"/>
        <w:spacing w:before="20" w:after="40"/>
      </w:pPr>
      <w:r>
        <w:rPr>
          <w:rFonts w:ascii="Segoe UI" w:hAnsi="Segoe UI"/>
        </w:rPr>
        <w:t>1.1 Service Level Objectives (SLOs) &amp; Reliability Targets</w:t>
      </w:r>
    </w:p>
    <w:p>
      <w:pPr>
        <w:pStyle w:val="ListBullet"/>
        <w:spacing w:before="20" w:after="40"/>
      </w:pPr>
      <w:r>
        <w:rPr>
          <w:rFonts w:ascii="Segoe UI" w:hAnsi="Segoe UI"/>
        </w:rPr>
        <w:t>1.2 Severity Classification Matrix (SEV-1 to SEV-4)</w:t>
      </w:r>
    </w:p>
    <w:p>
      <w:pPr>
        <w:pStyle w:val="ListBullet"/>
        <w:spacing w:before="20" w:after="40"/>
      </w:pPr>
      <w:r>
        <w:rPr>
          <w:rFonts w:ascii="Segoe UI" w:hAnsi="Segoe UI"/>
        </w:rPr>
        <w:t>1.3 Incident Response Roles &amp; Communication Escalation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2. Local Engineering &amp; Development Runbook</w:t>
      </w:r>
    </w:p>
    <w:p>
      <w:pPr>
        <w:pStyle w:val="ListBullet"/>
        <w:spacing w:before="20" w:after="40"/>
      </w:pPr>
      <w:r>
        <w:rPr>
          <w:rFonts w:ascii="Segoe UI" w:hAnsi="Segoe UI"/>
        </w:rPr>
        <w:t>2.1 Developer Prerequisites &amp; Tooling</w:t>
      </w:r>
    </w:p>
    <w:p>
      <w:pPr>
        <w:pStyle w:val="ListBullet"/>
        <w:spacing w:before="20" w:after="40"/>
      </w:pPr>
      <w:r>
        <w:rPr>
          <w:rFonts w:ascii="Segoe UI" w:hAnsi="Segoe UI"/>
        </w:rPr>
        <w:t>2.2 Repository Architecture &amp; Workspace Setup</w:t>
      </w:r>
    </w:p>
    <w:p>
      <w:pPr>
        <w:pStyle w:val="ListBullet"/>
        <w:spacing w:before="20" w:after="40"/>
      </w:pPr>
      <w:r>
        <w:rPr>
          <w:rFonts w:ascii="Segoe UI" w:hAnsi="Segoe UI"/>
        </w:rPr>
        <w:t>2.3 Local Environment Configuration (.env files)</w:t>
      </w:r>
    </w:p>
    <w:p>
      <w:pPr>
        <w:pStyle w:val="ListBullet"/>
        <w:spacing w:before="20" w:after="40"/>
      </w:pPr>
      <w:r>
        <w:rPr>
          <w:rFonts w:ascii="Segoe UI" w:hAnsi="Segoe UI"/>
        </w:rPr>
        <w:t>2.4 Database Provisioning, Prisma Migration &amp; Seeding</w:t>
      </w:r>
    </w:p>
    <w:p>
      <w:pPr>
        <w:pStyle w:val="ListBullet"/>
        <w:spacing w:before="20" w:after="40"/>
      </w:pPr>
      <w:r>
        <w:rPr>
          <w:rFonts w:ascii="Segoe UI" w:hAnsi="Segoe UI"/>
        </w:rPr>
        <w:t>2.5 Running Applications Locally (Backend, Frontend, Full Monorepo)</w:t>
      </w:r>
    </w:p>
    <w:p>
      <w:pPr>
        <w:pStyle w:val="ListBullet"/>
        <w:spacing w:before="20" w:after="40"/>
      </w:pPr>
      <w:r>
        <w:rPr>
          <w:rFonts w:ascii="Segoe UI" w:hAnsi="Segoe UI"/>
        </w:rPr>
        <w:t>2.6 Running the Verification Test Suites (26 Suites / 127 Tests)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3. CI/CD, Deployment &amp; Release Playbook</w:t>
      </w:r>
    </w:p>
    <w:p>
      <w:pPr>
        <w:pStyle w:val="ListBullet"/>
        <w:spacing w:before="20" w:after="40"/>
      </w:pPr>
      <w:r>
        <w:rPr>
          <w:rFonts w:ascii="Segoe UI" w:hAnsi="Segoe UI"/>
        </w:rPr>
        <w:t>3.1 Pull Request Quality Gate &amp; Automated Testing</w:t>
      </w:r>
    </w:p>
    <w:p>
      <w:pPr>
        <w:pStyle w:val="ListBullet"/>
        <w:spacing w:before="20" w:after="40"/>
      </w:pPr>
      <w:r>
        <w:rPr>
          <w:rFonts w:ascii="Segoe UI" w:hAnsi="Segoe UI"/>
        </w:rPr>
        <w:t>3.2 Staging &amp; Production Deployment Pipeline</w:t>
      </w:r>
    </w:p>
    <w:p>
      <w:pPr>
        <w:pStyle w:val="ListBullet"/>
        <w:spacing w:before="20" w:after="40"/>
      </w:pPr>
      <w:r>
        <w:rPr>
          <w:rFonts w:ascii="Segoe UI" w:hAnsi="Segoe UI"/>
        </w:rPr>
        <w:t>3.3 Zero-Downtime Database Schema Migration Strategy</w:t>
      </w:r>
    </w:p>
    <w:p>
      <w:pPr>
        <w:pStyle w:val="ListBullet"/>
        <w:spacing w:before="20" w:after="40"/>
      </w:pPr>
      <w:r>
        <w:rPr>
          <w:rFonts w:ascii="Segoe UI" w:hAnsi="Segoe UI"/>
        </w:rPr>
        <w:t>3.4 Production Rollback Runbook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4. Database Administration &amp; Maintenance Playbook</w:t>
      </w:r>
    </w:p>
    <w:p>
      <w:pPr>
        <w:pStyle w:val="ListBullet"/>
        <w:spacing w:before="20" w:after="40"/>
      </w:pPr>
      <w:r>
        <w:rPr>
          <w:rFonts w:ascii="Segoe UI" w:hAnsi="Segoe UI"/>
        </w:rPr>
        <w:t>4.1 Connection Pool Sizing &amp; Management (PgBouncer &amp; Prisma)</w:t>
      </w:r>
    </w:p>
    <w:p>
      <w:pPr>
        <w:pStyle w:val="ListBullet"/>
        <w:spacing w:before="20" w:after="40"/>
      </w:pPr>
      <w:r>
        <w:rPr>
          <w:rFonts w:ascii="Segoe UI" w:hAnsi="Segoe UI"/>
        </w:rPr>
        <w:t>4.2 Point-In-Time Recovery (PITR) &amp; Automated Snapshots</w:t>
      </w:r>
    </w:p>
    <w:p>
      <w:pPr>
        <w:pStyle w:val="ListBullet"/>
        <w:spacing w:before="20" w:after="40"/>
      </w:pPr>
      <w:r>
        <w:rPr>
          <w:rFonts w:ascii="Segoe UI" w:hAnsi="Segoe UI"/>
        </w:rPr>
        <w:t>4.3 Immutable Audit Logs Health Verification (</w:t>
      </w:r>
      <w:r>
        <w:rPr>
          <w:rFonts w:ascii="Consolas" w:hAnsi="Consolas"/>
          <w:color w:val="B42828"/>
          <w:sz w:val="19"/>
        </w:rPr>
        <w:t>trg_audit_logs_immutable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4.4 PostgreSQL </w:t>
      </w:r>
      <w:r>
        <w:rPr>
          <w:rFonts w:ascii="Consolas" w:hAnsi="Consolas"/>
          <w:color w:val="B42828"/>
          <w:sz w:val="19"/>
        </w:rPr>
        <w:t>btree_gist</w:t>
      </w:r>
      <w:r>
        <w:rPr>
          <w:rFonts w:ascii="Segoe UI" w:hAnsi="Segoe UI"/>
        </w:rPr>
        <w:t xml:space="preserve"> Temporal Constraints Index Maintenance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5. Financial Operations &amp; Accounting Runbooks (Standard SOPs)</w:t>
      </w:r>
    </w:p>
    <w:p>
      <w:pPr>
        <w:pStyle w:val="ListBullet"/>
        <w:spacing w:before="20" w:after="40"/>
      </w:pPr>
      <w:r>
        <w:rPr>
          <w:rFonts w:ascii="Segoe UI" w:hAnsi="Segoe UI"/>
        </w:rPr>
        <w:t>5.1 Runbook FIN-01: Tenant Onboarding &amp; Chart of Accounts Initialization</w:t>
      </w:r>
    </w:p>
    <w:p>
      <w:pPr>
        <w:pStyle w:val="ListBullet"/>
        <w:spacing w:before="20" w:after="40"/>
      </w:pPr>
      <w:r>
        <w:rPr>
          <w:rFonts w:ascii="Segoe UI" w:hAnsi="Segoe UI"/>
        </w:rPr>
        <w:t>5.2 Runbook FIN-02: Month-End Close &amp; Soft Lockdown Protocol</w:t>
      </w:r>
    </w:p>
    <w:p>
      <w:pPr>
        <w:pStyle w:val="ListBullet"/>
        <w:spacing w:before="20" w:after="40"/>
      </w:pPr>
      <w:r>
        <w:rPr>
          <w:rFonts w:ascii="Segoe UI" w:hAnsi="Segoe UI"/>
        </w:rPr>
        <w:t>5.3 Runbook FIN-03: Statutory Year-End Close &amp; Hard Lockdown Protocol</w:t>
      </w:r>
    </w:p>
    <w:p>
      <w:pPr>
        <w:pStyle w:val="ListBullet"/>
        <w:spacing w:before="20" w:after="40"/>
      </w:pPr>
      <w:r>
        <w:rPr>
          <w:rFonts w:ascii="Segoe UI" w:hAnsi="Segoe UI"/>
        </w:rPr>
        <w:t>5.4 Runbook FIN-04: GAAP-Compliant Journal &amp; Invoice Reversals</w:t>
      </w:r>
    </w:p>
    <w:p>
      <w:pPr>
        <w:pStyle w:val="ListBullet"/>
        <w:spacing w:before="20" w:after="40"/>
      </w:pPr>
      <w:r>
        <w:rPr>
          <w:rFonts w:ascii="Segoe UI" w:hAnsi="Segoe UI"/>
        </w:rPr>
        <w:t>5.5 Runbook FIN-05: Accounts Receivable Reconciliation &amp; Bad Debt Write-Off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6. Incident Response Runbooks (IR Protocols)</w:t>
      </w:r>
    </w:p>
    <w:p>
      <w:pPr>
        <w:pStyle w:val="ListBullet"/>
        <w:spacing w:before="20" w:after="40"/>
      </w:pPr>
      <w:r>
        <w:rPr>
          <w:rFonts w:ascii="Segoe UI" w:hAnsi="Segoe UI"/>
        </w:rPr>
        <w:t>6.1 Playbook IR-01: General Ledger Imbalance / Accounting Drift (SEV-1)</w:t>
      </w:r>
    </w:p>
    <w:p>
      <w:pPr>
        <w:pStyle w:val="ListBullet"/>
        <w:spacing w:before="20" w:after="40"/>
      </w:pPr>
      <w:r>
        <w:rPr>
          <w:rFonts w:ascii="Segoe UI" w:hAnsi="Segoe UI"/>
        </w:rPr>
        <w:t>6.2 Playbook IR-02: Database Connection Exhaustion / Latency Spike (SEV-2)</w:t>
      </w:r>
    </w:p>
    <w:p>
      <w:pPr>
        <w:pStyle w:val="ListBullet"/>
        <w:spacing w:before="20" w:after="40"/>
      </w:pPr>
      <w:r>
        <w:rPr>
          <w:rFonts w:ascii="Segoe UI" w:hAnsi="Segoe UI"/>
        </w:rPr>
        <w:t>6.3 Playbook IR-03: Multi-Tenant Boundary Isolation Breach Alert (SEV-1)</w:t>
      </w:r>
    </w:p>
    <w:p>
      <w:pPr>
        <w:pStyle w:val="ListBullet"/>
        <w:spacing w:before="20" w:after="40"/>
      </w:pPr>
      <w:r>
        <w:rPr>
          <w:rFonts w:ascii="Segoe UI" w:hAnsi="Segoe UI"/>
        </w:rPr>
        <w:t>6.4 Playbook IR-04: Cloud Deployment Failure / Container CrashLoop (SEV-1)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7. Disaster Recovery &amp; Regional Failover Playbook</w:t>
      </w:r>
    </w:p>
    <w:p>
      <w:pPr>
        <w:pStyle w:val="ListBullet"/>
        <w:spacing w:before="20" w:after="40"/>
      </w:pPr>
      <w:r>
        <w:rPr>
          <w:rFonts w:ascii="Segoe UI" w:hAnsi="Segoe UI"/>
        </w:rPr>
        <w:t>7.1 Disaster Recovery Objectives ($RPO = 0$, $RTO &lt; 30$ mins)</w:t>
      </w:r>
    </w:p>
    <w:p>
      <w:pPr>
        <w:pStyle w:val="ListBullet"/>
        <w:spacing w:before="20" w:after="40"/>
      </w:pPr>
      <w:r>
        <w:rPr>
          <w:rFonts w:ascii="Segoe UI" w:hAnsi="Segoe UI"/>
        </w:rPr>
        <w:t>7.2 Complete Region Outage Failover (</w:t>
      </w:r>
      <w:r>
        <w:rPr>
          <w:rFonts w:ascii="Consolas" w:hAnsi="Consolas"/>
          <w:color w:val="B42828"/>
          <w:sz w:val="19"/>
        </w:rPr>
        <w:t>eu-west-2</w:t>
      </w:r>
      <w:r>
        <w:rPr>
          <w:rFonts w:ascii="Segoe UI" w:hAnsi="Segoe UI"/>
        </w:rPr>
        <w:t xml:space="preserve"> to </w:t>
      </w:r>
      <w:r>
        <w:rPr>
          <w:rFonts w:ascii="Consolas" w:hAnsi="Consolas"/>
          <w:color w:val="B42828"/>
          <w:sz w:val="19"/>
        </w:rPr>
        <w:t>eu-west-1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7.3 Snapshot Restoration &amp; Forensic Integrity Validation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8. Security Operations, Key Rotation &amp; Compliance Playbook</w:t>
      </w:r>
    </w:p>
    <w:p>
      <w:pPr>
        <w:pStyle w:val="ListBullet"/>
        <w:spacing w:before="20" w:after="40"/>
      </w:pPr>
      <w:r>
        <w:rPr>
          <w:rFonts w:ascii="Segoe UI" w:hAnsi="Segoe UI"/>
        </w:rPr>
        <w:t>8.1 Periodic Secrets Rotation (JWT, Database, Session Keys)</w:t>
      </w:r>
    </w:p>
    <w:p>
      <w:pPr>
        <w:pStyle w:val="ListBullet"/>
        <w:spacing w:before="20" w:after="40"/>
      </w:pPr>
      <w:r>
        <w:rPr>
          <w:rFonts w:ascii="Segoe UI" w:hAnsi="Segoe UI"/>
        </w:rPr>
        <w:t>8.2 Making Tax Digital (MTD) &amp; Statutory 6-Year Audit Trail Retention</w:t>
      </w:r>
    </w:p>
    <w:p>
      <w:pPr>
        <w:pStyle w:val="ListBullet"/>
        <w:spacing w:before="20" w:after="40"/>
      </w:pPr>
      <w:r>
        <w:rPr>
          <w:rFonts w:ascii="Segoe UI" w:hAnsi="Segoe UI"/>
        </w:rPr>
        <w:t>8.3 Least Privilege IAM Policy Auditing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9. Monitoring, Observability &amp; Alerting Reference</w:t>
      </w:r>
    </w:p>
    <w:p>
      <w:pPr>
        <w:pStyle w:val="ListBullet"/>
        <w:spacing w:before="20" w:after="40"/>
      </w:pPr>
      <w:r>
        <w:rPr>
          <w:rFonts w:ascii="Segoe UI" w:hAnsi="Segoe UI"/>
        </w:rPr>
        <w:t>9.1 Synthetic Health Probes (</w:t>
      </w:r>
      <w:r>
        <w:rPr>
          <w:rFonts w:ascii="Consolas" w:hAnsi="Consolas"/>
          <w:color w:val="B42828"/>
          <w:sz w:val="19"/>
        </w:rPr>
        <w:t>/api/v1/health</w:t>
      </w:r>
      <w:r>
        <w:rPr>
          <w:rFonts w:ascii="Segoe UI" w:hAnsi="Segoe UI"/>
        </w:rPr>
        <w:t>)</w:t>
      </w:r>
    </w:p>
    <w:p>
      <w:pPr>
        <w:pStyle w:val="ListBullet"/>
        <w:spacing w:before="20" w:after="40"/>
      </w:pPr>
      <w:r>
        <w:rPr>
          <w:rFonts w:ascii="Segoe UI" w:hAnsi="Segoe UI"/>
        </w:rPr>
        <w:t>9.2 Critical CloudWatch Alarms &amp; Thresholds</w:t>
      </w:r>
    </w:p>
    <w:p>
      <w:pPr>
        <w:pStyle w:val="ListBullet"/>
        <w:spacing w:before="20" w:after="40"/>
      </w:pPr>
      <w:r>
        <w:rPr>
          <w:rFonts w:ascii="Segoe UI" w:hAnsi="Segoe UI"/>
        </w:rPr>
        <w:t>9.3 Correlation ID Log Tracing (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>) with CloudWatch Insights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1. Operational Charter, SLOs &amp; Incident Response Framework</w:t>
      </w:r>
    </w:p>
    <w:p>
      <w:pPr>
        <w:spacing w:before="40" w:after="80" w:line="276" w:lineRule="auto"/>
      </w:pPr>
      <w:r>
        <w:rPr>
          <w:rFonts w:ascii="Segoe UI" w:hAnsi="Segoe UI"/>
        </w:rPr>
        <w:t>The blynt platform provides institutional-grade double-entry financial accounting. Operational failure carries direct statutory and fiduciary consequences for tenant businesses.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61631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_system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6163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1 - High-level blynt system architecture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1.1 Service Level Objectives (SLOs) &amp; Reliability Targets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Metric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Target SLO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Measurement Window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Error Budget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API Availability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99.95%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Monthly Rolling (30 days)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21.6 minutes downtime / month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P95 Request Latency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150 ms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5-minute rolling window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Standard read/write operations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P99 Request Latency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250 ms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5-minute rolling window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Complex reporting endpoints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Financial Data Loss (RPO)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0 seconds ($RPO = 0$)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Continuous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Multi-AZ synchronous commit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Recovery Time (RTO)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30 minutes ($RTO &lt; 30</w:t>
              <w:tab/>
              <w:t>ext{m}$)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Disaster recovery event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Full cross-region failover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Accounting Invariant Drift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0.0000 GBP (Zero drift)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Continuous integrity scanner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0 balance discrepancies tolerated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1.2 Severity Classification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30"/>
        <w:gridCol w:w="1930"/>
        <w:gridCol w:w="1930"/>
        <w:gridCol w:w="1930"/>
        <w:gridCol w:w="1930"/>
      </w:tblGrid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Severity Level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Definition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Impact Scope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Initial Response Target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Update Cadence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SEV-1 (Critical)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Core API unavailable, database down, trial balance out of equilibrium, or security breach.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All tenants or core financial integrity impaired.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15 Minutes</w:t>
            </w:r>
            <w:r>
              <w:rPr>
                <w:rFonts w:ascii="Segoe UI" w:hAnsi="Segoe UI"/>
                <w:sz w:val="18"/>
              </w:rPr>
              <w:t xml:space="preserve"> (24/7 on-call pager)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Every 30 minutes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SEV-2 (Major)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Major subsystem failure (e.g. Invoicing disabled, reports failing), high latency (&gt; 2s), or soft-lock errors.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Significant tenant cohort or major feature unusable.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30 Minutes</w:t>
            </w:r>
            <w:r>
              <w:rPr>
                <w:rFonts w:ascii="Segoe UI" w:hAnsi="Segoe UI"/>
                <w:sz w:val="18"/>
              </w:rPr>
              <w:t xml:space="preserve"> (Business hours &amp; on-call)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Every 2 hours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SEV-3 (Moderate)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Non-blocking bug, UI styling defect, AI document suggestion error with fallback available.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Single tenant or non-critical functionality.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4 Hours</w:t>
            </w:r>
            <w:r>
              <w:rPr>
                <w:rFonts w:ascii="Segoe UI" w:hAnsi="Segoe UI"/>
                <w:sz w:val="18"/>
              </w:rPr>
              <w:t xml:space="preserve"> (Next business window)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Daily</w:t>
            </w:r>
          </w:p>
        </w:tc>
      </w:tr>
      <w:tr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SEV-4 (Minor)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Cosmetic defect, documentation update, feature request.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Minimal operational impact.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&lt; 2 Business Days</w:t>
            </w:r>
          </w:p>
        </w:tc>
        <w:tc>
          <w:tcPr>
            <w:tcW w:type="dxa" w:w="1930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Weekly sprint review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1.3 Incident Response Roles &amp; Escalation Matrix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During an active SEV-1 or SEV-2 incident, an </w:t>
      </w:r>
      <w:r>
        <w:rPr>
          <w:rFonts w:ascii="Segoe UI" w:hAnsi="Segoe UI"/>
          <w:b/>
        </w:rPr>
        <w:t>Incident Command Team</w:t>
      </w:r>
      <w:r>
        <w:rPr>
          <w:rFonts w:ascii="Segoe UI" w:hAnsi="Segoe UI"/>
        </w:rPr>
        <w:t xml:space="preserve"> is automatically activated: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[ Incident Commander (Lead SRE) ]</w:t>
              <w:br/>
              <w:t xml:space="preserve">       │</w:t>
              <w:br/>
              <w:t xml:space="preserve">       ├── [ Tech Lead / Forensic Engineer ]  (Identifies root cause, writes patch)</w:t>
              <w:br/>
              <w:t xml:space="preserve">       ├── [ Operations / DevOps Lead ]        (Executes rollbacks, scales infrastructure)</w:t>
              <w:br/>
              <w:t xml:space="preserve">       └── [ Communications Officer ]          (Maintains tenant status page, informs leadership)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Incident Commander (IC):</w:t>
      </w:r>
      <w:r>
        <w:rPr>
          <w:rFonts w:ascii="Segoe UI" w:hAnsi="Segoe UI"/>
        </w:rPr>
        <w:t xml:space="preserve"> Directs triage, authorizes emergency database mutations, assigns tasks, and ensures no uncoordinated actions take place.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Technical Lead:</w:t>
      </w:r>
      <w:r>
        <w:rPr>
          <w:rFonts w:ascii="Segoe UI" w:hAnsi="Segoe UI"/>
        </w:rPr>
        <w:t xml:space="preserve"> Investigates logs, correlates 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>, reproduces the failure in sandbox, and validates fix.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Operations Lead:</w:t>
      </w:r>
      <w:r>
        <w:rPr>
          <w:rFonts w:ascii="Segoe UI" w:hAnsi="Segoe UI"/>
        </w:rPr>
        <w:t xml:space="preserve"> Executes infrastructure remediation (container restart, scaling, failover, rollback).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Communications Officer:</w:t>
      </w:r>
      <w:r>
        <w:rPr>
          <w:rFonts w:ascii="Segoe UI" w:hAnsi="Segoe UI"/>
        </w:rPr>
        <w:t xml:space="preserve"> Publishes status updates to tenant administrators every 30 minutes until resolution.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2. Local Engineering &amp; Development Runbook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2.1 Developer Prerequisites &amp; Tooling</w:t>
      </w:r>
    </w:p>
    <w:p>
      <w:pPr>
        <w:spacing w:before="40" w:after="80" w:line="276" w:lineRule="auto"/>
      </w:pPr>
      <w:r>
        <w:rPr>
          <w:rFonts w:ascii="Segoe UI" w:hAnsi="Segoe UI"/>
        </w:rPr>
        <w:t>Engineers contributing to blynt must have the following toolchains installed: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Node.js: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v22.x LTS</w:t>
      </w:r>
      <w:r>
        <w:rPr>
          <w:rFonts w:ascii="Segoe UI" w:hAnsi="Segoe UI"/>
        </w:rPr>
        <w:t xml:space="preserve"> (Node 20+ supported; Node 22 recommended)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npm: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v10.x</w:t>
      </w:r>
      <w:r>
        <w:rPr>
          <w:rFonts w:ascii="Segoe UI" w:hAnsi="Segoe UI"/>
        </w:rPr>
        <w:t xml:space="preserve"> or later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PostgreSQL: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v16.x</w:t>
      </w:r>
      <w:r>
        <w:rPr>
          <w:rFonts w:ascii="Segoe UI" w:hAnsi="Segoe UI"/>
        </w:rPr>
        <w:t xml:space="preserve"> (or Docker running PostgreSQL 16)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Git: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2.40+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AWS CLI: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v2.x</w:t>
      </w:r>
      <w:r>
        <w:rPr>
          <w:rFonts w:ascii="Segoe UI" w:hAnsi="Segoe UI"/>
        </w:rPr>
        <w:t xml:space="preserve"> (for cloud deployment workflows)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2.2 Monorepo Layout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d:/Project/F!</w:t>
              <w:br/>
              <w:t>├── apps/</w:t>
              <w:br/>
              <w:t>│   ├── api/                 # NestJS 11 Backend Service (Port 4000)</w:t>
              <w:br/>
              <w:t>│   │   ├── prisma/          # schema.prisma, migrations, seeds</w:t>
              <w:br/>
              <w:t>│   │   └── src/             # Domain modules, accounting engine, common</w:t>
              <w:br/>
              <w:t>│   └── web/                 # Next.js 15 Web Application (Port 3000)</w:t>
              <w:br/>
              <w:t>│       └── src/             # App router, components, contexts, lib/api.ts</w:t>
              <w:br/>
              <w:t>├── docs/                    # Technical &amp; Operations Documentation</w:t>
              <w:br/>
              <w:t>│   └── diagrams/            # Architecture &amp; flowchart diagrams</w:t>
              <w:br/>
              <w:t>└── scripts/                 # Automation, migration &amp; PDF generators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2.3 Local Environment Configuration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Backend Configuration (`apps/api/.env`):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PORT=4000</w:t>
              <w:br/>
              <w:t>NODE_ENV=development</w:t>
              <w:br/>
              <w:t>DATABASE_URL=postgresql://postgres:postgres@localhost:5432/blynt_dev?schema=public</w:t>
              <w:br/>
              <w:t>SESSION_SECRET=local-dev-session-secret-min-32-chars-long-12345</w:t>
              <w:br/>
              <w:t>CORS_ORIGIN=http://localhost:3000</w:t>
              <w:br/>
              <w:t>LOG_LEVEL=debug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Frontend Configuration (`apps/web/.env.local`):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NEXT_PUBLIC_API_URL=http://localhost:4000/api/v1</w:t>
              <w:br/>
              <w:t>PORT=3000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2.4 Database Provisioning, Migration &amp; Seeding</w:t>
      </w:r>
    </w:p>
    <w:p>
      <w:pPr>
        <w:spacing w:before="40" w:after="80" w:line="276" w:lineRule="auto"/>
      </w:pPr>
      <w:r>
        <w:rPr>
          <w:rFonts w:ascii="Segoe UI" w:hAnsi="Segoe UI"/>
        </w:rPr>
        <w:t>Execute the following commands from the project root: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Install root and workspace dependencies</w:t>
              <w:br/>
              <w:t>npm install</w:t>
              <w:br/>
              <w:br/>
              <w:t># 2. Change directory to api workspace</w:t>
              <w:br/>
              <w:t>cd apps/api</w:t>
              <w:br/>
              <w:br/>
              <w:t># 3. Push Prisma schema to local PostgreSQL and create database</w:t>
              <w:br/>
              <w:t>npx prisma db push</w:t>
              <w:br/>
              <w:br/>
              <w:t># 4. Generate Prisma Client bindings</w:t>
              <w:br/>
              <w:t>npx prisma generate</w:t>
              <w:br/>
              <w:br/>
              <w:t># 5. Seed default nominal accounts, test organisation, and demo user</w:t>
              <w:br/>
              <w:t>npm run db:seed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2.5 Running Applications Locally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Option A: Running Both Backend &amp; Frontend Simultaneously (Root Monorepo)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From workspace root:</w:t>
              <w:br/>
              <w:t>npm run dev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Option B: Running Individual Services in Dedicated Terminals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Terminal 1 - Backend API (NestJS 11 in watch mode):</w:t>
              <w:br/>
              <w:t>cd apps/api</w:t>
              <w:br/>
              <w:t>npm run start:dev</w:t>
              <w:br/>
              <w:br/>
              <w:t># Terminal 2 - Frontend Web Client (Next.js 15 Turbopack):</w:t>
              <w:br/>
              <w:t>cd apps/web</w:t>
              <w:br/>
              <w:t>npm run dev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Backend Health Check: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curl http://localhost:4000/api/v1/health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Frontend Web App:</w:t>
      </w:r>
      <w:r>
        <w:rPr>
          <w:rFonts w:ascii="Segoe UI" w:hAnsi="Segoe UI"/>
        </w:rPr>
        <w:t xml:space="preserve"> Open </w:t>
      </w:r>
      <w:r>
        <w:rPr>
          <w:rFonts w:ascii="Consolas" w:hAnsi="Consolas"/>
          <w:color w:val="B42828"/>
          <w:sz w:val="19"/>
        </w:rPr>
        <w:t>http://localhost:3000</w:t>
      </w:r>
      <w:r>
        <w:rPr>
          <w:rFonts w:ascii="Segoe UI" w:hAnsi="Segoe UI"/>
        </w:rPr>
        <w:t xml:space="preserve"> in browser.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2.6 Running the Verification Test Suites</w:t>
      </w:r>
    </w:p>
    <w:p>
      <w:pPr>
        <w:spacing w:before="40" w:after="80" w:line="276" w:lineRule="auto"/>
      </w:pPr>
      <w:r>
        <w:rPr>
          <w:rFonts w:ascii="Segoe UI" w:hAnsi="Segoe UI"/>
        </w:rPr>
        <w:t>Before pushing any code, all 26 test suites (127 tests) must pass with zero failures: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Run unit and service test suites across the API:</w:t>
              <w:br/>
              <w:t>cd apps/api</w:t>
              <w:br/>
              <w:t>npm run test</w:t>
              <w:br/>
              <w:br/>
              <w:t># Run tests with test coverage reporting:</w:t>
              <w:br/>
              <w:t>npm run test:cov</w:t>
            </w:r>
          </w:p>
        </w:tc>
      </w:tr>
    </w:tbl>
    <w:p>
      <w:pPr>
        <w:spacing w:after="80"/>
      </w:pPr>
    </w:p>
    <w:p>
      <w:pPr>
        <w:pStyle w:val="ListBullet"/>
        <w:spacing w:before="20" w:after="40"/>
      </w:pPr>
      <w:r>
        <w:rPr>
          <w:rFonts w:ascii="Segoe UI" w:hAnsi="Segoe UI"/>
          <w:b/>
        </w:rPr>
        <w:t>Required Outcome: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Test Suites: 26 passed, 26 total. Tests: 127 passed, 127 total.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3. CI/CD, Deployment &amp; Release Playbook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63642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10_pull_request_g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3642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10 - Pull-request quality gate and AWS DEV deployment flow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3.1 Pull Request Quality Gate &amp; Automated Testing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Every pull request to </w:t>
      </w:r>
      <w:r>
        <w:rPr>
          <w:rFonts w:ascii="Consolas" w:hAnsi="Consolas"/>
          <w:color w:val="B42828"/>
          <w:sz w:val="19"/>
        </w:rPr>
        <w:t>main</w:t>
      </w:r>
      <w:r>
        <w:rPr>
          <w:rFonts w:ascii="Segoe UI" w:hAnsi="Segoe UI"/>
        </w:rPr>
        <w:t xml:space="preserve"> must pass the following automated gate before code review: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Dependency Audit: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npm audit --omit=dev</w:t>
      </w:r>
      <w:r>
        <w:rPr>
          <w:rFonts w:ascii="Segoe UI" w:hAnsi="Segoe UI"/>
        </w:rPr>
        <w:t xml:space="preserve"> verifies no high/critical vulnerabilities.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Prisma Schema Validation: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npx prisma validate</w:t>
      </w:r>
      <w:r>
        <w:rPr>
          <w:rFonts w:ascii="Segoe UI" w:hAnsi="Segoe UI"/>
        </w:rPr>
        <w:t xml:space="preserve"> confirms database schema integrity.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Type-Checking: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npm run typecheck</w:t>
      </w:r>
      <w:r>
        <w:rPr>
          <w:rFonts w:ascii="Segoe UI" w:hAnsi="Segoe UI"/>
        </w:rPr>
        <w:t xml:space="preserve"> across both </w:t>
      </w:r>
      <w:r>
        <w:rPr>
          <w:rFonts w:ascii="Consolas" w:hAnsi="Consolas"/>
          <w:color w:val="B42828"/>
          <w:sz w:val="19"/>
        </w:rPr>
        <w:t>apps/api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apps/web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Linting:</w:t>
      </w:r>
      <w:r>
        <w:rPr>
          <w:rFonts w:ascii="Segoe UI" w:hAnsi="Segoe UI"/>
        </w:rPr>
        <w:t xml:space="preserve"> ESLint rules enforced with zero warnings.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</w:t>
      </w:r>
      <w:r>
        <w:rPr>
          <w:rFonts w:ascii="Segoe UI" w:hAnsi="Segoe UI"/>
          <w:b/>
        </w:rPr>
        <w:t>Active Unit Tests:</w:t>
      </w:r>
      <w:r>
        <w:rPr>
          <w:rFonts w:ascii="Segoe UI" w:hAnsi="Segoe UI"/>
        </w:rPr>
        <w:t xml:space="preserve"> All 26 test suites (127 tests) must pass.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6. </w:t>
      </w:r>
      <w:r>
        <w:rPr>
          <w:rFonts w:ascii="Segoe UI" w:hAnsi="Segoe UI"/>
          <w:b/>
        </w:rPr>
        <w:t>Container Build Verification:</w:t>
      </w:r>
      <w:r>
        <w:rPr>
          <w:rFonts w:ascii="Segoe UI" w:hAnsi="Segoe UI"/>
        </w:rPr>
        <w:t xml:space="preserve"> Docker multi-stage build produces runnable image.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3.2 Staging &amp; Production Deployment Pipeline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187183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8_aws_dev_architectu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8718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8 - Low-cost AWS DEV architecture in eu-west-2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Automated Cloud Architecture in `eu-west-2` (London):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Web Tier:</w:t>
      </w:r>
      <w:r>
        <w:rPr>
          <w:rFonts w:ascii="Segoe UI" w:hAnsi="Segoe UI"/>
        </w:rPr>
        <w:t xml:space="preserve"> AWS Amplify Hosting (SSR Next.js 15).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API Tier:</w:t>
      </w:r>
      <w:r>
        <w:rPr>
          <w:rFonts w:ascii="Segoe UI" w:hAnsi="Segoe UI"/>
        </w:rPr>
        <w:t xml:space="preserve"> AWS App Runner containerized microservice running NestJS 11.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Database Tier:</w:t>
      </w:r>
      <w:r>
        <w:rPr>
          <w:rFonts w:ascii="Segoe UI" w:hAnsi="Segoe UI"/>
        </w:rPr>
        <w:t xml:space="preserve"> Amazon RDS PostgreSQL 16 Multi-AZ instance.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Step-by-Step Deployment Procedure: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Merge approved Pull Request to </w:t>
      </w:r>
      <w:r>
        <w:rPr>
          <w:rFonts w:ascii="Consolas" w:hAnsi="Consolas"/>
          <w:color w:val="B42828"/>
          <w:sz w:val="19"/>
        </w:rPr>
        <w:t>main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2. GitHub Actions builds production container image and pushes to Amazon ECR: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docker build -t blynt-api:latest -f apps/api/Dockerfile .</w:t>
              <w:br/>
              <w:t xml:space="preserve">   docker tag blynt-api:latest 123456789012.dkr.ecr.eu-west-2.amazonaws.com/blynt-api:release-v1.0.4</w:t>
              <w:br/>
              <w:t xml:space="preserve">   docker push 123456789012.dkr.ecr.eu-west-2.amazonaws.com/blynt-api:release-v1.0.4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>3. Execute database migration job in Amazon ECS task or App Runner pre-deploy hook: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npx prisma migrate deploy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4. App Runner pulls new image tag and executes health check probe against </w:t>
      </w:r>
      <w:r>
        <w:rPr>
          <w:rFonts w:ascii="Consolas" w:hAnsi="Consolas"/>
          <w:color w:val="B42828"/>
          <w:sz w:val="19"/>
        </w:rPr>
        <w:t>/api/v1/health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5. Traffic shifts smoothly with zero downtime.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3.3 Zero-Downtime Database Schema Migration Strategy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Financial databases cannot tolerate locks that stall transactions. Follow the </w:t>
      </w:r>
      <w:r>
        <w:rPr>
          <w:rFonts w:ascii="Segoe UI" w:hAnsi="Segoe UI"/>
          <w:b/>
        </w:rPr>
        <w:t>Expand/Contract Pattern</w:t>
      </w:r>
      <w:r>
        <w:rPr>
          <w:rFonts w:ascii="Segoe UI" w:hAnsi="Segoe UI"/>
        </w:rPr>
        <w:t>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Phase 1 (Expand):</w:t>
      </w:r>
      <w:r>
        <w:rPr>
          <w:rFonts w:ascii="Segoe UI" w:hAnsi="Segoe UI"/>
        </w:rPr>
        <w:t xml:space="preserve"> Add new columns as optional/nullable. Add new indexes concurrently (</w:t>
      </w:r>
      <w:r>
        <w:rPr>
          <w:rFonts w:ascii="Consolas" w:hAnsi="Consolas"/>
          <w:color w:val="B42828"/>
          <w:sz w:val="19"/>
        </w:rPr>
        <w:t>CREATE INDEX CONCURRENTLY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Phase 2 (Dual-Write):</w:t>
      </w:r>
      <w:r>
        <w:rPr>
          <w:rFonts w:ascii="Segoe UI" w:hAnsi="Segoe UI"/>
        </w:rPr>
        <w:t xml:space="preserve"> Deploy application code that reads from old column and writes to both old and new.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Phase 3 (Backfill):</w:t>
      </w:r>
      <w:r>
        <w:rPr>
          <w:rFonts w:ascii="Segoe UI" w:hAnsi="Segoe UI"/>
        </w:rPr>
        <w:t xml:space="preserve"> Backfill existing rows via background script in small batches (1000 rows/batch).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Phase 4 (Switch):</w:t>
      </w:r>
      <w:r>
        <w:rPr>
          <w:rFonts w:ascii="Segoe UI" w:hAnsi="Segoe UI"/>
        </w:rPr>
        <w:t xml:space="preserve"> Deploy code reading exclusively from the new column.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5. </w:t>
      </w:r>
      <w:r>
        <w:rPr>
          <w:rFonts w:ascii="Segoe UI" w:hAnsi="Segoe UI"/>
          <w:b/>
        </w:rPr>
        <w:t>Phase 5 (Contract):</w:t>
      </w:r>
      <w:r>
        <w:rPr>
          <w:rFonts w:ascii="Segoe UI" w:hAnsi="Segoe UI"/>
        </w:rPr>
        <w:t xml:space="preserve"> Drop legacy column in a subsequent scheduled release.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3.4 Production Rollback Runbook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746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migration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7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9 - Safe current-hosting to AWS migration and rollback path</w:t>
      </w:r>
    </w:p>
    <w:p>
      <w:pPr>
        <w:spacing w:before="40" w:after="80" w:line="276" w:lineRule="auto"/>
      </w:pPr>
      <w:r>
        <w:rPr>
          <w:rFonts w:ascii="Segoe UI" w:hAnsi="Segoe UI"/>
        </w:rPr>
        <w:t>If a release introduces unexpected behavior or errors: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Immediate Application Rollback: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Update AWS App Runner to previous stable image tag</w:t>
              <w:br/>
              <w:t>aws apprunner start-deployment   --service-arn arn:aws:apprunner:eu-west-2:123456789012:service/blynt-api-prod/abc123   --region eu-west-2</w:t>
              <w:br/>
              <w:br/>
              <w:t># 2. Revert AWS Amplify Frontend release</w:t>
              <w:br/>
              <w:t>aws amplify start-job   --app-id d123456789   --branch-name main   --job-type RELEASE   --commit-id &lt;PREVIOUS_COMMIT_SHA&gt;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4. Database Administration &amp; Maintenance Playbook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4.1 Connection Pool Sizing &amp; Management</w:t>
      </w:r>
    </w:p>
    <w:p>
      <w:pPr>
        <w:spacing w:before="40" w:after="80" w:line="276" w:lineRule="auto"/>
      </w:pPr>
      <w:r>
        <w:rPr>
          <w:rFonts w:ascii="Segoe UI" w:hAnsi="Segoe UI"/>
        </w:rPr>
        <w:t>Prisma Client manages an internal connection pool. To prevent PostgreSQL connection starvation: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Rule: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Max Connections = (App Runner Container Instances * Pool Size) + Reserve Pool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Configure in </w:t>
      </w:r>
      <w:r>
        <w:rPr>
          <w:rFonts w:ascii="Consolas" w:hAnsi="Consolas"/>
          <w:color w:val="B42828"/>
          <w:sz w:val="19"/>
        </w:rPr>
        <w:t>DATABASE_URL</w:t>
      </w:r>
      <w:r>
        <w:rPr>
          <w:rFonts w:ascii="Segoe UI" w:hAnsi="Segoe UI"/>
        </w:rPr>
        <w:t xml:space="preserve">: </w:t>
      </w:r>
      <w:r>
        <w:rPr>
          <w:rFonts w:ascii="Consolas" w:hAnsi="Consolas"/>
          <w:color w:val="B42828"/>
          <w:sz w:val="19"/>
        </w:rPr>
        <w:t>postgresql://...?schema=public&amp;connection_limit=15&amp;pool_timeout=10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For production workloads exceeding 100 concurrent workers, connect through AWS RDS Proxy / PgBouncer.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4.2 Point-In-Time Recovery (PITR) &amp; Automated Snapshots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Automated Daily Snapshots:</w:t>
      </w:r>
      <w:r>
        <w:rPr>
          <w:rFonts w:ascii="Segoe UI" w:hAnsi="Segoe UI"/>
        </w:rPr>
        <w:t xml:space="preserve"> Scheduled at 02:00 UTC with 35-day retention.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Continuous Write-Ahead Log (WAL) Archival:</w:t>
      </w:r>
      <w:r>
        <w:rPr>
          <w:rFonts w:ascii="Segoe UI" w:hAnsi="Segoe UI"/>
        </w:rPr>
        <w:t xml:space="preserve"> Backed up to Amazon S3 every 5 minutes.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Point-In-Time Recovery:</w:t>
      </w:r>
      <w:r>
        <w:rPr>
          <w:rFonts w:ascii="Segoe UI" w:hAnsi="Segoe UI"/>
        </w:rPr>
        <w:t xml:space="preserve"> Enables database restoration to any second within the retention window.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Initiating a Test PITR Restore: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aws rds restore-db-instance-to-point-in-time   --source-db-instance-identifier blynt-rds-prod   --target-db-instance-identifier blynt-rds-pitr-audit-test   --restore-time 2026-10-11T23:00:00Z   --db-subnet-group-name blynt-private-subnets   --region eu-west-2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4.3 Immutable Audit Logs Health Verification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The PostgreSQL trigger </w:t>
      </w:r>
      <w:r>
        <w:rPr>
          <w:rFonts w:ascii="Consolas" w:hAnsi="Consolas"/>
          <w:color w:val="B42828"/>
          <w:sz w:val="19"/>
        </w:rPr>
        <w:t>trg_audit_logs_immutable</w:t>
      </w:r>
      <w:r>
        <w:rPr>
          <w:rFonts w:ascii="Segoe UI" w:hAnsi="Segoe UI"/>
        </w:rPr>
        <w:t xml:space="preserve"> must be verified monthly to ensure compliance: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-- Test query: Attempting to update an audit log row MUST fail:</w:t>
              <w:br/>
              <w:t xml:space="preserve">UPDATE audit_logs </w:t>
              <w:br/>
              <w:t xml:space="preserve">SET action = 'TAMPERED' </w:t>
              <w:br/>
              <w:t>WHERE id = (SELECT id FROM audit_logs LIMIT 1);</w:t>
              <w:br/>
              <w:br/>
              <w:t>-- Expected Result:</w:t>
              <w:br/>
              <w:t>-- ERROR: Statutory Compliance Violation: audit_logs are immutable and cannot be updated or deleted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If this query succeeds, declare a </w:t>
      </w:r>
      <w:r>
        <w:rPr>
          <w:rFonts w:ascii="Segoe UI" w:hAnsi="Segoe UI"/>
          <w:b/>
        </w:rPr>
        <w:t>SEV-1 Security Incident</w:t>
      </w:r>
      <w:r>
        <w:rPr>
          <w:rFonts w:ascii="Segoe UI" w:hAnsi="Segoe UI"/>
        </w:rPr>
        <w:t xml:space="preserve"> immediately.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4.4 PostgreSQL `btree_gist` Index Maintenance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Ensure temporal exclusion indexes on </w:t>
      </w:r>
      <w:r>
        <w:rPr>
          <w:rFonts w:ascii="Consolas" w:hAnsi="Consolas"/>
          <w:color w:val="B42828"/>
          <w:sz w:val="19"/>
        </w:rPr>
        <w:t>financial_years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accounting_periods</w:t>
      </w:r>
      <w:r>
        <w:rPr>
          <w:rFonts w:ascii="Segoe UI" w:hAnsi="Segoe UI"/>
        </w:rPr>
        <w:t xml:space="preserve"> are healthy: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-- Verify exclusion constraints are valid and not marked invalid:</w:t>
              <w:br/>
              <w:t xml:space="preserve">SELECT conname, contype, convalidated </w:t>
              <w:br/>
              <w:t xml:space="preserve">FROM pg_constraint </w:t>
              <w:br/>
              <w:t>WHERE conname IN ('financial_years_no_overlap', 'accounting_periods_no_overlap');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5. Financial Operations &amp; Accounting Runbooks (Standard SOPs)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5.1 Runbook FIN-01: Tenant Onboarding &amp; Chart of Accounts Initialization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Provision a new enterprise organisation with verified nominal accounts.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Step 1: Create Organization Record (legalName, slug, baseCurrency = 'GBP')</w:t>
              <w:br/>
              <w:t>Step 2: Seed Standard Chart of Accounts (Nominal ranges 1000 - 8999)</w:t>
              <w:br/>
              <w:t>Step 3: Mark Control Accounts (1100 AR, 2000 AP, 2100 VAT, 3100 Retained Earnings)</w:t>
              <w:br/>
              <w:t>Step 4: Create Initial Financial Year (12 monthly periods generated)</w:t>
              <w:br/>
              <w:t>Step 5: Assign User as OWNER role in organization_members</w:t>
              <w:br/>
              <w:t>Step 6: Emit AuditLog (EVENT: ORGANIZATION_INITIALIZED)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Verification Query: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SELECT code, name, account_type, is_control_account </w:t>
              <w:br/>
              <w:t xml:space="preserve">FROM accounts </w:t>
              <w:br/>
              <w:t xml:space="preserve">WHERE organization_id = '&lt;ORG_ID&gt;' </w:t>
              <w:br/>
              <w:t>ORDER BY code ASC;</w:t>
              <w:br/>
              <w:t>-- Must return all 25+ base nominal accounts.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5.2 Runbook FIN-02: Month-End Close &amp; Soft Lockdown Protocol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Lock the completed accounting period to prevent standard user modifications while allowing final accountant review.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Pre-Close Reconciliation:</w:t>
      </w:r>
    </w:p>
    <w:p>
      <w:pPr>
        <w:pStyle w:val="ListBullet"/>
        <w:spacing w:before="20" w:after="40"/>
      </w:pPr>
      <w:r>
        <w:rPr>
          <w:rFonts w:ascii="Segoe UI" w:hAnsi="Segoe UI"/>
        </w:rPr>
        <w:t>Scan for unposted draft journals: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  SELECT COUNT(*) FROM journal_entries </w:t>
              <w:br/>
              <w:t xml:space="preserve">     WHERE organization_id = '&lt;ORG_ID&gt;' AND status = 'DRAFT' </w:t>
              <w:br/>
              <w:t xml:space="preserve">     AND posting_date &lt;= '&lt;PERIOD_END_DATE&gt;';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i/>
        </w:rPr>
        <w:t>Must be 0.</w:t>
      </w:r>
    </w:p>
    <w:p>
      <w:pPr>
        <w:pStyle w:val="ListBullet"/>
        <w:spacing w:before="20" w:after="40"/>
      </w:pPr>
      <w:r>
        <w:rPr>
          <w:rFonts w:ascii="Segoe UI" w:hAnsi="Segoe UI"/>
        </w:rPr>
        <w:t>Scan for draft sales invoices: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  SELECT COUNT(*) FROM invoices </w:t>
              <w:br/>
              <w:t xml:space="preserve">     WHERE organization_id = '&lt;ORG_ID&gt;' AND status = 'DRAFT' </w:t>
              <w:br/>
              <w:t xml:space="preserve">     AND issue_date &lt;= '&lt;PERIOD_END_DATE&gt;';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i/>
        </w:rPr>
        <w:t>Must be 0.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Execute Soft Lockdown via API: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curl -X POST https://api.blynt.io/api/v1/organizations/&lt;ORG_ID&gt;/periods/&lt;PERIOD_ID&gt;/soft-lock      -H "Authorization: Bearer &lt;ADMIN_TOKEN&gt;"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Verify Trial Balance Equilibrium:</w:t>
      </w:r>
      <w:r>
        <w:rPr>
          <w:rFonts w:ascii="Segoe UI" w:hAnsi="Segoe UI"/>
        </w:rPr>
        <w:t xml:space="preserve"> Generate Trial Balance report; confirm </w:t>
      </w:r>
      <w:r>
        <w:rPr>
          <w:rFonts w:ascii="Consolas" w:hAnsi="Consolas"/>
          <w:color w:val="B42828"/>
          <w:sz w:val="19"/>
        </w:rPr>
        <w:t>isBalanced: true</w:t>
      </w:r>
      <w:r>
        <w:rPr>
          <w:rFonts w:ascii="Segoe UI" w:hAnsi="Segoe UI"/>
        </w:rPr>
        <w:t xml:space="preserve"> and </w:t>
      </w:r>
      <w:r>
        <w:rPr>
          <w:rFonts w:ascii="Consolas" w:hAnsi="Consolas"/>
          <w:color w:val="B42828"/>
          <w:sz w:val="19"/>
        </w:rPr>
        <w:t>difference: 0.00</w:t>
      </w:r>
      <w:r>
        <w:rPr>
          <w:rFonts w:ascii="Segoe UI" w:hAnsi="Segoe UI"/>
        </w:rPr>
        <w:t>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5.3 Runbook FIN-03: Statutory Year-End Close &amp; Hard Lockdown Protocol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Permanently close the financial year, transfer net income to retained earnings, and lock all 12 periods into an immutable state.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1. Calculate Net Profit/Loss:</w:t>
              <w:br/>
              <w:t xml:space="preserve">   Net Income = Total Credit (4000-4999) - Total Debit (5000-8999)</w:t>
              <w:br/>
              <w:t>2. Generate Year-End Closing Journal:</w:t>
              <w:br/>
              <w:t xml:space="preserve">   - Debit all Revenue Accounts (clearing to zero)</w:t>
              <w:br/>
              <w:t xml:space="preserve">   - Credit all Expense Accounts (clearing to zero)</w:t>
              <w:br/>
              <w:t xml:space="preserve">   - Credit/Debit Retained Earnings (Nominal 3100) with Net Income</w:t>
              <w:br/>
              <w:t>3. Post Year-End Closing Journal (Status: POSTED)</w:t>
              <w:br/>
              <w:t>4. Execute Hard Lockdown on Financial Year:</w:t>
              <w:br/>
              <w:t xml:space="preserve">   UPDATE financial_years SET status = 'HARD_LOCKED' WHERE id = '&lt;FY_ID&gt;';</w:t>
              <w:br/>
              <w:t xml:space="preserve">   UPDATE accounting_periods SET status = 'HARD_LOCKED' WHERE financial_year_id = '&lt;FY_ID&gt;';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5.4 Runbook FIN-04: GAAP-Compliant Journal &amp; Invoice Reversals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Objective:</w:t>
      </w:r>
      <w:r>
        <w:rPr>
          <w:rFonts w:ascii="Segoe UI" w:hAnsi="Segoe UI"/>
        </w:rPr>
        <w:t xml:space="preserve"> Correct an erroneous posted transaction without mutating the historical audit trail.</w:t>
      </w:r>
    </w:p>
    <w:p>
      <w:pPr>
        <w:spacing w:before="40" w:after="80" w:line="276" w:lineRule="auto"/>
      </w:pPr>
      <w:r>
        <w:rPr>
          <w:rFonts w:ascii="Segoe UI" w:hAnsi="Segoe UI"/>
        </w:rPr>
        <w:t>1. Identify the posted journal ID (</w:t>
      </w:r>
      <w:r>
        <w:rPr>
          <w:rFonts w:ascii="Consolas" w:hAnsi="Consolas"/>
          <w:color w:val="B42828"/>
          <w:sz w:val="19"/>
        </w:rPr>
        <w:t>journalId</w:t>
      </w:r>
      <w:r>
        <w:rPr>
          <w:rFonts w:ascii="Segoe UI" w:hAnsi="Segoe UI"/>
        </w:rPr>
        <w:t>).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2. Invoke </w:t>
      </w:r>
      <w:r>
        <w:rPr>
          <w:rFonts w:ascii="Consolas" w:hAnsi="Consolas"/>
          <w:color w:val="B42828"/>
          <w:sz w:val="19"/>
        </w:rPr>
        <w:t>JournalReversalService.reverseJournal</w:t>
      </w:r>
      <w:r>
        <w:rPr>
          <w:rFonts w:ascii="Segoe UI" w:hAnsi="Segoe UI"/>
        </w:rPr>
        <w:t>:</w:t>
      </w:r>
    </w:p>
    <w:p>
      <w:pPr>
        <w:pStyle w:val="ListBullet"/>
        <w:spacing w:before="20" w:after="40"/>
      </w:pPr>
      <w:r>
        <w:rPr>
          <w:rFonts w:ascii="Segoe UI" w:hAnsi="Segoe UI"/>
        </w:rPr>
        <w:t>System generates counter-journal swapping debits and credits.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Assigns sequence number </w:t>
      </w:r>
      <w:r>
        <w:rPr>
          <w:rFonts w:ascii="Consolas" w:hAnsi="Consolas"/>
          <w:color w:val="B42828"/>
          <w:sz w:val="19"/>
        </w:rPr>
        <w:t>JE-YYYY-XXXXXX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Sets original journal status to </w:t>
      </w:r>
      <w:r>
        <w:rPr>
          <w:rFonts w:ascii="Consolas" w:hAnsi="Consolas"/>
          <w:color w:val="B42828"/>
          <w:sz w:val="19"/>
        </w:rPr>
        <w:t>REVERSED</w:t>
      </w:r>
      <w:r>
        <w:rPr>
          <w:rFonts w:ascii="Segoe UI" w:hAnsi="Segoe UI"/>
        </w:rPr>
        <w:t xml:space="preserve"> and links </w:t>
      </w:r>
      <w:r>
        <w:rPr>
          <w:rFonts w:ascii="Consolas" w:hAnsi="Consolas"/>
          <w:color w:val="B42828"/>
          <w:sz w:val="19"/>
        </w:rPr>
        <w:t>reversedByJournalId</w:t>
      </w:r>
      <w:r>
        <w:rPr>
          <w:rFonts w:ascii="Segoe UI" w:hAnsi="Segoe UI"/>
        </w:rPr>
        <w:t>.</w:t>
      </w:r>
    </w:p>
    <w:p>
      <w:pPr>
        <w:spacing w:before="40" w:after="80" w:line="276" w:lineRule="auto"/>
      </w:pPr>
      <w:r>
        <w:rPr>
          <w:rFonts w:ascii="Segoe UI" w:hAnsi="Segoe UI"/>
        </w:rPr>
        <w:t>3. If correcting an invoice:</w:t>
      </w:r>
    </w:p>
    <w:p>
      <w:pPr>
        <w:pStyle w:val="ListBullet"/>
        <w:spacing w:before="20" w:after="40"/>
      </w:pPr>
      <w:r>
        <w:rPr>
          <w:rFonts w:ascii="Segoe UI" w:hAnsi="Segoe UI"/>
        </w:rPr>
        <w:t>Reversal journal is generated automatically.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Invoice status transitions to </w:t>
      </w:r>
      <w:r>
        <w:rPr>
          <w:rFonts w:ascii="Consolas" w:hAnsi="Consolas"/>
          <w:color w:val="B42828"/>
          <w:sz w:val="19"/>
        </w:rPr>
        <w:t>VOIDED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Linked journal reference remains intact for statutory traceability.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6. Incident Response Runbooks (IR Protocols)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6.1 Playbook IR-01: General Ledger Imbalance / Accounting Drift (SEV-1)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Trigger:</w:t>
      </w:r>
      <w:r>
        <w:rPr>
          <w:rFonts w:ascii="Segoe UI" w:hAnsi="Segoe UI"/>
        </w:rPr>
        <w:t xml:space="preserve"> </w:t>
      </w:r>
      <w:r>
        <w:rPr>
          <w:rFonts w:ascii="Consolas" w:hAnsi="Consolas"/>
          <w:color w:val="B42828"/>
          <w:sz w:val="19"/>
        </w:rPr>
        <w:t>AccountingIntegrityService</w:t>
      </w:r>
      <w:r>
        <w:rPr>
          <w:rFonts w:ascii="Segoe UI" w:hAnsi="Segoe UI"/>
        </w:rPr>
        <w:t xml:space="preserve"> reports </w:t>
      </w:r>
      <w:r>
        <w:rPr>
          <w:rFonts w:ascii="Consolas" w:hAnsi="Consolas"/>
          <w:color w:val="B42828"/>
          <w:sz w:val="19"/>
        </w:rPr>
        <w:t>isBalanced: false</w:t>
      </w:r>
      <w:r>
        <w:rPr>
          <w:rFonts w:ascii="Segoe UI" w:hAnsi="Segoe UI"/>
        </w:rPr>
        <w:t xml:space="preserve"> or CloudWatch alert </w:t>
      </w:r>
      <w:r>
        <w:rPr>
          <w:rFonts w:ascii="Consolas" w:hAnsi="Consolas"/>
          <w:color w:val="B42828"/>
          <w:sz w:val="19"/>
        </w:rPr>
        <w:t>ALARM_GL_IMBALANCE</w:t>
      </w:r>
      <w:r>
        <w:rPr>
          <w:rFonts w:ascii="Segoe UI" w:hAnsi="Segoe UI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                     [ ALARM: GL Imbalance Detected 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[ Step 1: Execute Global Sum Diagnostic ]</w:t>
              <w:br/>
              <w:t xml:space="preserve">                                       │</w:t>
              <w:br/>
              <w:t xml:space="preserve">               ┌───────────────────────┴───────────────────────┐</w:t>
              <w:br/>
              <w:t xml:space="preserve">               ▼                                               ▼</w:t>
              <w:br/>
              <w:t xml:space="preserve">     [ Imbalance Confirmed ]                       [ Single Tenant Isolated ]</w:t>
              <w:br/>
              <w:t xml:space="preserve">               │                                               │</w:t>
              <w:br/>
              <w:t xml:space="preserve">               ▼                                               ▼</w:t>
              <w:br/>
              <w:t xml:space="preserve">  [ Step 2: Query Unbalanced Journals ]           [ Step 3: Check Control Accounts ]</w:t>
              <w:br/>
              <w:t xml:space="preserve">               │                                               │</w:t>
              <w:br/>
              <w:t xml:space="preserve">               └───────────────────────┬───────────────────────┘</w:t>
              <w:br/>
              <w:t xml:space="preserve">                                       ▼</w:t>
              <w:br/>
              <w:t xml:space="preserve">                        [ Step 4: Isolate Defective Row 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[ Step 5: Post Counter-Balancing Entry ]</w:t>
              <w:br/>
              <w:t xml:space="preserve">                                       │</w:t>
              <w:br/>
              <w:t xml:space="preserve">                                       ▼</w:t>
              <w:br/>
              <w:t xml:space="preserve">                        [ Step 6: Post-Mortem Analysis ]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Forensic Diagnostic Query: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-- Find any journal where sum of debits does not equal sum of credits:</w:t>
              <w:br/>
              <w:t xml:space="preserve">SELECT </w:t>
              <w:br/>
              <w:t xml:space="preserve">  j.id, </w:t>
              <w:br/>
              <w:t xml:space="preserve">  j.organization_id, </w:t>
              <w:br/>
              <w:t xml:space="preserve">  j.journal_number, </w:t>
              <w:br/>
              <w:t xml:space="preserve">  j.status,</w:t>
              <w:br/>
              <w:t xml:space="preserve">  SUM(l.debit) AS total_debit, </w:t>
              <w:br/>
              <w:t xml:space="preserve">  SUM(l.credit) AS total_credit,</w:t>
              <w:br/>
              <w:t xml:space="preserve">  ABS(SUM(l.debit) - SUM(l.credit)) AS diff</w:t>
              <w:br/>
              <w:t>FROM journal_entries j</w:t>
              <w:br/>
              <w:t>JOIN journal_lines l ON l.journal_entry_id = j.id</w:t>
              <w:br/>
              <w:t>WHERE j.status = 'POSTED'</w:t>
              <w:br/>
              <w:t>GROUP BY j.id, j.organization_id, j.journal_number, j.status</w:t>
              <w:br/>
              <w:t>HAVING SUM(l.debit) &lt;&gt; SUM(l.credit);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Remediation Protocol: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If defective journal identified: Check </w:t>
      </w:r>
      <w:r>
        <w:rPr>
          <w:rFonts w:ascii="Consolas" w:hAnsi="Consolas"/>
          <w:color w:val="B42828"/>
          <w:sz w:val="19"/>
        </w:rPr>
        <w:t>audit_logs</w:t>
      </w:r>
      <w:r>
        <w:rPr>
          <w:rFonts w:ascii="Segoe UI" w:hAnsi="Segoe UI"/>
        </w:rPr>
        <w:t xml:space="preserve"> for user or system process that executed the write.</w:t>
      </w:r>
    </w:p>
    <w:p>
      <w:pPr>
        <w:spacing w:before="40" w:after="80" w:line="276" w:lineRule="auto"/>
      </w:pPr>
      <w:r>
        <w:rPr>
          <w:rFonts w:ascii="Segoe UI" w:hAnsi="Segoe UI"/>
        </w:rPr>
        <w:t>2. Verify why validation invariant did not catch the error.</w:t>
      </w:r>
    </w:p>
    <w:p>
      <w:pPr>
        <w:spacing w:before="40" w:after="80" w:line="276" w:lineRule="auto"/>
      </w:pPr>
      <w:r>
        <w:rPr>
          <w:rFonts w:ascii="Segoe UI" w:hAnsi="Segoe UI"/>
        </w:rPr>
        <w:t>3. Post a GAAP balancing adjustment journal approved by Lead Accountant and Incident Commander.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Never directly mutate `journal_lines` in SQL.</w:t>
      </w:r>
      <w:r>
        <w:rPr>
          <w:rFonts w:ascii="Segoe UI" w:hAnsi="Segoe UI"/>
        </w:rPr>
        <w:t xml:space="preserve"> Always post through the accounting engine.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6.2 Playbook IR-02: Database Connection Exhaustion / Latency Spike (SEV-2)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Trigger:</w:t>
      </w:r>
      <w:r>
        <w:rPr>
          <w:rFonts w:ascii="Segoe UI" w:hAnsi="Segoe UI"/>
        </w:rPr>
        <w:t xml:space="preserve"> CloudWatch alert </w:t>
      </w:r>
      <w:r>
        <w:rPr>
          <w:rFonts w:ascii="Consolas" w:hAnsi="Consolas"/>
          <w:color w:val="B42828"/>
          <w:sz w:val="19"/>
        </w:rPr>
        <w:t>RDS_DatabaseConnections &gt; 80%</w:t>
      </w:r>
      <w:r>
        <w:rPr>
          <w:rFonts w:ascii="Segoe UI" w:hAnsi="Segoe UI"/>
        </w:rPr>
        <w:t xml:space="preserve"> or HTTP 504 Gateway Timeouts.</w:t>
      </w: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Immediate Triage: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-- 1. Identify active running queries and blocking locks:</w:t>
              <w:br/>
              <w:t>SELECT pid, age(clock_timestamp(), query_start), usename, state, query</w:t>
              <w:br/>
              <w:t>FROM pg_stat_activity</w:t>
              <w:br/>
              <w:t>WHERE state != 'idle' AND query NOT ILIKE '%pg_stat_activity%'</w:t>
              <w:br/>
              <w:t>ORDER BY query_start ASC;</w:t>
              <w:br/>
              <w:br/>
              <w:t>-- 2. Terminate long-running blocking query (replace &lt;PID&gt;):</w:t>
              <w:br/>
              <w:t>SELECT pg_terminate_backend(&lt;PID&gt;);</w:t>
            </w:r>
          </w:p>
        </w:tc>
      </w:tr>
    </w:tbl>
    <w:p>
      <w:pPr>
        <w:spacing w:after="80"/>
      </w:pPr>
    </w:p>
    <w:p>
      <w:pPr>
        <w:keepNext/>
        <w:spacing w:before="200" w:after="60"/>
      </w:pPr>
      <w:r>
        <w:rPr>
          <w:rFonts w:ascii="Segoe UI" w:hAnsi="Segoe UI"/>
          <w:b/>
          <w:color w:val="FF7F6C"/>
          <w:sz w:val="22"/>
        </w:rPr>
        <w:t>Preventive Actions: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Check for missing index on </w:t>
      </w:r>
      <w:r>
        <w:rPr>
          <w:rFonts w:ascii="Consolas" w:hAnsi="Consolas"/>
          <w:color w:val="B42828"/>
          <w:sz w:val="19"/>
        </w:rPr>
        <w:t>journal_lines (organization_id, account_id)</w:t>
      </w:r>
      <w:r>
        <w:rPr>
          <w:rFonts w:ascii="Segoe UI" w:hAnsi="Segoe UI"/>
        </w:rPr>
        <w:t>.</w:t>
      </w:r>
    </w:p>
    <w:p>
      <w:pPr>
        <w:pStyle w:val="ListBullet"/>
        <w:spacing w:before="20" w:after="40"/>
      </w:pPr>
      <w:r>
        <w:rPr>
          <w:rFonts w:ascii="Segoe UI" w:hAnsi="Segoe UI"/>
        </w:rPr>
        <w:t>Restart App Runner service to cycle stale connection pools.</w:t>
      </w:r>
    </w:p>
    <w:p>
      <w:pPr>
        <w:pStyle w:val="ListBullet"/>
        <w:spacing w:before="20" w:after="40"/>
      </w:pPr>
      <w:r>
        <w:rPr>
          <w:rFonts w:ascii="Segoe UI" w:hAnsi="Segoe UI"/>
        </w:rPr>
        <w:t>Temporarily increase RDS instance class if genuine transaction volume spike.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6.3 Playbook IR-03: Multi-Tenant Boundary Isolation Breach Alert (SEV-1)</w:t>
      </w:r>
    </w:p>
    <w:p>
      <w:pPr>
        <w:spacing w:before="40" w:after="80" w:line="276" w:lineRule="auto"/>
      </w:pPr>
      <w:r>
        <w:rPr>
          <w:rFonts w:ascii="Segoe UI" w:hAnsi="Segoe UI"/>
          <w:b/>
        </w:rPr>
        <w:t>Trigger:</w:t>
      </w:r>
      <w:r>
        <w:rPr>
          <w:rFonts w:ascii="Segoe UI" w:hAnsi="Segoe UI"/>
        </w:rPr>
        <w:t xml:space="preserve"> Any query attempt where </w:t>
      </w:r>
      <w:r>
        <w:rPr>
          <w:rFonts w:ascii="Consolas" w:hAnsi="Consolas"/>
          <w:color w:val="B42828"/>
          <w:sz w:val="19"/>
        </w:rPr>
        <w:t>organization_id</w:t>
      </w:r>
      <w:r>
        <w:rPr>
          <w:rFonts w:ascii="Segoe UI" w:hAnsi="Segoe UI"/>
        </w:rPr>
        <w:t xml:space="preserve"> does not match the authenticated session's tenant scope.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-- 1. Immediate containment: Revoke active sessions for the compromised user:</w:t>
              <w:br/>
              <w:t>DELETE FROM user_sessions WHERE user_id = '&lt;COMPROMISED_USER_ID&gt;';</w:t>
              <w:br/>
              <w:br/>
              <w:t>-- 2. Audit forensics: Search audit_logs for any mutations performed by this actor:</w:t>
              <w:br/>
              <w:t>SELECT created_at, action, entity_type, entity_id, ip_address, request_id</w:t>
              <w:br/>
              <w:t>FROM audit_logs</w:t>
              <w:br/>
              <w:t>WHERE user_id = '&lt;COMPROMISED_USER_ID&gt;'</w:t>
              <w:br/>
              <w:t>ORDER BY created_at DESC;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7. Disaster Recovery &amp; Regional Failover Playbook</w:t>
      </w:r>
    </w:p>
    <w:p>
      <w:pPr>
        <w:spacing w:before="20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03520" cy="5874668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9_migration_proces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874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Segoe UI" w:hAnsi="Segoe UI"/>
          <w:i/>
          <w:color w:val="475569"/>
          <w:sz w:val="18"/>
        </w:rPr>
        <w:t>Figure 9 - Safe migration and rollback path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7.1 Disaster Recovery Objectives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Recovery Point Objective (RPO):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</w:rPr>
        <w:t>0 seconds</w:t>
      </w:r>
      <w:r>
        <w:rPr>
          <w:rFonts w:ascii="Segoe UI" w:hAnsi="Segoe UI"/>
        </w:rPr>
        <w:t xml:space="preserve"> (synchronous Multi-AZ standby).</w:t>
      </w:r>
    </w:p>
    <w:p>
      <w:pPr>
        <w:pStyle w:val="ListBullet"/>
        <w:spacing w:before="20" w:after="40"/>
      </w:pPr>
      <w:r>
        <w:rPr>
          <w:rFonts w:ascii="Segoe UI" w:hAnsi="Segoe UI"/>
          <w:b/>
        </w:rPr>
        <w:t>Recovery Time Objective (RTO):</w:t>
      </w:r>
      <w:r>
        <w:rPr>
          <w:rFonts w:ascii="Segoe UI" w:hAnsi="Segoe UI"/>
        </w:rPr>
        <w:t xml:space="preserve"> </w:t>
      </w:r>
      <w:r>
        <w:rPr>
          <w:rFonts w:ascii="Segoe UI" w:hAnsi="Segoe UI"/>
          <w:b/>
        </w:rPr>
        <w:t>&lt; 30 minutes</w:t>
      </w:r>
      <w:r>
        <w:rPr>
          <w:rFonts w:ascii="Segoe UI" w:hAnsi="Segoe UI"/>
        </w:rPr>
        <w:t xml:space="preserve"> (full failover to standby region).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7.2 Complete Region Outage Failover (`eu-west-2` to `eu-west-1`)</w:t>
      </w:r>
    </w:p>
    <w:p>
      <w:pPr>
        <w:spacing w:before="40" w:after="80" w:line="276" w:lineRule="auto"/>
      </w:pPr>
      <w:r>
        <w:rPr>
          <w:rFonts w:ascii="Segoe UI" w:hAnsi="Segoe UI"/>
        </w:rPr>
        <w:t>If AWS London experiences catastrophic failure: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1. </w:t>
      </w:r>
      <w:r>
        <w:rPr>
          <w:rFonts w:ascii="Segoe UI" w:hAnsi="Segoe UI"/>
          <w:b/>
        </w:rPr>
        <w:t>Promote Cross-Region Read Replica in Ireland (`eu-west-1`):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aws rds promote-read-replica      --db-instance-identifier blynt-rds-dr-ireland      --region eu-west-1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2. </w:t>
      </w:r>
      <w:r>
        <w:rPr>
          <w:rFonts w:ascii="Segoe UI" w:hAnsi="Segoe UI"/>
          <w:b/>
        </w:rPr>
        <w:t>Deploy Backend App Runner Service in Ireland: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aws apprunner create-service      --service-name blynt-api-dr      --source-configuration ImageRepository={ImageIdentifier="...",ImageRepositoryType="ECR"}      --region eu-west-1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3. </w:t>
      </w:r>
      <w:r>
        <w:rPr>
          <w:rFonts w:ascii="Segoe UI" w:hAnsi="Segoe UI"/>
          <w:b/>
        </w:rPr>
        <w:t>Update Route 53 DNS Record: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 xml:space="preserve">   aws route53 change-resource-record-sets      --hosted-zone-id Z1234567890      --change-batch file://scripts/aws/failover-dns-ireland.json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</w:rPr>
        <w:t xml:space="preserve">4. </w:t>
      </w:r>
      <w:r>
        <w:rPr>
          <w:rFonts w:ascii="Segoe UI" w:hAnsi="Segoe UI"/>
          <w:b/>
        </w:rPr>
        <w:t>Execute Post-Failover Accounting Verification: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Run </w:t>
      </w:r>
      <w:r>
        <w:rPr>
          <w:rFonts w:ascii="Consolas" w:hAnsi="Consolas"/>
          <w:color w:val="B42828"/>
          <w:sz w:val="19"/>
        </w:rPr>
        <w:t>AccountingIntegrityService.checkIntegrity()</w:t>
      </w:r>
      <w:r>
        <w:rPr>
          <w:rFonts w:ascii="Segoe UI" w:hAnsi="Segoe UI"/>
        </w:rPr>
        <w:t xml:space="preserve"> across all active tenants.</w:t>
      </w:r>
    </w:p>
    <w:p>
      <w:pPr>
        <w:pStyle w:val="ListBullet"/>
        <w:spacing w:before="20" w:after="40"/>
      </w:pPr>
      <w:r>
        <w:rPr>
          <w:rFonts w:ascii="Segoe UI" w:hAnsi="Segoe UI"/>
        </w:rPr>
        <w:t>Verify zero records lost.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8. Security Operations, Key Rotation &amp; Compliance Playbook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8.1 Periodic Secrets Rotation</w:t>
      </w:r>
    </w:p>
    <w:p>
      <w:pPr>
        <w:spacing w:before="40" w:after="80" w:line="276" w:lineRule="auto"/>
      </w:pPr>
      <w:r>
        <w:rPr>
          <w:rFonts w:ascii="Segoe UI" w:hAnsi="Segoe UI"/>
        </w:rPr>
        <w:t>Execute every 90 days for production security hygiene: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# 1. Generate new 64-character session secret:</w:t>
              <w:br/>
              <w:t>NEW_SECRET=$(openssl rand -hex 32)</w:t>
              <w:br/>
              <w:br/>
              <w:t># 2. Update AWS Secrets Manager:</w:t>
              <w:br/>
              <w:t>aws secretsmanager update-secret   --secret-id blynt/prod/session-secret   --secret-string "{"SESSION_SECRET":"$NEW_SECRET"}"   --region eu-west-2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8.2 Making Tax Digital (MTD) &amp; Statutory 6-Year Retention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Under UK statutory law (Companies Act 2006 &amp; HMRC VAT Notice 700/21), accounting records and audit trails must be retained for </w:t>
      </w:r>
      <w:r>
        <w:rPr>
          <w:rFonts w:ascii="Segoe UI" w:hAnsi="Segoe UI"/>
          <w:b/>
        </w:rPr>
        <w:t>6 years plus current financial year</w:t>
      </w:r>
      <w:r>
        <w:rPr>
          <w:rFonts w:ascii="Segoe UI" w:hAnsi="Segoe UI"/>
        </w:rPr>
        <w:t>:</w:t>
      </w:r>
    </w:p>
    <w:p>
      <w:pPr>
        <w:pStyle w:val="ListBullet"/>
        <w:spacing w:before="20" w:after="40"/>
      </w:pPr>
      <w:r>
        <w:rPr>
          <w:rFonts w:ascii="Segoe UI" w:hAnsi="Segoe UI"/>
        </w:rPr>
        <w:t xml:space="preserve">All S3 automated database backup buckets are configured with </w:t>
      </w:r>
      <w:r>
        <w:rPr>
          <w:rFonts w:ascii="Segoe UI" w:hAnsi="Segoe UI"/>
          <w:b/>
        </w:rPr>
        <w:t>AWS S3 Object Lock in Compliance Mode</w:t>
      </w:r>
      <w:r>
        <w:rPr>
          <w:rFonts w:ascii="Segoe UI" w:hAnsi="Segoe UI"/>
        </w:rPr>
        <w:t xml:space="preserve"> (WORM: Write Once, Read Many).</w:t>
      </w:r>
    </w:p>
    <w:p>
      <w:pPr>
        <w:pStyle w:val="ListBullet"/>
        <w:spacing w:before="20" w:after="40"/>
      </w:pPr>
      <w:r>
        <w:rPr>
          <w:rFonts w:ascii="Segoe UI" w:hAnsi="Segoe UI"/>
        </w:rPr>
        <w:t>No administrator or IAM role (including root) can delete backups within the retention window.</w:t>
      </w:r>
    </w:p>
    <w:p>
      <w:pPr>
        <w:spacing w:after="120"/>
      </w:pPr>
    </w:p>
    <w:p>
      <w:pPr>
        <w:keepNext/>
        <w:spacing w:before="360" w:after="120"/>
      </w:pPr>
      <w:r>
        <w:rPr>
          <w:rFonts w:ascii="Segoe UI" w:hAnsi="Segoe UI"/>
          <w:b/>
          <w:color w:val="162D5F"/>
          <w:sz w:val="32"/>
        </w:rPr>
        <w:t>9. Monitoring, Observability &amp; Alerting Reference</w:t>
      </w: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9.1 Synthetic Health Probes</w:t>
      </w:r>
    </w:p>
    <w:p>
      <w:pPr>
        <w:spacing w:before="40" w:after="80" w:line="276" w:lineRule="auto"/>
      </w:pPr>
      <w:r>
        <w:rPr>
          <w:rFonts w:ascii="Segoe UI" w:hAnsi="Segoe UI"/>
        </w:rPr>
        <w:t>External uptime monitors (e.g., AWS Route 53 Health Checks / Better Uptime) query every 30 seconds: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GET /api/v1/health HTTP/1.1</w:t>
              <w:br/>
              <w:t>Host: api.blynt.io</w:t>
            </w:r>
          </w:p>
        </w:tc>
      </w:tr>
    </w:tbl>
    <w:p>
      <w:pPr>
        <w:spacing w:after="80"/>
      </w:pPr>
    </w:p>
    <w:p>
      <w:pPr>
        <w:spacing w:before="40" w:after="80" w:line="276" w:lineRule="auto"/>
      </w:pPr>
      <w:r>
        <w:rPr>
          <w:rFonts w:ascii="Segoe UI" w:hAnsi="Segoe UI"/>
          <w:b/>
        </w:rPr>
        <w:t>Expected 200 OK Response: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{</w:t>
              <w:br/>
              <w:t xml:space="preserve">  "status": "ok",</w:t>
              <w:br/>
              <w:t xml:space="preserve">  "info": {</w:t>
              <w:br/>
              <w:t xml:space="preserve">    "database": { "status": "up" },</w:t>
              <w:br/>
              <w:t xml:space="preserve">    "memory": { "status": "up" },</w:t>
              <w:br/>
              <w:t xml:space="preserve">    "uptime": 86420</w:t>
              <w:br/>
              <w:t xml:space="preserve">  }</w:t>
              <w:br/>
              <w:t>}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9.2 Critical CloudWatch Alarms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Alarm Name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Metric / Condition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162D5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color w:val="FFFFFF"/>
                <w:sz w:val="19"/>
              </w:rPr>
              <w:t>Notification Target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`ALARM_API_5XX_RATE`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5XX Error Rate &gt; 1%</w:t>
            </w:r>
            <w:r>
              <w:rPr>
                <w:rFonts w:ascii="Segoe UI" w:hAnsi="Segoe UI"/>
                <w:sz w:val="18"/>
              </w:rPr>
              <w:t xml:space="preserve"> over 5 min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PagerDuty SEV-2 Alert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SRE On-Call Pager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`ALARM_GL_IMBALANCE`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Metric: BalanceDiscrepancy &gt; 0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Immediate PagerDuty SEV-1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Tech Lead &amp; Finance Controller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`ALARM_RDS_CPU`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CPUUtilization &gt; 85%</w:t>
            </w:r>
            <w:r>
              <w:rPr>
                <w:rFonts w:ascii="Segoe UI" w:hAnsi="Segoe UI"/>
                <w:sz w:val="18"/>
              </w:rPr>
              <w:t xml:space="preserve"> for 10 min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Auto-scale / Notify Ops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8FAFC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DevOps Slack </w:t>
            </w:r>
            <w:r>
              <w:rPr>
                <w:rFonts w:ascii="Consolas" w:hAnsi="Consolas"/>
                <w:color w:val="B42828"/>
                <w:sz w:val="18"/>
              </w:rPr>
              <w:t>#ops-alerts</w:t>
            </w:r>
          </w:p>
        </w:tc>
      </w:tr>
      <w:tr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b/>
                <w:sz w:val="18"/>
              </w:rPr>
              <w:t>`ALARM_RDS_STORAGE`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Consolas" w:hAnsi="Consolas"/>
                <w:color w:val="B42828"/>
                <w:sz w:val="18"/>
              </w:rPr>
              <w:t>FreeStorageSpace &lt; 20 GB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>Auto-expand storage</w:t>
            </w:r>
          </w:p>
        </w:tc>
        <w:tc>
          <w:tcPr>
            <w:tcW w:type="dxa" w:w="2412"/>
            <w:tcMar>
              <w:top w:w="65" w:type="dxa"/>
              <w:bottom w:w="65" w:type="dxa"/>
              <w:left w:w="95" w:type="dxa"/>
              <w:right w:w="95" w:type="dxa"/>
            </w:tcMar>
            <w:shd w:fill="FFFFFF"/>
          </w:tcPr>
          <w:p>
            <w:pPr>
              <w:spacing w:before="40" w:after="40"/>
            </w:pPr>
            <w:r>
              <w:rPr>
                <w:rFonts w:ascii="Segoe UI" w:hAnsi="Segoe UI"/>
                <w:sz w:val="18"/>
              </w:rPr>
              <w:t xml:space="preserve">DevOps Slack </w:t>
            </w:r>
            <w:r>
              <w:rPr>
                <w:rFonts w:ascii="Consolas" w:hAnsi="Consolas"/>
                <w:color w:val="B42828"/>
                <w:sz w:val="18"/>
              </w:rPr>
              <w:t>#ops-alerts</w:t>
            </w:r>
          </w:p>
        </w:tc>
      </w:tr>
    </w:tbl>
    <w:p>
      <w:pPr>
        <w:spacing w:after="80"/>
      </w:pPr>
    </w:p>
    <w:p>
      <w:pPr>
        <w:keepNext/>
        <w:spacing w:before="280" w:after="80"/>
      </w:pPr>
      <w:r>
        <w:rPr>
          <w:rFonts w:ascii="Segoe UI" w:hAnsi="Segoe UI"/>
          <w:b/>
          <w:color w:val="162D5F"/>
          <w:sz w:val="26"/>
        </w:rPr>
        <w:t>9.3 Correlation ID Log Tracing (`x-request-id`)</w:t>
      </w:r>
    </w:p>
    <w:p>
      <w:pPr>
        <w:spacing w:before="40" w:after="80" w:line="276" w:lineRule="auto"/>
      </w:pPr>
      <w:r>
        <w:rPr>
          <w:rFonts w:ascii="Segoe UI" w:hAnsi="Segoe UI"/>
        </w:rPr>
        <w:t xml:space="preserve">Every incoming HTTP request is assigned a unique </w:t>
      </w:r>
      <w:r>
        <w:rPr>
          <w:rFonts w:ascii="Consolas" w:hAnsi="Consolas"/>
          <w:color w:val="B42828"/>
          <w:sz w:val="19"/>
        </w:rPr>
        <w:t>x-request-id</w:t>
      </w:r>
      <w:r>
        <w:rPr>
          <w:rFonts w:ascii="Segoe UI" w:hAnsi="Segoe UI"/>
        </w:rPr>
        <w:t>. To trace an incident across CloudWatch Logs: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fill="F1F5F9"/>
            <w:tcMar>
              <w:top w:w="75" w:type="dxa"/>
              <w:bottom w:w="75" w:type="dxa"/>
              <w:left w:w="110" w:type="dxa"/>
              <w:right w:w="110" w:type="dxa"/>
            </w:tcMar>
          </w:tcPr>
          <w:p>
            <w:pPr>
              <w:spacing w:before="40" w:after="40"/>
            </w:pPr>
            <w:r>
              <w:rPr>
                <w:rFonts w:ascii="Consolas" w:hAnsi="Consolas"/>
                <w:color w:val="1E293B"/>
                <w:sz w:val="17"/>
              </w:rPr>
              <w:t>fields @timestamp, @message</w:t>
              <w:br/>
              <w:t>| filter requestId = '9b1deb4d-3b7d-4bad-9bdd-2b0d7b3dcb6d'</w:t>
              <w:br/>
              <w:t>| sort @timestamp asc</w:t>
              <w:br/>
              <w:t>| limit 100</w:t>
            </w:r>
          </w:p>
        </w:tc>
      </w:tr>
    </w:tbl>
    <w:p>
      <w:pPr>
        <w:spacing w:after="80"/>
      </w:pPr>
    </w:p>
    <w:p>
      <w:pPr>
        <w:spacing w:after="120"/>
      </w:pPr>
    </w:p>
    <w:p>
      <w:pPr>
        <w:keepNext/>
        <w:spacing w:before="320" w:after="120"/>
      </w:pPr>
      <w:r>
        <w:rPr>
          <w:rFonts w:ascii="Segoe UI" w:hAnsi="Segoe UI"/>
          <w:b/>
          <w:color w:val="162D5F"/>
          <w:sz w:val="32"/>
        </w:rPr>
        <w:t>END OF BLYNT ENGINEERING &amp; OPERATIONS PLAYBOOK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