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jc w:val="center"/>
      </w:pPr>
      <w:r>
        <w:drawing>
          <wp:inline xmlns:a="http://schemas.openxmlformats.org/drawingml/2006/main" xmlns:pic="http://schemas.openxmlformats.org/drawingml/2006/picture">
            <wp:extent cx="1508760" cy="1852992"/>
            <wp:docPr id="1" name="Picture 1"/>
            <wp:cNvGraphicFramePr>
              <a:graphicFrameLocks noChangeAspect="1"/>
            </wp:cNvGraphicFramePr>
            <a:graphic>
              <a:graphicData uri="http://schemas.openxmlformats.org/drawingml/2006/picture">
                <pic:pic>
                  <pic:nvPicPr>
                    <pic:cNvPr id="0" name="blynt-logo.png"/>
                    <pic:cNvPicPr/>
                  </pic:nvPicPr>
                  <pic:blipFill>
                    <a:blip r:embed="rId9"/>
                    <a:stretch>
                      <a:fillRect/>
                    </a:stretch>
                  </pic:blipFill>
                  <pic:spPr>
                    <a:xfrm>
                      <a:off x="0" y="0"/>
                      <a:ext cx="1508760" cy="1852992"/>
                    </a:xfrm>
                    <a:prstGeom prst="rect"/>
                  </pic:spPr>
                </pic:pic>
              </a:graphicData>
            </a:graphic>
          </wp:inline>
        </w:drawing>
      </w:r>
    </w:p>
    <w:p>
      <w:pPr>
        <w:spacing w:before="500" w:after="160"/>
        <w:jc w:val="center"/>
      </w:pPr>
      <w:r>
        <w:rPr>
          <w:rFonts w:ascii="Segoe UI" w:hAnsi="Segoe UI"/>
          <w:b/>
          <w:color w:val="162D5F"/>
          <w:sz w:val="76"/>
        </w:rPr>
        <w:t>blynt</w:t>
      </w:r>
    </w:p>
    <w:p>
      <w:pPr>
        <w:spacing w:after="240"/>
        <w:jc w:val="center"/>
      </w:pPr>
      <w:r>
        <w:rPr>
          <w:rFonts w:ascii="Segoe UI" w:hAnsi="Segoe UI"/>
          <w:b/>
          <w:color w:val="162D5F"/>
          <w:sz w:val="32"/>
        </w:rPr>
        <w:t>PRODUCT MANAGEMENT HANDBOOK &amp; SPECIFICATION</w:t>
      </w:r>
    </w:p>
    <w:p>
      <w:pPr>
        <w:spacing w:after="400"/>
        <w:jc w:val="center"/>
      </w:pPr>
      <w:r>
        <w:rPr>
          <w:rFonts w:ascii="Segoe UI" w:hAnsi="Segoe UI"/>
          <w:color w:val="FF7F6C"/>
          <w:sz w:val="22"/>
        </w:rPr>
        <w:t>Product Vision &amp; Strategy • Detailed User Personas &amp; Journey Maps</w:t>
        <w:br/>
        <w:t>PRD Standards &amp; Gherkin Templates • RICE Prioritization • Agile Sprint Operations</w:t>
        <w:br/>
        <w:t>Release Governance &amp; Telemetry KPI Measurement • October 2026</w:t>
      </w:r>
    </w:p>
    <w:tbl>
      <w:tblPr>
        <w:tblW w:type="auto" w:w="0"/>
        <w:jc w:val="center"/>
        <w:tblLook w:firstColumn="1" w:firstRow="1" w:lastColumn="0" w:lastRow="0" w:noHBand="0" w:noVBand="1" w:val="04A0"/>
      </w:tblPr>
      <w:tblGrid>
        <w:gridCol w:w="9792"/>
      </w:tblGrid>
      <w:tr>
        <w:tc>
          <w:tcPr>
            <w:tcW w:type="dxa" w:w="9792"/>
            <w:shd w:fill="EEF2F9"/>
            <w:tcMar>
              <w:top w:w="100" w:type="dxa"/>
              <w:bottom w:w="100" w:type="dxa"/>
              <w:left w:w="180" w:type="dxa"/>
              <w:right w:w="180" w:type="dxa"/>
            </w:tcMar>
          </w:tcPr>
          <w:p>
            <w:pPr>
              <w:jc w:val="center"/>
            </w:pPr>
            <w:r>
              <w:rPr>
                <w:rFonts w:ascii="Segoe UI" w:hAnsi="Segoe UI"/>
                <w:b/>
                <w:color w:val="162D5F"/>
                <w:sz w:val="21"/>
              </w:rPr>
              <w:t>Authoritative Product Management Operating System</w:t>
              <w:br/>
            </w:r>
            <w:r>
              <w:rPr>
                <w:rFonts w:ascii="Segoe UI" w:hAnsi="Segoe UI"/>
                <w:color w:val="475569"/>
                <w:sz w:val="19"/>
              </w:rPr>
              <w:t>Standardized Framework for Product Managers, Business Analysts, Design Leads &amp; Product Owners</w:t>
            </w:r>
          </w:p>
        </w:tc>
      </w:tr>
    </w:tbl>
    <w:tbl>
      <w:tblPr>
        <w:tblW w:type="auto" w:w="0"/>
        <w:jc w:val="center"/>
        <w:tblLook w:firstColumn="1" w:firstRow="1" w:lastColumn="0" w:lastRow="0" w:noHBand="0" w:noVBand="1" w:val="04A0"/>
      </w:tblPr>
      <w:tblGrid>
        <w:gridCol w:w="4896"/>
        <w:gridCol w:w="4896"/>
      </w:tblGrid>
      <w:tr>
        <w:tc>
          <w:tcPr>
            <w:tcW w:type="dxa" w:w="4896"/>
            <w:tcMar>
              <w:top w:w="40" w:type="dxa"/>
              <w:bottom w:w="40" w:type="dxa"/>
              <w:left w:w="80" w:type="dxa"/>
              <w:right w:w="80" w:type="dxa"/>
            </w:tcMar>
          </w:tcPr>
          <w:p>
            <w:r>
              <w:rPr>
                <w:rFonts w:ascii="Segoe UI" w:hAnsi="Segoe UI"/>
                <w:b/>
                <w:color w:val="162D5F"/>
                <w:sz w:val="19"/>
              </w:rPr>
              <w:t>Product Entity:</w:t>
            </w:r>
          </w:p>
        </w:tc>
        <w:tc>
          <w:tcPr>
            <w:tcW w:type="dxa" w:w="4896"/>
            <w:tcMar>
              <w:top w:w="40" w:type="dxa"/>
              <w:bottom w:w="40" w:type="dxa"/>
              <w:left w:w="80" w:type="dxa"/>
              <w:right w:w="80" w:type="dxa"/>
            </w:tcMar>
          </w:tcPr>
          <w:p>
            <w:r>
              <w:rPr>
                <w:rFonts w:ascii="Segoe UI" w:hAnsi="Segoe UI"/>
                <w:color w:val="475569"/>
                <w:sz w:val="19"/>
              </w:rPr>
              <w:t>blynt Cloud Accounting Operating System</w:t>
            </w:r>
          </w:p>
        </w:tc>
      </w:tr>
      <w:tr>
        <w:tc>
          <w:tcPr>
            <w:tcW w:type="dxa" w:w="4896"/>
            <w:tcMar>
              <w:top w:w="40" w:type="dxa"/>
              <w:bottom w:w="40" w:type="dxa"/>
              <w:left w:w="80" w:type="dxa"/>
              <w:right w:w="80" w:type="dxa"/>
            </w:tcMar>
          </w:tcPr>
          <w:p>
            <w:r>
              <w:rPr>
                <w:rFonts w:ascii="Segoe UI" w:hAnsi="Segoe UI"/>
                <w:b/>
                <w:color w:val="162D5F"/>
                <w:sz w:val="19"/>
              </w:rPr>
              <w:t>Audience:</w:t>
            </w:r>
          </w:p>
        </w:tc>
        <w:tc>
          <w:tcPr>
            <w:tcW w:type="dxa" w:w="4896"/>
            <w:tcMar>
              <w:top w:w="40" w:type="dxa"/>
              <w:bottom w:w="40" w:type="dxa"/>
              <w:left w:w="80" w:type="dxa"/>
              <w:right w:w="80" w:type="dxa"/>
            </w:tcMar>
          </w:tcPr>
          <w:p>
            <w:r>
              <w:rPr>
                <w:rFonts w:ascii="Segoe UI" w:hAnsi="Segoe UI"/>
                <w:color w:val="475569"/>
                <w:sz w:val="19"/>
              </w:rPr>
              <w:t>Product Managers, Associate PMs, Tech Leads, Engineering Directors</w:t>
            </w:r>
          </w:p>
        </w:tc>
      </w:tr>
      <w:tr>
        <w:tc>
          <w:tcPr>
            <w:tcW w:type="dxa" w:w="4896"/>
            <w:tcMar>
              <w:top w:w="40" w:type="dxa"/>
              <w:bottom w:w="40" w:type="dxa"/>
              <w:left w:w="80" w:type="dxa"/>
              <w:right w:w="80" w:type="dxa"/>
            </w:tcMar>
          </w:tcPr>
          <w:p>
            <w:r>
              <w:rPr>
                <w:rFonts w:ascii="Segoe UI" w:hAnsi="Segoe UI"/>
                <w:b/>
                <w:color w:val="162D5F"/>
                <w:sz w:val="19"/>
              </w:rPr>
              <w:t>Release Cadence:</w:t>
            </w:r>
          </w:p>
        </w:tc>
        <w:tc>
          <w:tcPr>
            <w:tcW w:type="dxa" w:w="4896"/>
            <w:tcMar>
              <w:top w:w="40" w:type="dxa"/>
              <w:bottom w:w="40" w:type="dxa"/>
              <w:left w:w="80" w:type="dxa"/>
              <w:right w:w="80" w:type="dxa"/>
            </w:tcMar>
          </w:tcPr>
          <w:p>
            <w:r>
              <w:rPr>
                <w:rFonts w:ascii="Segoe UI" w:hAnsi="Segoe UI"/>
                <w:color w:val="475569"/>
                <w:sz w:val="19"/>
              </w:rPr>
              <w:t>Bi-Weekly Sprint Cycles | Monthly Minor | Quarterly Major</w:t>
            </w:r>
          </w:p>
        </w:tc>
      </w:tr>
      <w:tr>
        <w:tc>
          <w:tcPr>
            <w:tcW w:type="dxa" w:w="4896"/>
            <w:tcMar>
              <w:top w:w="40" w:type="dxa"/>
              <w:bottom w:w="40" w:type="dxa"/>
              <w:left w:w="80" w:type="dxa"/>
              <w:right w:w="80" w:type="dxa"/>
            </w:tcMar>
          </w:tcPr>
          <w:p>
            <w:r>
              <w:rPr>
                <w:rFonts w:ascii="Segoe UI" w:hAnsi="Segoe UI"/>
                <w:b/>
                <w:color w:val="162D5F"/>
                <w:sz w:val="19"/>
              </w:rPr>
              <w:t>Document Classification:</w:t>
            </w:r>
          </w:p>
        </w:tc>
        <w:tc>
          <w:tcPr>
            <w:tcW w:type="dxa" w:w="4896"/>
            <w:tcMar>
              <w:top w:w="40" w:type="dxa"/>
              <w:bottom w:w="40" w:type="dxa"/>
              <w:left w:w="80" w:type="dxa"/>
              <w:right w:w="80" w:type="dxa"/>
            </w:tcMar>
          </w:tcPr>
          <w:p>
            <w:r>
              <w:rPr>
                <w:rFonts w:ascii="Segoe UI" w:hAnsi="Segoe UI"/>
                <w:color w:val="475569"/>
                <w:sz w:val="19"/>
              </w:rPr>
              <w:t>Enterprise Product Operational Standard — Confidential</w:t>
            </w:r>
          </w:p>
        </w:tc>
      </w:tr>
    </w:tbl>
    <w:p>
      <w:r>
        <w:br w:type="page"/>
      </w:r>
    </w:p>
    <w:p>
      <w:pPr>
        <w:spacing w:before="0" w:after="100"/>
      </w:pPr>
      <w:r>
        <w:rPr>
          <w:rFonts w:ascii="Segoe UI" w:hAnsi="Segoe UI"/>
          <w:color w:val="1E293B"/>
          <w:sz w:val="19"/>
        </w:rPr>
      </w:r>
      <w:r>
        <w:rPr>
          <w:rFonts w:ascii="Segoe UI" w:hAnsi="Segoe UI"/>
          <w:b/>
          <w:color w:val="1E293B"/>
          <w:sz w:val="19"/>
        </w:rPr>
        <w:t>Document Version:</w:t>
      </w:r>
      <w:r>
        <w:rPr>
          <w:rFonts w:ascii="Segoe UI" w:hAnsi="Segoe UI"/>
          <w:color w:val="1E293B"/>
          <w:sz w:val="19"/>
        </w:rPr>
        <w:t xml:space="preserve"> 2.0</w:t>
      </w:r>
    </w:p>
    <w:p>
      <w:pPr>
        <w:spacing w:before="0" w:after="100"/>
      </w:pPr>
      <w:r>
        <w:rPr>
          <w:rFonts w:ascii="Segoe UI" w:hAnsi="Segoe UI"/>
          <w:color w:val="1E293B"/>
          <w:sz w:val="19"/>
        </w:rPr>
      </w:r>
      <w:r>
        <w:rPr>
          <w:rFonts w:ascii="Segoe UI" w:hAnsi="Segoe UI"/>
          <w:b/>
          <w:color w:val="1E293B"/>
          <w:sz w:val="19"/>
        </w:rPr>
        <w:t>Status:</w:t>
      </w:r>
      <w:r>
        <w:rPr>
          <w:rFonts w:ascii="Segoe UI" w:hAnsi="Segoe UI"/>
          <w:color w:val="1E293B"/>
          <w:sz w:val="19"/>
        </w:rPr>
        <w:t xml:space="preserve"> Approved &amp; Baselined</w:t>
      </w:r>
    </w:p>
    <w:p>
      <w:pPr>
        <w:spacing w:before="0" w:after="100"/>
      </w:pPr>
      <w:r>
        <w:rPr>
          <w:rFonts w:ascii="Segoe UI" w:hAnsi="Segoe UI"/>
          <w:color w:val="1E293B"/>
          <w:sz w:val="19"/>
        </w:rPr>
      </w:r>
      <w:r>
        <w:rPr>
          <w:rFonts w:ascii="Segoe UI" w:hAnsi="Segoe UI"/>
          <w:b/>
          <w:color w:val="1E293B"/>
          <w:sz w:val="19"/>
        </w:rPr>
        <w:t>Classification:</w:t>
      </w:r>
      <w:r>
        <w:rPr>
          <w:rFonts w:ascii="Segoe UI" w:hAnsi="Segoe UI"/>
          <w:color w:val="1E293B"/>
          <w:sz w:val="19"/>
        </w:rPr>
        <w:t xml:space="preserve"> Enterprise Product Standard</w:t>
      </w:r>
    </w:p>
    <w:p>
      <w:pPr>
        <w:spacing w:before="0" w:after="100"/>
      </w:pPr>
      <w:r>
        <w:rPr>
          <w:rFonts w:ascii="Segoe UI" w:hAnsi="Segoe UI"/>
          <w:color w:val="1E293B"/>
          <w:sz w:val="19"/>
        </w:rPr>
      </w:r>
      <w:r>
        <w:rPr>
          <w:rFonts w:ascii="Segoe UI" w:hAnsi="Segoe UI"/>
          <w:b/>
          <w:color w:val="1E293B"/>
          <w:sz w:val="19"/>
        </w:rPr>
        <w:t>Target Audience:</w:t>
      </w:r>
      <w:r>
        <w:rPr>
          <w:rFonts w:ascii="Segoe UI" w:hAnsi="Segoe UI"/>
          <w:color w:val="1E293B"/>
          <w:sz w:val="19"/>
        </w:rPr>
        <w:t xml:space="preserve"> Product Managers, Technical Product Managers, Product Owners, Engineering Leads, UX Designers</w:t>
      </w:r>
    </w:p>
    <w:p>
      <w:pPr>
        <w:spacing w:before="0" w:after="100"/>
      </w:pPr>
      <w:r>
        <w:rPr>
          <w:rFonts w:ascii="Segoe UI" w:hAnsi="Segoe UI"/>
          <w:color w:val="1E293B"/>
          <w:sz w:val="19"/>
        </w:rPr>
        <w:t>---</w:t>
      </w:r>
    </w:p>
    <w:p>
      <w:pPr>
        <w:keepNext/>
        <w:spacing w:before="320" w:after="120"/>
      </w:pPr>
      <w:r>
        <w:rPr>
          <w:rFonts w:ascii="Segoe UI" w:hAnsi="Segoe UI"/>
          <w:b/>
          <w:color w:val="162D5F"/>
          <w:sz w:val="30"/>
        </w:rPr>
        <w:t>1. Executive Product Vision, North Star &amp; Market Strategy</w:t>
      </w:r>
    </w:p>
    <w:p>
      <w:pPr>
        <w:spacing w:after="80"/>
      </w:pPr>
    </w:p>
    <w:p>
      <w:pPr>
        <w:spacing w:after="80"/>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figure_pm_product_lifecycle.png"/>
                    <pic:cNvPicPr/>
                  </pic:nvPicPr>
                  <pic:blipFill>
                    <a:blip r:embed="rId10"/>
                    <a:stretch>
                      <a:fillRect/>
                    </a:stretch>
                  </pic:blipFill>
                  <pic:spPr>
                    <a:xfrm>
                      <a:off x="0" y="0"/>
                      <a:ext cx="5852160" cy="3291840"/>
                    </a:xfrm>
                    <a:prstGeom prst="rect"/>
                  </pic:spPr>
                </pic:pic>
              </a:graphicData>
            </a:graphic>
          </wp:inline>
        </w:drawing>
      </w:r>
    </w:p>
    <w:p>
      <w:pPr>
        <w:spacing w:after="200"/>
        <w:jc w:val="center"/>
      </w:pPr>
      <w:r>
        <w:rPr>
          <w:rFonts w:ascii="Segoe UI" w:hAnsi="Segoe UI"/>
          <w:i/>
          <w:color w:val="475569"/>
          <w:sz w:val="18"/>
        </w:rPr>
        <w:t>Figure PM-1: blynt Product Management &amp; Feature Delivery Lifecycle (5 Stages)</w:t>
      </w:r>
    </w:p>
    <w:p>
      <w:pPr>
        <w:keepNext/>
        <w:spacing w:before="240" w:after="80"/>
      </w:pPr>
      <w:r>
        <w:rPr>
          <w:rFonts w:ascii="Segoe UI" w:hAnsi="Segoe UI"/>
          <w:b/>
          <w:color w:val="FF7F6C"/>
          <w:sz w:val="24"/>
        </w:rPr>
        <w:t>1.1 The Market Opportunity &amp; Core Problem Statement</w:t>
      </w:r>
    </w:p>
    <w:p>
      <w:pPr>
        <w:spacing w:before="0" w:after="100"/>
      </w:pPr>
      <w:r>
        <w:rPr>
          <w:rFonts w:ascii="Segoe UI" w:hAnsi="Segoe UI"/>
          <w:color w:val="1E293B"/>
          <w:sz w:val="19"/>
        </w:rPr>
        <w:t>Modern businesses in the UK and European economic zones operate in a severely fragmented financial software landscape. Traditional legacy Enterprise Resource Planning (ERP) systems such as SAP, Oracle NetSuite, and Sage Intacct are prohibitively expensive, cumbersome to deploy, and suffer from decades of technical debt. Conversely, entry-level bookkeeping platforms like Xero and QuickBooks Online lack rigorous double-entry invariant enforcement at the API layer, offer limited real-time subledger synchronization, and collapse under high-volume multi-entity, multi-currency transaction demands.</w:t>
      </w:r>
    </w:p>
    <w:p>
      <w:pPr>
        <w:spacing w:before="0" w:after="100"/>
      </w:pPr>
      <w:r>
        <w:rPr>
          <w:rFonts w:ascii="Segoe UI" w:hAnsi="Segoe UI"/>
          <w:color w:val="1E293B"/>
          <w:sz w:val="19"/>
        </w:rPr>
      </w:r>
      <w:r>
        <w:rPr>
          <w:rFonts w:ascii="Segoe UI" w:hAnsi="Segoe UI"/>
          <w:b/>
          <w:color w:val="1E293B"/>
          <w:sz w:val="19"/>
        </w:rPr>
        <w:t>blynt</w:t>
      </w:r>
      <w:r>
        <w:rPr>
          <w:rFonts w:ascii="Segoe UI" w:hAnsi="Segoe UI"/>
          <w:color w:val="1E293B"/>
          <w:sz w:val="19"/>
        </w:rPr>
        <w:t xml:space="preserve"> resolves this fundamental market divergence by delivering a cloud-native, real-time double-entry financial operating system. Designed from first principles, blynt guarantees zero accounting drift, sub-second financial reporting, native UK HMRC Making Tax Digital (MTD) compliance, and an open, developer-centric REST API.</w:t>
      </w:r>
    </w:p>
    <w:tbl>
      <w:tblPr>
        <w:tblW w:type="auto" w:w="0"/>
        <w:jc w:val="center"/>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before="0" w:after="0"/>
            </w:pPr>
            <w:r>
              <w:rPr>
                <w:rFonts w:ascii="Consolas" w:hAnsi="Consolas"/>
                <w:color w:val="1E293B"/>
                <w:sz w:val="17"/>
              </w:rPr>
              <w:t>+--------------------------------------------------------------------------------------------------+</w:t>
              <w:br/>
              <w:t>|                                  THE BLYNT PRODUCT ADVANTAGE                                    |</w:t>
              <w:br/>
              <w:t>+------------------------------------+----------------------------------+--------------------------+</w:t>
              <w:br/>
              <w:t>| Dimension                          | Legacy ERPs (NetSuite / SAP)     | Entry SMB (Xero / QBO)   |</w:t>
              <w:br/>
              <w:t>+------------------------------------+----------------------------------+--------------------------+</w:t>
              <w:br/>
              <w:t>| Implementation Timeline            | 6 to 18 Months                   | Instant Self-Serve       |</w:t>
              <w:br/>
              <w:t>| Invariant Integrity (Sum D = Sum C)| Batch Reconciled (Nightly)       | Weak / Drift Prone       |</w:t>
              <w:br/>
              <w:t>| Modern Open Developer APIs         | SOAP / Rigid Legacy REST         | Rate-Limited Basic APIs  |</w:t>
              <w:br/>
              <w:t>| Real-Time Subledger Posting        | Batched Processing Lag           | Shallow Entity Depth     |</w:t>
              <w:br/>
              <w:t>| Total Cost of Ownership (TCO)      | High Enterprise Capex/Opex       | Low, but quickly outgrown|</w:t>
              <w:br/>
              <w:t>| blynt Delivery Model               | Instant Deploy, Cloud-Native, Invariant-Guaranteed, Affordable   |</w:t>
              <w:br/>
              <w:t>+------------------------------------+----------------------------------+--------------------------+</w:t>
            </w:r>
          </w:p>
        </w:tc>
      </w:tr>
    </w:tbl>
    <w:p>
      <w:pPr>
        <w:spacing w:after="80"/>
      </w:pPr>
    </w:p>
    <w:p>
      <w:pPr>
        <w:keepNext/>
        <w:spacing w:before="240" w:after="80"/>
      </w:pPr>
      <w:r>
        <w:rPr>
          <w:rFonts w:ascii="Segoe UI" w:hAnsi="Segoe UI"/>
          <w:b/>
          <w:color w:val="FF7F6C"/>
          <w:sz w:val="24"/>
        </w:rPr>
        <w:t>1.2 Core Product Pillars &amp; Value Propositions</w:t>
      </w:r>
    </w:p>
    <w:p>
      <w:pPr>
        <w:spacing w:before="0" w:after="100"/>
      </w:pPr>
      <w:r>
        <w:rPr>
          <w:rFonts w:ascii="Segoe UI" w:hAnsi="Segoe UI"/>
          <w:color w:val="1E293B"/>
          <w:sz w:val="19"/>
        </w:rPr>
        <w:t>Every feature, enhancement, and initiative prioritized within the blynt product roadmap must directly advance one or more of our five foundational product pillars:</w:t>
      </w:r>
    </w:p>
    <w:p>
      <w:pPr>
        <w:spacing w:before="0" w:after="100"/>
      </w:pPr>
      <w:r>
        <w:rPr>
          <w:rFonts w:ascii="Segoe UI" w:hAnsi="Segoe UI"/>
          <w:color w:val="1E293B"/>
          <w:sz w:val="19"/>
        </w:rPr>
        <w:t xml:space="preserve">1. </w:t>
      </w:r>
      <w:r>
        <w:rPr>
          <w:rFonts w:ascii="Segoe UI" w:hAnsi="Segoe UI"/>
          <w:b/>
          <w:color w:val="1E293B"/>
          <w:sz w:val="19"/>
        </w:rPr>
        <w:t>Mathematical Invariant Integrity</w:t>
      </w:r>
      <w:r>
        <w:rPr>
          <w:rFonts w:ascii="Segoe UI" w:hAnsi="Segoe UI"/>
          <w:color w:val="1E293B"/>
          <w:sz w:val="19"/>
        </w:rPr>
        <w:t>: Zero toleration for ledger imbalance. At every layer—from frontend forms down to database row-level locking—the fundamental accounting equation $\sum \text{Debits} \equiv \sum \text{Credits}$ is immutably enforced.</w:t>
      </w:r>
    </w:p>
    <w:p>
      <w:pPr>
        <w:spacing w:before="0" w:after="100"/>
      </w:pPr>
      <w:r>
        <w:rPr>
          <w:rFonts w:ascii="Segoe UI" w:hAnsi="Segoe UI"/>
          <w:color w:val="1E293B"/>
          <w:sz w:val="19"/>
        </w:rPr>
        <w:t xml:space="preserve">2. </w:t>
      </w:r>
      <w:r>
        <w:rPr>
          <w:rFonts w:ascii="Segoe UI" w:hAnsi="Segoe UI"/>
          <w:b/>
          <w:color w:val="1E293B"/>
          <w:sz w:val="19"/>
        </w:rPr>
        <w:t>Sub-Second Financial Intelligence</w:t>
      </w:r>
      <w:r>
        <w:rPr>
          <w:rFonts w:ascii="Segoe UI" w:hAnsi="Segoe UI"/>
          <w:color w:val="1E293B"/>
          <w:sz w:val="19"/>
        </w:rPr>
        <w:t>: Eliminating month-end close latency. Profit &amp; Loss, Balance Sheet, and Trial Balance reports recalculate in under 500 milliseconds across millions of journal lines.</w:t>
      </w:r>
    </w:p>
    <w:p>
      <w:pPr>
        <w:spacing w:before="0" w:after="100"/>
      </w:pPr>
      <w:r>
        <w:rPr>
          <w:rFonts w:ascii="Segoe UI" w:hAnsi="Segoe UI"/>
          <w:color w:val="1E293B"/>
          <w:sz w:val="19"/>
        </w:rPr>
        <w:t xml:space="preserve">3. </w:t>
      </w:r>
      <w:r>
        <w:rPr>
          <w:rFonts w:ascii="Segoe UI" w:hAnsi="Segoe UI"/>
          <w:b/>
          <w:color w:val="1E293B"/>
          <w:sz w:val="19"/>
        </w:rPr>
        <w:t>Automated Regulatory &amp; HMRC MTD Compliance</w:t>
      </w:r>
      <w:r>
        <w:rPr>
          <w:rFonts w:ascii="Segoe UI" w:hAnsi="Segoe UI"/>
          <w:color w:val="1E293B"/>
          <w:sz w:val="19"/>
        </w:rPr>
        <w:t>: Out-of-the-box VAT returns, statutory 6-year retention compliance, and fraud prevention headers built natively into the platform workflows.</w:t>
      </w:r>
    </w:p>
    <w:p>
      <w:pPr>
        <w:spacing w:before="0" w:after="100"/>
      </w:pPr>
      <w:r>
        <w:rPr>
          <w:rFonts w:ascii="Segoe UI" w:hAnsi="Segoe UI"/>
          <w:color w:val="1E293B"/>
          <w:sz w:val="19"/>
        </w:rPr>
        <w:t xml:space="preserve">4. </w:t>
      </w:r>
      <w:r>
        <w:rPr>
          <w:rFonts w:ascii="Segoe UI" w:hAnsi="Segoe UI"/>
          <w:b/>
          <w:color w:val="1E293B"/>
          <w:sz w:val="19"/>
        </w:rPr>
        <w:t>Developer-First Extensibility</w:t>
      </w:r>
      <w:r>
        <w:rPr>
          <w:rFonts w:ascii="Segoe UI" w:hAnsi="Segoe UI"/>
          <w:color w:val="1E293B"/>
          <w:sz w:val="19"/>
        </w:rPr>
        <w:t>: Treating our REST and Webhook APIs as first-class citizen products, empowering modern engineering teams to embed financial ledger capabilities directly into custom software.</w:t>
      </w:r>
    </w:p>
    <w:p>
      <w:pPr>
        <w:spacing w:before="0" w:after="100"/>
      </w:pPr>
      <w:r>
        <w:rPr>
          <w:rFonts w:ascii="Segoe UI" w:hAnsi="Segoe UI"/>
          <w:color w:val="1E293B"/>
          <w:sz w:val="19"/>
        </w:rPr>
        <w:t xml:space="preserve">5. </w:t>
      </w:r>
      <w:r>
        <w:rPr>
          <w:rFonts w:ascii="Segoe UI" w:hAnsi="Segoe UI"/>
          <w:b/>
          <w:color w:val="1E293B"/>
          <w:sz w:val="19"/>
        </w:rPr>
        <w:t>Frictionless Enterprise UX</w:t>
      </w:r>
      <w:r>
        <w:rPr>
          <w:rFonts w:ascii="Segoe UI" w:hAnsi="Segoe UI"/>
          <w:color w:val="1E293B"/>
          <w:sz w:val="19"/>
        </w:rPr>
        <w:t>: Clean, intuitive typography, high information density, keyboard-first navigation shortcuts, and zero unnecessary modal interruptions.</w:t>
      </w:r>
    </w:p>
    <w:p>
      <w:pPr>
        <w:keepNext/>
        <w:spacing w:before="240" w:after="80"/>
      </w:pPr>
      <w:r>
        <w:rPr>
          <w:rFonts w:ascii="Segoe UI" w:hAnsi="Segoe UI"/>
          <w:b/>
          <w:color w:val="FF7F6C"/>
          <w:sz w:val="24"/>
        </w:rPr>
        <w:t>1.3 Product North Star Metric &amp; OKR Cascade</w:t>
      </w:r>
    </w:p>
    <w:p>
      <w:pPr>
        <w:spacing w:before="0" w:after="100"/>
      </w:pPr>
      <w:r>
        <w:rPr>
          <w:rFonts w:ascii="Segoe UI" w:hAnsi="Segoe UI"/>
          <w:color w:val="1E293B"/>
          <w:sz w:val="19"/>
        </w:rPr>
        <w:t>The North Star Metric for the blynt product organization is:</w:t>
      </w:r>
    </w:p>
    <w:tbl>
      <w:tblPr>
        <w:tblW w:type="auto" w:w="0"/>
        <w:jc w:val="center"/>
        <w:tblLook w:firstColumn="1" w:firstRow="1" w:lastColumn="0" w:lastRow="0" w:noHBand="0" w:noVBand="1" w:val="04A0"/>
      </w:tblPr>
      <w:tblGrid>
        <w:gridCol w:w="9792"/>
      </w:tblGrid>
      <w:tr>
        <w:tc>
          <w:tcPr>
            <w:tcW w:type="dxa" w:w="9792"/>
            <w:shd w:fill="F8FAFC"/>
            <w:tcMar>
              <w:top w:w="60" w:type="dxa"/>
              <w:bottom w:w="60" w:type="dxa"/>
              <w:left w:w="120" w:type="dxa"/>
              <w:right w:w="120" w:type="dxa"/>
            </w:tcMar>
          </w:tcPr>
          <w:p>
            <w:pPr>
              <w:spacing w:before="0" w:after="0"/>
            </w:pPr>
            <w:r>
              <w:rPr>
                <w:rFonts w:ascii="Segoe UI" w:hAnsi="Segoe UI"/>
                <w:i/>
                <w:color w:val="1E293B"/>
                <w:sz w:val="19"/>
              </w:rPr>
              <w:t>**Weekly Balanced Journal Lines Posted (WBJLP) with Zero Invariant Drift**</w:t>
            </w:r>
          </w:p>
        </w:tc>
      </w:tr>
    </w:tbl>
    <w:p>
      <w:pPr>
        <w:spacing w:after="80"/>
      </w:pPr>
    </w:p>
    <w:p>
      <w:pPr>
        <w:spacing w:before="0" w:after="100"/>
      </w:pPr>
      <w:r>
        <w:rPr>
          <w:rFonts w:ascii="Segoe UI" w:hAnsi="Segoe UI"/>
          <w:color w:val="1E293B"/>
          <w:sz w:val="19"/>
        </w:rPr>
        <w:t>This metric reflects active customer engagement, genuine economic value flowing through the platform, and unrelenting adherence to accounting accuracy.</w:t>
      </w:r>
    </w:p>
    <w:tbl>
      <w:tblPr>
        <w:tblW w:type="auto" w:w="0"/>
        <w:jc w:val="center"/>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before="0" w:after="0"/>
            </w:pPr>
            <w:r>
              <w:rPr>
                <w:rFonts w:ascii="Consolas" w:hAnsi="Consolas"/>
                <w:color w:val="1E293B"/>
                <w:sz w:val="17"/>
              </w:rPr>
              <w:t xml:space="preserve">                          +------------------------------------------------------+</w:t>
              <w:br/>
              <w:t xml:space="preserve">                          |                  NORTH STAR METRIC                   |</w:t>
              <w:br/>
              <w:t xml:space="preserve">                          |       Weekly Balanced Journal Lines Posted (WBJLP)   |</w:t>
              <w:br/>
              <w:t xml:space="preserve">                          |              with 0.00% Invariant Drift              |</w:t>
              <w:br/>
              <w:t xml:space="preserve">                          +--------------------------+---------------------------+</w:t>
              <w:br/>
              <w:t xml:space="preserve">                                                     |</w:t>
              <w:br/>
              <w:t xml:space="preserve">         +-------------------------------------------+------------------------------------------+</w:t>
              <w:br/>
              <w:t xml:space="preserve">         |                                           |                                          |</w:t>
              <w:br/>
              <w:t xml:space="preserve">         v                                           v                                          v</w:t>
              <w:br/>
              <w:t>+-----------------------------+             +-----------------------------+            +-----------------------------+</w:t>
              <w:br/>
              <w:t>|    Objective 1: Velocity    |             |    Objective 2: Friction    |            |   Objective 3: Expansion    |</w:t>
              <w:br/>
              <w:t>| Accelerate Month-End Close  |             | Eliminate Reconciliation    |            | Drive Multi-Entity Adoption |</w:t>
              <w:br/>
              <w:t>| KR: Reduce close from 12    |             | Bottlenecks                 |            | KR: 40% of tenants manage   |</w:t>
              <w:br/>
              <w:t>| days down to &lt; 2 days.      |             | KR: &gt;85% auto-bank match.   |            | &gt;= 2 legal entities.        |</w:t>
              <w:br/>
              <w:t>+-----------------------------+             +-----------------------------+            +-----------------------------+</w:t>
            </w:r>
          </w:p>
        </w:tc>
      </w:tr>
    </w:tbl>
    <w:p>
      <w:pPr>
        <w:spacing w:after="80"/>
      </w:pPr>
    </w:p>
    <w:p>
      <w:pPr>
        <w:spacing w:before="0" w:after="100"/>
      </w:pPr>
      <w:r>
        <w:rPr>
          <w:rFonts w:ascii="Segoe UI" w:hAnsi="Segoe UI"/>
          <w:color w:val="1E293B"/>
          <w:sz w:val="19"/>
        </w:rPr>
        <w:t>---</w:t>
      </w:r>
    </w:p>
    <w:p>
      <w:pPr>
        <w:keepNext/>
        <w:spacing w:before="320" w:after="120"/>
      </w:pPr>
      <w:r>
        <w:rPr>
          <w:rFonts w:ascii="Segoe UI" w:hAnsi="Segoe UI"/>
          <w:b/>
          <w:color w:val="162D5F"/>
          <w:sz w:val="30"/>
        </w:rPr>
        <w:t>2. Comprehensive User Personas &amp; End-to-End Customer Journeys</w:t>
      </w:r>
    </w:p>
    <w:p>
      <w:pPr>
        <w:spacing w:before="0" w:after="100"/>
      </w:pPr>
      <w:r>
        <w:rPr>
          <w:rFonts w:ascii="Segoe UI" w:hAnsi="Segoe UI"/>
          <w:color w:val="1E293B"/>
          <w:sz w:val="19"/>
        </w:rPr>
        <w:t>To ensure user-centered product design and rigorous acceptance criteria, blynt defines five primary customer personas.</w:t>
      </w:r>
    </w:p>
    <w:p>
      <w:pPr>
        <w:keepNext/>
        <w:spacing w:before="240" w:after="80"/>
      </w:pPr>
      <w:r>
        <w:rPr>
          <w:rFonts w:ascii="Segoe UI" w:hAnsi="Segoe UI"/>
          <w:b/>
          <w:color w:val="FF7F6C"/>
          <w:sz w:val="24"/>
        </w:rPr>
        <w:t>2.1 Persona 1: Elena Vance — Chief Financial Officer (CFO) / Finance Director</w:t>
      </w:r>
    </w:p>
    <w:p>
      <w:pPr>
        <w:pStyle w:val="ListBullet"/>
        <w:spacing w:before="0" w:after="40"/>
      </w:pPr>
      <w:r>
        <w:rPr>
          <w:rFonts w:ascii="Segoe UI" w:hAnsi="Segoe UI"/>
          <w:color w:val="1E293B"/>
          <w:sz w:val="19"/>
        </w:rPr>
      </w:r>
      <w:r>
        <w:rPr>
          <w:rFonts w:ascii="Segoe UI" w:hAnsi="Segoe UI"/>
          <w:b/>
          <w:color w:val="1E293B"/>
          <w:sz w:val="19"/>
        </w:rPr>
        <w:t>Demographics:</w:t>
      </w:r>
      <w:r>
        <w:rPr>
          <w:rFonts w:ascii="Segoe UI" w:hAnsi="Segoe UI"/>
          <w:color w:val="1E293B"/>
          <w:sz w:val="19"/>
        </w:rPr>
        <w:t xml:space="preserve"> Age 42, 18 years in corporate finance, oversees a fast-growing scaleup (120 employees, £18M ARR).</w:t>
      </w:r>
    </w:p>
    <w:p>
      <w:pPr>
        <w:pStyle w:val="ListBullet"/>
        <w:spacing w:before="0" w:after="40"/>
      </w:pPr>
      <w:r>
        <w:rPr>
          <w:rFonts w:ascii="Segoe UI" w:hAnsi="Segoe UI"/>
          <w:color w:val="1E293B"/>
          <w:sz w:val="19"/>
        </w:rPr>
      </w:r>
      <w:r>
        <w:rPr>
          <w:rFonts w:ascii="Segoe UI" w:hAnsi="Segoe UI"/>
          <w:b/>
          <w:color w:val="1E293B"/>
          <w:sz w:val="19"/>
        </w:rPr>
        <w:t>Core Goals:</w:t>
      </w:r>
      <w:r>
        <w:rPr>
          <w:rFonts w:ascii="Segoe UI" w:hAnsi="Segoe UI"/>
          <w:color w:val="1E293B"/>
          <w:sz w:val="19"/>
        </w:rPr>
        <w:t xml:space="preserve"> Real-time visibility into consolidated cash flow, runway forecasting, audit readiness, and rapid monthly board pack generation.</w:t>
      </w:r>
    </w:p>
    <w:p>
      <w:pPr>
        <w:pStyle w:val="ListBullet"/>
        <w:spacing w:before="0" w:after="40"/>
      </w:pPr>
      <w:r>
        <w:rPr>
          <w:rFonts w:ascii="Segoe UI" w:hAnsi="Segoe UI"/>
          <w:color w:val="1E293B"/>
          <w:sz w:val="19"/>
        </w:rPr>
      </w:r>
      <w:r>
        <w:rPr>
          <w:rFonts w:ascii="Segoe UI" w:hAnsi="Segoe UI"/>
          <w:b/>
          <w:color w:val="1E293B"/>
          <w:sz w:val="19"/>
        </w:rPr>
        <w:t>Key Pain Points:</w:t>
      </w:r>
      <w:r>
        <w:rPr>
          <w:rFonts w:ascii="Segoe UI" w:hAnsi="Segoe UI"/>
          <w:color w:val="1E293B"/>
          <w:sz w:val="19"/>
        </w:rPr>
        <w:t xml:space="preserve"> Disjointed data across banking apps and invoicing tools; agonizing 14-day month-end close; fear of non-compliance penalties with HMRC.</w:t>
      </w:r>
    </w:p>
    <w:p>
      <w:pPr>
        <w:pStyle w:val="ListBullet"/>
        <w:spacing w:before="0" w:after="40"/>
      </w:pPr>
      <w:r>
        <w:rPr>
          <w:rFonts w:ascii="Segoe UI" w:hAnsi="Segoe UI"/>
          <w:color w:val="1E293B"/>
          <w:sz w:val="19"/>
        </w:rPr>
      </w:r>
      <w:r>
        <w:rPr>
          <w:rFonts w:ascii="Segoe UI" w:hAnsi="Segoe UI"/>
          <w:b/>
          <w:color w:val="1E293B"/>
          <w:sz w:val="19"/>
        </w:rPr>
        <w:t>Product Needs:</w:t>
      </w:r>
      <w:r>
        <w:rPr>
          <w:rFonts w:ascii="Segoe UI" w:hAnsi="Segoe UI"/>
          <w:color w:val="1E293B"/>
          <w:sz w:val="19"/>
        </w:rPr>
        <w:t xml:space="preserve"> High-level dashboard widgets, instant multi-entity consolidation, drill-down to underlying journal lines, one-click PDF export for executive decks.</w:t>
      </w:r>
    </w:p>
    <w:p>
      <w:pPr>
        <w:keepNext/>
        <w:spacing w:before="240" w:after="80"/>
      </w:pPr>
      <w:r>
        <w:rPr>
          <w:rFonts w:ascii="Segoe UI" w:hAnsi="Segoe UI"/>
          <w:b/>
          <w:color w:val="FF7F6C"/>
          <w:sz w:val="24"/>
        </w:rPr>
        <w:t>2.2 Persona 2: Marcus Reed — Financial Controller / Chief Accountant</w:t>
      </w:r>
    </w:p>
    <w:p>
      <w:pPr>
        <w:pStyle w:val="ListBullet"/>
        <w:spacing w:before="0" w:after="40"/>
      </w:pPr>
      <w:r>
        <w:rPr>
          <w:rFonts w:ascii="Segoe UI" w:hAnsi="Segoe UI"/>
          <w:color w:val="1E293B"/>
          <w:sz w:val="19"/>
        </w:rPr>
      </w:r>
      <w:r>
        <w:rPr>
          <w:rFonts w:ascii="Segoe UI" w:hAnsi="Segoe UI"/>
          <w:b/>
          <w:color w:val="1E293B"/>
          <w:sz w:val="19"/>
        </w:rPr>
        <w:t>Demographics:</w:t>
      </w:r>
      <w:r>
        <w:rPr>
          <w:rFonts w:ascii="Segoe UI" w:hAnsi="Segoe UI"/>
          <w:color w:val="1E293B"/>
          <w:sz w:val="19"/>
        </w:rPr>
        <w:t xml:space="preserve"> Age 36, ACA/ACCA qualified, 12 years in professional accounting and controllership.</w:t>
      </w:r>
    </w:p>
    <w:p>
      <w:pPr>
        <w:pStyle w:val="ListBullet"/>
        <w:spacing w:before="0" w:after="40"/>
      </w:pPr>
      <w:r>
        <w:rPr>
          <w:rFonts w:ascii="Segoe UI" w:hAnsi="Segoe UI"/>
          <w:color w:val="1E293B"/>
          <w:sz w:val="19"/>
        </w:rPr>
      </w:r>
      <w:r>
        <w:rPr>
          <w:rFonts w:ascii="Segoe UI" w:hAnsi="Segoe UI"/>
          <w:b/>
          <w:color w:val="1E293B"/>
          <w:sz w:val="19"/>
        </w:rPr>
        <w:t>Core Goals:</w:t>
      </w:r>
      <w:r>
        <w:rPr>
          <w:rFonts w:ascii="Segoe UI" w:hAnsi="Segoe UI"/>
          <w:color w:val="1E293B"/>
          <w:sz w:val="19"/>
        </w:rPr>
        <w:t xml:space="preserve"> Absolute trial balance balancing, rigorous period-end locking, clean accruals and prepayments, automated bank reconciliation.</w:t>
      </w:r>
    </w:p>
    <w:p>
      <w:pPr>
        <w:pStyle w:val="ListBullet"/>
        <w:spacing w:before="0" w:after="40"/>
      </w:pPr>
      <w:r>
        <w:rPr>
          <w:rFonts w:ascii="Segoe UI" w:hAnsi="Segoe UI"/>
          <w:color w:val="1E293B"/>
          <w:sz w:val="19"/>
        </w:rPr>
      </w:r>
      <w:r>
        <w:rPr>
          <w:rFonts w:ascii="Segoe UI" w:hAnsi="Segoe UI"/>
          <w:b/>
          <w:color w:val="1E293B"/>
          <w:sz w:val="19"/>
        </w:rPr>
        <w:t>Key Pain Points:</w:t>
      </w:r>
      <w:r>
        <w:rPr>
          <w:rFonts w:ascii="Segoe UI" w:hAnsi="Segoe UI"/>
          <w:color w:val="1E293B"/>
          <w:sz w:val="19"/>
        </w:rPr>
        <w:t xml:space="preserve"> Manual spreadsheet reconciliations that break; junior bookkeepers posting unapproved journal entries; untracked invoice alterations.</w:t>
      </w:r>
    </w:p>
    <w:p>
      <w:pPr>
        <w:pStyle w:val="ListBullet"/>
        <w:spacing w:before="0" w:after="40"/>
      </w:pPr>
      <w:r>
        <w:rPr>
          <w:rFonts w:ascii="Segoe UI" w:hAnsi="Segoe UI"/>
          <w:color w:val="1E293B"/>
          <w:sz w:val="19"/>
        </w:rPr>
      </w:r>
      <w:r>
        <w:rPr>
          <w:rFonts w:ascii="Segoe UI" w:hAnsi="Segoe UI"/>
          <w:b/>
          <w:color w:val="1E293B"/>
          <w:sz w:val="19"/>
        </w:rPr>
        <w:t>Product Needs:</w:t>
      </w:r>
      <w:r>
        <w:rPr>
          <w:rFonts w:ascii="Segoe UI" w:hAnsi="Segoe UI"/>
          <w:color w:val="1E293B"/>
          <w:sz w:val="19"/>
        </w:rPr>
        <w:t xml:space="preserve"> Granular approval workflows (Maker-Checker), period-lock dates with override controls, automated rule-based bank matching, immutable audit trails.</w:t>
      </w:r>
    </w:p>
    <w:p>
      <w:pPr>
        <w:keepNext/>
        <w:spacing w:before="240" w:after="80"/>
      </w:pPr>
      <w:r>
        <w:rPr>
          <w:rFonts w:ascii="Segoe UI" w:hAnsi="Segoe UI"/>
          <w:b/>
          <w:color w:val="FF7F6C"/>
          <w:sz w:val="24"/>
        </w:rPr>
        <w:t>2.3 Persona 3: Sarah Jenkins — Accounts Payable (AP) &amp; Bookkeeping Specialist</w:t>
      </w:r>
    </w:p>
    <w:p>
      <w:pPr>
        <w:pStyle w:val="ListBullet"/>
        <w:spacing w:before="0" w:after="40"/>
      </w:pPr>
      <w:r>
        <w:rPr>
          <w:rFonts w:ascii="Segoe UI" w:hAnsi="Segoe UI"/>
          <w:color w:val="1E293B"/>
          <w:sz w:val="19"/>
        </w:rPr>
      </w:r>
      <w:r>
        <w:rPr>
          <w:rFonts w:ascii="Segoe UI" w:hAnsi="Segoe UI"/>
          <w:b/>
          <w:color w:val="1E293B"/>
          <w:sz w:val="19"/>
        </w:rPr>
        <w:t>Demographics:</w:t>
      </w:r>
      <w:r>
        <w:rPr>
          <w:rFonts w:ascii="Segoe UI" w:hAnsi="Segoe UI"/>
          <w:color w:val="1E293B"/>
          <w:sz w:val="19"/>
        </w:rPr>
        <w:t xml:space="preserve"> Age 29, 6 years in day-to-day transaction processing and supplier relationship management.</w:t>
      </w:r>
    </w:p>
    <w:p>
      <w:pPr>
        <w:pStyle w:val="ListBullet"/>
        <w:spacing w:before="0" w:after="40"/>
      </w:pPr>
      <w:r>
        <w:rPr>
          <w:rFonts w:ascii="Segoe UI" w:hAnsi="Segoe UI"/>
          <w:color w:val="1E293B"/>
          <w:sz w:val="19"/>
        </w:rPr>
      </w:r>
      <w:r>
        <w:rPr>
          <w:rFonts w:ascii="Segoe UI" w:hAnsi="Segoe UI"/>
          <w:b/>
          <w:color w:val="1E293B"/>
          <w:sz w:val="19"/>
        </w:rPr>
        <w:t>Core Goals:</w:t>
      </w:r>
      <w:r>
        <w:rPr>
          <w:rFonts w:ascii="Segoe UI" w:hAnsi="Segoe UI"/>
          <w:color w:val="1E293B"/>
          <w:sz w:val="19"/>
        </w:rPr>
        <w:t xml:space="preserve"> High-velocity invoice entry, zero data-entry typos, supplier payment batch preparation, rapid expense categorisation.</w:t>
      </w:r>
    </w:p>
    <w:p>
      <w:pPr>
        <w:pStyle w:val="ListBullet"/>
        <w:spacing w:before="0" w:after="40"/>
      </w:pPr>
      <w:r>
        <w:rPr>
          <w:rFonts w:ascii="Segoe UI" w:hAnsi="Segoe UI"/>
          <w:color w:val="1E293B"/>
          <w:sz w:val="19"/>
        </w:rPr>
      </w:r>
      <w:r>
        <w:rPr>
          <w:rFonts w:ascii="Segoe UI" w:hAnsi="Segoe UI"/>
          <w:b/>
          <w:color w:val="1E293B"/>
          <w:sz w:val="19"/>
        </w:rPr>
        <w:t>Key Pain Points:</w:t>
      </w:r>
      <w:r>
        <w:rPr>
          <w:rFonts w:ascii="Segoe UI" w:hAnsi="Segoe UI"/>
          <w:color w:val="1E293B"/>
          <w:sz w:val="19"/>
        </w:rPr>
        <w:t xml:space="preserve"> Clunky UI that requires switching between mouse and keyboard; manual OCR corrections; missing supplier VAT numbers.</w:t>
      </w:r>
    </w:p>
    <w:p>
      <w:pPr>
        <w:pStyle w:val="ListBullet"/>
        <w:spacing w:before="0" w:after="40"/>
      </w:pPr>
      <w:r>
        <w:rPr>
          <w:rFonts w:ascii="Segoe UI" w:hAnsi="Segoe UI"/>
          <w:color w:val="1E293B"/>
          <w:sz w:val="19"/>
        </w:rPr>
      </w:r>
      <w:r>
        <w:rPr>
          <w:rFonts w:ascii="Segoe UI" w:hAnsi="Segoe UI"/>
          <w:b/>
          <w:color w:val="1E293B"/>
          <w:sz w:val="19"/>
        </w:rPr>
        <w:t>Product Needs:</w:t>
      </w:r>
      <w:r>
        <w:rPr>
          <w:rFonts w:ascii="Segoe UI" w:hAnsi="Segoe UI"/>
          <w:color w:val="1E293B"/>
          <w:sz w:val="19"/>
        </w:rPr>
        <w:t xml:space="preserve"> Keyboard-driven invoice creation (`Ctrl+Enter` to post), automated OCR line-item matching, bulk bill payments, clear tax rate selectors.</w:t>
      </w:r>
    </w:p>
    <w:p>
      <w:pPr>
        <w:keepNext/>
        <w:spacing w:before="240" w:after="80"/>
      </w:pPr>
      <w:r>
        <w:rPr>
          <w:rFonts w:ascii="Segoe UI" w:hAnsi="Segoe UI"/>
          <w:b/>
          <w:color w:val="FF7F6C"/>
          <w:sz w:val="24"/>
        </w:rPr>
        <w:t>2.4 Persona 4: David Chen — Platform Engineer &amp; API Integrator</w:t>
      </w:r>
    </w:p>
    <w:p>
      <w:pPr>
        <w:pStyle w:val="ListBullet"/>
        <w:spacing w:before="0" w:after="40"/>
      </w:pPr>
      <w:r>
        <w:rPr>
          <w:rFonts w:ascii="Segoe UI" w:hAnsi="Segoe UI"/>
          <w:color w:val="1E293B"/>
          <w:sz w:val="19"/>
        </w:rPr>
      </w:r>
      <w:r>
        <w:rPr>
          <w:rFonts w:ascii="Segoe UI" w:hAnsi="Segoe UI"/>
          <w:b/>
          <w:color w:val="1E293B"/>
          <w:sz w:val="19"/>
        </w:rPr>
        <w:t>Demographics:</w:t>
      </w:r>
      <w:r>
        <w:rPr>
          <w:rFonts w:ascii="Segoe UI" w:hAnsi="Segoe UI"/>
          <w:color w:val="1E293B"/>
          <w:sz w:val="19"/>
        </w:rPr>
        <w:t xml:space="preserve"> Age 31, Lead Backend Engineer at an e-commerce platform integrating blynt for billing automation.</w:t>
      </w:r>
    </w:p>
    <w:p>
      <w:pPr>
        <w:pStyle w:val="ListBullet"/>
        <w:spacing w:before="0" w:after="40"/>
      </w:pPr>
      <w:r>
        <w:rPr>
          <w:rFonts w:ascii="Segoe UI" w:hAnsi="Segoe UI"/>
          <w:color w:val="1E293B"/>
          <w:sz w:val="19"/>
        </w:rPr>
      </w:r>
      <w:r>
        <w:rPr>
          <w:rFonts w:ascii="Segoe UI" w:hAnsi="Segoe UI"/>
          <w:b/>
          <w:color w:val="1E293B"/>
          <w:sz w:val="19"/>
        </w:rPr>
        <w:t>Core Goals:</w:t>
      </w:r>
      <w:r>
        <w:rPr>
          <w:rFonts w:ascii="Segoe UI" w:hAnsi="Segoe UI"/>
          <w:color w:val="1E293B"/>
          <w:sz w:val="19"/>
        </w:rPr>
        <w:t xml:space="preserve"> Programmatic invoice generation, reliable webhook event ingestion, sandbox environment testing, automated payout reconciliation.</w:t>
      </w:r>
    </w:p>
    <w:p>
      <w:pPr>
        <w:pStyle w:val="ListBullet"/>
        <w:spacing w:before="0" w:after="40"/>
      </w:pPr>
      <w:r>
        <w:rPr>
          <w:rFonts w:ascii="Segoe UI" w:hAnsi="Segoe UI"/>
          <w:color w:val="1E293B"/>
          <w:sz w:val="19"/>
        </w:rPr>
      </w:r>
      <w:r>
        <w:rPr>
          <w:rFonts w:ascii="Segoe UI" w:hAnsi="Segoe UI"/>
          <w:b/>
          <w:color w:val="1E293B"/>
          <w:sz w:val="19"/>
        </w:rPr>
        <w:t>Key Pain Points:</w:t>
      </w:r>
      <w:r>
        <w:rPr>
          <w:rFonts w:ascii="Segoe UI" w:hAnsi="Segoe UI"/>
          <w:color w:val="1E293B"/>
          <w:sz w:val="19"/>
        </w:rPr>
        <w:t xml:space="preserve"> Poorly documented APIs; lack of idempotency leading to duplicate billing; vague HTTP 500 error messages.</w:t>
      </w:r>
    </w:p>
    <w:p>
      <w:pPr>
        <w:pStyle w:val="ListBullet"/>
        <w:spacing w:before="0" w:after="40"/>
      </w:pPr>
      <w:r>
        <w:rPr>
          <w:rFonts w:ascii="Segoe UI" w:hAnsi="Segoe UI"/>
          <w:color w:val="1E293B"/>
          <w:sz w:val="19"/>
        </w:rPr>
      </w:r>
      <w:r>
        <w:rPr>
          <w:rFonts w:ascii="Segoe UI" w:hAnsi="Segoe UI"/>
          <w:b/>
          <w:color w:val="1E293B"/>
          <w:sz w:val="19"/>
        </w:rPr>
        <w:t>Product Needs:</w:t>
      </w:r>
      <w:r>
        <w:rPr>
          <w:rFonts w:ascii="Segoe UI" w:hAnsi="Segoe UI"/>
          <w:color w:val="1E293B"/>
          <w:sz w:val="19"/>
        </w:rPr>
        <w:t xml:space="preserve"> OpenAPI/Swagger interactive docs, `Idempotency-Key` request support, sandbox test tenants, real-time webhook payload verification.</w:t>
      </w:r>
    </w:p>
    <w:p>
      <w:pPr>
        <w:keepNext/>
        <w:spacing w:before="240" w:after="80"/>
      </w:pPr>
      <w:r>
        <w:rPr>
          <w:rFonts w:ascii="Segoe UI" w:hAnsi="Segoe UI"/>
          <w:b/>
          <w:color w:val="FF7F6C"/>
          <w:sz w:val="24"/>
        </w:rPr>
        <w:t>2.5 Persona 5: Rachel Adams — External HMRC Auditor &amp; Chartered Accountant</w:t>
      </w:r>
    </w:p>
    <w:p>
      <w:pPr>
        <w:pStyle w:val="ListBullet"/>
        <w:spacing w:before="0" w:after="40"/>
      </w:pPr>
      <w:r>
        <w:rPr>
          <w:rFonts w:ascii="Segoe UI" w:hAnsi="Segoe UI"/>
          <w:color w:val="1E293B"/>
          <w:sz w:val="19"/>
        </w:rPr>
      </w:r>
      <w:r>
        <w:rPr>
          <w:rFonts w:ascii="Segoe UI" w:hAnsi="Segoe UI"/>
          <w:b/>
          <w:color w:val="1E293B"/>
          <w:sz w:val="19"/>
        </w:rPr>
        <w:t>Demographics:</w:t>
      </w:r>
      <w:r>
        <w:rPr>
          <w:rFonts w:ascii="Segoe UI" w:hAnsi="Segoe UI"/>
          <w:color w:val="1E293B"/>
          <w:sz w:val="19"/>
        </w:rPr>
        <w:t xml:space="preserve"> Age 48, Senior Partner at an audit practice, conducts annual statutory financial audits.</w:t>
      </w:r>
    </w:p>
    <w:p>
      <w:pPr>
        <w:pStyle w:val="ListBullet"/>
        <w:spacing w:before="0" w:after="40"/>
      </w:pPr>
      <w:r>
        <w:rPr>
          <w:rFonts w:ascii="Segoe UI" w:hAnsi="Segoe UI"/>
          <w:color w:val="1E293B"/>
          <w:sz w:val="19"/>
        </w:rPr>
      </w:r>
      <w:r>
        <w:rPr>
          <w:rFonts w:ascii="Segoe UI" w:hAnsi="Segoe UI"/>
          <w:b/>
          <w:color w:val="1E293B"/>
          <w:sz w:val="19"/>
        </w:rPr>
        <w:t>Core Goals:</w:t>
      </w:r>
      <w:r>
        <w:rPr>
          <w:rFonts w:ascii="Segoe UI" w:hAnsi="Segoe UI"/>
          <w:color w:val="1E293B"/>
          <w:sz w:val="19"/>
        </w:rPr>
        <w:t xml:space="preserve"> Independent sampling verification, verifying that posted entries cannot be silently deleted, validating VAT return calculations against HMRC guidelines.</w:t>
      </w:r>
    </w:p>
    <w:p>
      <w:pPr>
        <w:pStyle w:val="ListBullet"/>
        <w:spacing w:before="0" w:after="40"/>
      </w:pPr>
      <w:r>
        <w:rPr>
          <w:rFonts w:ascii="Segoe UI" w:hAnsi="Segoe UI"/>
          <w:color w:val="1E293B"/>
          <w:sz w:val="19"/>
        </w:rPr>
      </w:r>
      <w:r>
        <w:rPr>
          <w:rFonts w:ascii="Segoe UI" w:hAnsi="Segoe UI"/>
          <w:b/>
          <w:color w:val="1E293B"/>
          <w:sz w:val="19"/>
        </w:rPr>
        <w:t>Key Pain Points:</w:t>
      </w:r>
      <w:r>
        <w:rPr>
          <w:rFonts w:ascii="Segoe UI" w:hAnsi="Segoe UI"/>
          <w:color w:val="1E293B"/>
          <w:sz w:val="19"/>
        </w:rPr>
        <w:t xml:space="preserve"> Opaque accounting databases with no change-log history; tampered invoice records; missing digital links in MTD chains.</w:t>
      </w:r>
    </w:p>
    <w:p>
      <w:pPr>
        <w:pStyle w:val="ListBullet"/>
        <w:spacing w:before="0" w:after="40"/>
      </w:pPr>
      <w:r>
        <w:rPr>
          <w:rFonts w:ascii="Segoe UI" w:hAnsi="Segoe UI"/>
          <w:color w:val="1E293B"/>
          <w:sz w:val="19"/>
        </w:rPr>
      </w:r>
      <w:r>
        <w:rPr>
          <w:rFonts w:ascii="Segoe UI" w:hAnsi="Segoe UI"/>
          <w:b/>
          <w:color w:val="1E293B"/>
          <w:sz w:val="19"/>
        </w:rPr>
        <w:t>Product Needs:</w:t>
      </w:r>
      <w:r>
        <w:rPr>
          <w:rFonts w:ascii="Segoe UI" w:hAnsi="Segoe UI"/>
          <w:color w:val="1E293B"/>
          <w:sz w:val="19"/>
        </w:rPr>
        <w:t xml:space="preserve"> Read-only auditor tenant access, WORM-compliant SHA-256 tamper-evident export packs, digital link audit lineage reports.</w:t>
      </w:r>
    </w:p>
    <w:p>
      <w:pPr>
        <w:keepNext/>
        <w:spacing w:before="240" w:after="80"/>
      </w:pPr>
      <w:r>
        <w:rPr>
          <w:rFonts w:ascii="Segoe UI" w:hAnsi="Segoe UI"/>
          <w:b/>
          <w:color w:val="FF7F6C"/>
          <w:sz w:val="24"/>
        </w:rPr>
        <w:t>2.6 End-to-End Customer Journey Map</w:t>
      </w:r>
    </w:p>
    <w:p>
      <w:pPr>
        <w:spacing w:before="0" w:after="100"/>
      </w:pPr>
      <w:r>
        <w:rPr>
          <w:rFonts w:ascii="Segoe UI" w:hAnsi="Segoe UI"/>
          <w:color w:val="1E293B"/>
          <w:sz w:val="19"/>
        </w:rPr>
        <w:t>The following table maps the standard end-to-end customer journey from initial tenant onboarding to annual audit completion:</w:t>
      </w:r>
    </w:p>
    <w:tbl>
      <w:tblPr>
        <w:tblW w:type="auto" w:w="0"/>
        <w:jc w:val="center"/>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before="0" w:after="0"/>
            </w:pPr>
            <w:r>
              <w:rPr>
                <w:rFonts w:ascii="Consolas" w:hAnsi="Consolas"/>
                <w:color w:val="1E293B"/>
                <w:sz w:val="17"/>
              </w:rPr>
              <w:t>+----------------------------------------------------------------------------------------------------------------------------+</w:t>
              <w:br/>
              <w:t>|                                          BLYNT END-TO-END CUSTOMER JOURNEY MAP                                             |</w:t>
              <w:br/>
              <w:t>+-------------------+-----------------------------+-------------------------------+------------------------------------------+</w:t>
              <w:br/>
              <w:t>| Journey Stage     | Primary Actor               | Key Activities                | Critical Product Touchpoints / Features  |</w:t>
              <w:br/>
              <w:t>+-------------------+-----------------------------+-------------------------------+------------------------------------------+</w:t>
              <w:br/>
              <w:t>| 1. Onboarding     | CFO &amp; Controller            | Company creation, Chart of    | Tenant Provisioning Wizard, COA Template |</w:t>
              <w:br/>
              <w:t>|    &amp; Setup        |                             | Accounts selection, VAT setup | Selector, User Role Invitation Guard     |</w:t>
              <w:br/>
              <w:t>+-------------------+-----------------------------+-------------------------------+------------------------------------------+</w:t>
              <w:br/>
              <w:t>| 2. Banking Feed   | Controller / Bookkeeper     | Open Banking OAuth connect,   | Bank Feed Connector, Transaction Stream, |</w:t>
              <w:br/>
              <w:t>|    Integration    |                             | historical feed synchronization| Bank Rule Builder Engine                 |</w:t>
              <w:br/>
              <w:t>+-------------------+-----------------------------+-------------------------------+------------------------------------------+</w:t>
              <w:br/>
              <w:t>| 3. Daily Ops      | Bookkeeper &amp; AP Specialist  | Sales invoice creation, bill  | Invoicing Engine, OCR Attachment Upload, |</w:t>
              <w:br/>
              <w:t>|    (AR / AP)      |                             | capture, payment receipting   | Customer Credit Note &amp; Ledger Sync       |</w:t>
              <w:br/>
              <w:t>+-------------------+-----------------------------+-------------------------------+------------------------------------------+</w:t>
              <w:br/>
              <w:t>| 4. Bank Recon     | Financial Controller        | 1-click matching, rule-based  | Reconciliation Workbench, Variance Alert,|</w:t>
              <w:br/>
              <w:t>|    &amp; Matching     |                             | clearing, manual adjustments  | Unmatched Transaction Basket             |</w:t>
              <w:br/>
              <w:t>+-------------------+-----------------------------+-------------------------------+------------------------------------------+</w:t>
              <w:br/>
              <w:t>| 5. Period Close   | CFO &amp; Financial Controller  | Depreciation, prepayments,    | Period Close Checklist, Hard Date Lock,  |</w:t>
              <w:br/>
              <w:t>|    &amp; Reporting    |                             | subledger reconciliation, P&amp;L | Real-Time Trial Balance, Board Pack PDF  |</w:t>
              <w:br/>
              <w:t>+-------------------+-----------------------------+-------------------------------+------------------------------------------+</w:t>
              <w:br/>
              <w:t>| 6. HMRC Filing    | CFO &amp; External Auditor      | MTD VAT Box 1-9 generation,   | HMRC MTD Gateway, Gov-Client Header Sync,|</w:t>
              <w:br/>
              <w:t>|    &amp; Compliance   |                             | digital signature, submission | Immutable Cryptographic Audit Log Export |</w:t>
              <w:br/>
              <w:t>+-------------------+-----------------------------+-------------------------------+------------------------------------------+</w:t>
            </w:r>
          </w:p>
        </w:tc>
      </w:tr>
    </w:tbl>
    <w:p>
      <w:pPr>
        <w:spacing w:after="80"/>
      </w:pPr>
    </w:p>
    <w:p>
      <w:pPr>
        <w:spacing w:before="0" w:after="100"/>
      </w:pPr>
      <w:r>
        <w:rPr>
          <w:rFonts w:ascii="Segoe UI" w:hAnsi="Segoe UI"/>
          <w:color w:val="1E293B"/>
          <w:sz w:val="19"/>
        </w:rPr>
        <w:t>---</w:t>
      </w:r>
    </w:p>
    <w:p>
      <w:pPr>
        <w:keepNext/>
        <w:spacing w:before="320" w:after="120"/>
      </w:pPr>
      <w:r>
        <w:rPr>
          <w:rFonts w:ascii="Segoe UI" w:hAnsi="Segoe UI"/>
          <w:b/>
          <w:color w:val="162D5F"/>
          <w:sz w:val="30"/>
        </w:rPr>
        <w:t>3. Product Requirements Document (PRD) Standards &amp; Template</w:t>
      </w:r>
    </w:p>
    <w:p>
      <w:pPr>
        <w:spacing w:before="0" w:after="100"/>
      </w:pPr>
      <w:r>
        <w:rPr>
          <w:rFonts w:ascii="Segoe UI" w:hAnsi="Segoe UI"/>
          <w:color w:val="1E293B"/>
          <w:sz w:val="19"/>
        </w:rPr>
        <w:t>To maintain world-class engineering execution, every feature initiated by a Product Manager must follow the standard blynt PRD framework before entering sprint planning.</w:t>
      </w:r>
    </w:p>
    <w:p>
      <w:pPr>
        <w:keepNext/>
        <w:spacing w:before="240" w:after="80"/>
      </w:pPr>
      <w:r>
        <w:rPr>
          <w:rFonts w:ascii="Segoe UI" w:hAnsi="Segoe UI"/>
          <w:b/>
          <w:color w:val="FF7F6C"/>
          <w:sz w:val="24"/>
        </w:rPr>
        <w:t>3.1 Standard PRD Structure</w:t>
      </w:r>
    </w:p>
    <w:p>
      <w:pPr>
        <w:spacing w:before="0" w:after="100"/>
      </w:pPr>
      <w:r>
        <w:rPr>
          <w:rFonts w:ascii="Segoe UI" w:hAnsi="Segoe UI"/>
          <w:color w:val="1E293B"/>
          <w:sz w:val="19"/>
        </w:rPr>
        <w:t>A compliant blynt PRD must contain the following eight mandatory sections:</w:t>
      </w:r>
    </w:p>
    <w:p>
      <w:pPr>
        <w:spacing w:before="0" w:after="100"/>
      </w:pPr>
      <w:r>
        <w:rPr>
          <w:rFonts w:ascii="Segoe UI" w:hAnsi="Segoe UI"/>
          <w:color w:val="1E293B"/>
          <w:sz w:val="19"/>
        </w:rPr>
        <w:t xml:space="preserve">1. </w:t>
      </w:r>
      <w:r>
        <w:rPr>
          <w:rFonts w:ascii="Segoe UI" w:hAnsi="Segoe UI"/>
          <w:b/>
          <w:color w:val="1E293B"/>
          <w:sz w:val="19"/>
        </w:rPr>
        <w:t>Executive Summary &amp; Problem Statement</w:t>
      </w:r>
      <w:r>
        <w:rPr>
          <w:rFonts w:ascii="Segoe UI" w:hAnsi="Segoe UI"/>
          <w:color w:val="1E293B"/>
          <w:sz w:val="19"/>
        </w:rPr>
        <w:t>: Clear explanation of the customer problem, quantitative evidence (support tickets, churn risk), and strategic alignment.</w:t>
      </w:r>
    </w:p>
    <w:p>
      <w:pPr>
        <w:spacing w:before="0" w:after="100"/>
      </w:pPr>
      <w:r>
        <w:rPr>
          <w:rFonts w:ascii="Segoe UI" w:hAnsi="Segoe UI"/>
          <w:color w:val="1E293B"/>
          <w:sz w:val="19"/>
        </w:rPr>
        <w:t xml:space="preserve">2. </w:t>
      </w:r>
      <w:r>
        <w:rPr>
          <w:rFonts w:ascii="Segoe UI" w:hAnsi="Segoe UI"/>
          <w:b/>
          <w:color w:val="1E293B"/>
          <w:sz w:val="19"/>
        </w:rPr>
        <w:t>Success Metrics (Leading &amp; Lagging)</w:t>
      </w:r>
      <w:r>
        <w:rPr>
          <w:rFonts w:ascii="Segoe UI" w:hAnsi="Segoe UI"/>
          <w:color w:val="1E293B"/>
          <w:sz w:val="19"/>
        </w:rPr>
        <w:t>: Quantitative criteria measuring whether the feature solved the targeted problem.</w:t>
      </w:r>
    </w:p>
    <w:p>
      <w:pPr>
        <w:spacing w:before="0" w:after="100"/>
      </w:pPr>
      <w:r>
        <w:rPr>
          <w:rFonts w:ascii="Segoe UI" w:hAnsi="Segoe UI"/>
          <w:color w:val="1E293B"/>
          <w:sz w:val="19"/>
        </w:rPr>
        <w:t xml:space="preserve">3. </w:t>
      </w:r>
      <w:r>
        <w:rPr>
          <w:rFonts w:ascii="Segoe UI" w:hAnsi="Segoe UI"/>
          <w:b/>
          <w:color w:val="1E293B"/>
          <w:sz w:val="19"/>
        </w:rPr>
        <w:t>User Personas &amp; Use Case Scenarios</w:t>
      </w:r>
      <w:r>
        <w:rPr>
          <w:rFonts w:ascii="Segoe UI" w:hAnsi="Segoe UI"/>
          <w:color w:val="1E293B"/>
          <w:sz w:val="19"/>
        </w:rPr>
        <w:t>: Explicit identification of who benefits and their specific situational context.</w:t>
      </w:r>
    </w:p>
    <w:p>
      <w:pPr>
        <w:spacing w:before="0" w:after="100"/>
      </w:pPr>
      <w:r>
        <w:rPr>
          <w:rFonts w:ascii="Segoe UI" w:hAnsi="Segoe UI"/>
          <w:color w:val="1E293B"/>
          <w:sz w:val="19"/>
        </w:rPr>
        <w:t xml:space="preserve">4. </w:t>
      </w:r>
      <w:r>
        <w:rPr>
          <w:rFonts w:ascii="Segoe UI" w:hAnsi="Segoe UI"/>
          <w:b/>
          <w:color w:val="1E293B"/>
          <w:sz w:val="19"/>
        </w:rPr>
        <w:t>Scope Boundaries</w:t>
      </w:r>
      <w:r>
        <w:rPr>
          <w:rFonts w:ascii="Segoe UI" w:hAnsi="Segoe UI"/>
          <w:color w:val="1E293B"/>
          <w:sz w:val="19"/>
        </w:rPr>
        <w:t xml:space="preserve">: Explicit enumeration of what is strictly </w:t>
      </w:r>
      <w:r>
        <w:rPr>
          <w:rFonts w:ascii="Segoe UI" w:hAnsi="Segoe UI"/>
          <w:b/>
          <w:color w:val="1E293B"/>
          <w:sz w:val="19"/>
        </w:rPr>
        <w:t>In-Scope</w:t>
      </w:r>
      <w:r>
        <w:rPr>
          <w:rFonts w:ascii="Segoe UI" w:hAnsi="Segoe UI"/>
          <w:color w:val="1E293B"/>
          <w:sz w:val="19"/>
        </w:rPr>
        <w:t xml:space="preserve"> versus </w:t>
      </w:r>
      <w:r>
        <w:rPr>
          <w:rFonts w:ascii="Segoe UI" w:hAnsi="Segoe UI"/>
          <w:b/>
          <w:color w:val="1E293B"/>
          <w:sz w:val="19"/>
        </w:rPr>
        <w:t>Out-of-Scope</w:t>
      </w:r>
      <w:r>
        <w:rPr>
          <w:rFonts w:ascii="Segoe UI" w:hAnsi="Segoe UI"/>
          <w:color w:val="1E293B"/>
          <w:sz w:val="19"/>
        </w:rPr>
        <w:t xml:space="preserve"> for V1.</w:t>
      </w:r>
    </w:p>
    <w:p>
      <w:pPr>
        <w:spacing w:before="0" w:after="100"/>
      </w:pPr>
      <w:r>
        <w:rPr>
          <w:rFonts w:ascii="Segoe UI" w:hAnsi="Segoe UI"/>
          <w:color w:val="1E293B"/>
          <w:sz w:val="19"/>
        </w:rPr>
        <w:t xml:space="preserve">5. </w:t>
      </w:r>
      <w:r>
        <w:rPr>
          <w:rFonts w:ascii="Segoe UI" w:hAnsi="Segoe UI"/>
          <w:b/>
          <w:color w:val="1E293B"/>
          <w:sz w:val="19"/>
        </w:rPr>
        <w:t>Detailed Functional Specifications</w:t>
      </w:r>
      <w:r>
        <w:rPr>
          <w:rFonts w:ascii="Segoe UI" w:hAnsi="Segoe UI"/>
          <w:color w:val="1E293B"/>
          <w:sz w:val="19"/>
        </w:rPr>
        <w:t>: Exhaustive workflow requirements, UI mockups, business logic, and field validations.</w:t>
      </w:r>
    </w:p>
    <w:p>
      <w:pPr>
        <w:spacing w:before="0" w:after="100"/>
      </w:pPr>
      <w:r>
        <w:rPr>
          <w:rFonts w:ascii="Segoe UI" w:hAnsi="Segoe UI"/>
          <w:color w:val="1E293B"/>
          <w:sz w:val="19"/>
        </w:rPr>
        <w:t xml:space="preserve">6. </w:t>
      </w:r>
      <w:r>
        <w:rPr>
          <w:rFonts w:ascii="Segoe UI" w:hAnsi="Segoe UI"/>
          <w:b/>
          <w:color w:val="1E293B"/>
          <w:sz w:val="19"/>
        </w:rPr>
        <w:t>User Stories &amp; Acceptance Criteria</w:t>
      </w:r>
      <w:r>
        <w:rPr>
          <w:rFonts w:ascii="Segoe UI" w:hAnsi="Segoe UI"/>
          <w:color w:val="1E293B"/>
          <w:sz w:val="19"/>
        </w:rPr>
        <w:t>: Formatted strictly in Gherkin syntax (`Given-When-Then`).</w:t>
      </w:r>
    </w:p>
    <w:p>
      <w:pPr>
        <w:spacing w:before="0" w:after="100"/>
      </w:pPr>
      <w:r>
        <w:rPr>
          <w:rFonts w:ascii="Segoe UI" w:hAnsi="Segoe UI"/>
          <w:color w:val="1E293B"/>
          <w:sz w:val="19"/>
        </w:rPr>
        <w:t xml:space="preserve">7. </w:t>
      </w:r>
      <w:r>
        <w:rPr>
          <w:rFonts w:ascii="Segoe UI" w:hAnsi="Segoe UI"/>
          <w:b/>
          <w:color w:val="1E293B"/>
          <w:sz w:val="19"/>
        </w:rPr>
        <w:t>Non-Functional Requirements (NFRs)</w:t>
      </w:r>
      <w:r>
        <w:rPr>
          <w:rFonts w:ascii="Segoe UI" w:hAnsi="Segoe UI"/>
          <w:color w:val="1E293B"/>
          <w:sz w:val="19"/>
        </w:rPr>
        <w:t>: Performance SLAs, security controls, audit logging, and data retention rules.</w:t>
      </w:r>
    </w:p>
    <w:p>
      <w:pPr>
        <w:spacing w:before="0" w:after="100"/>
      </w:pPr>
      <w:r>
        <w:rPr>
          <w:rFonts w:ascii="Segoe UI" w:hAnsi="Segoe UI"/>
          <w:color w:val="1E293B"/>
          <w:sz w:val="19"/>
        </w:rPr>
        <w:t xml:space="preserve">8. </w:t>
      </w:r>
      <w:r>
        <w:rPr>
          <w:rFonts w:ascii="Segoe UI" w:hAnsi="Segoe UI"/>
          <w:b/>
          <w:color w:val="1E293B"/>
          <w:sz w:val="19"/>
        </w:rPr>
        <w:t>Dependencies &amp; Open Questions</w:t>
      </w:r>
      <w:r>
        <w:rPr>
          <w:rFonts w:ascii="Segoe UI" w:hAnsi="Segoe UI"/>
          <w:color w:val="1E293B"/>
          <w:sz w:val="19"/>
        </w:rPr>
        <w:t>: Cross-functional team dependencies, third-party vendor APIs, and unresolved design decisions.</w:t>
      </w:r>
    </w:p>
    <w:p>
      <w:pPr>
        <w:keepNext/>
        <w:spacing w:before="240" w:after="80"/>
      </w:pPr>
      <w:r>
        <w:rPr>
          <w:rFonts w:ascii="Segoe UI" w:hAnsi="Segoe UI"/>
          <w:b/>
          <w:color w:val="FF7F6C"/>
          <w:sz w:val="24"/>
        </w:rPr>
        <w:t>3.2 Formal User Story Specification with Gherkin Syntax</w:t>
      </w:r>
    </w:p>
    <w:p>
      <w:pPr>
        <w:spacing w:before="0" w:after="100"/>
      </w:pPr>
      <w:r>
        <w:rPr>
          <w:rFonts w:ascii="Segoe UI" w:hAnsi="Segoe UI"/>
          <w:color w:val="1E293B"/>
          <w:sz w:val="19"/>
        </w:rPr>
        <w:t>All functional acceptance criteria must be documented using executable Gherkin syntax to ensure seamless translation into automated Playwright and Jest test suites.</w:t>
      </w:r>
    </w:p>
    <w:p>
      <w:pPr>
        <w:keepNext/>
        <w:spacing w:before="160" w:after="60"/>
      </w:pPr>
      <w:r>
        <w:rPr>
          <w:rFonts w:ascii="Segoe UI" w:hAnsi="Segoe UI"/>
          <w:b/>
          <w:color w:val="162D5F"/>
          <w:sz w:val="21"/>
        </w:rPr>
        <w:t>Example PRD Feature: Automated Bank Rule Matching Engine</w:t>
      </w:r>
    </w:p>
    <w:tbl>
      <w:tblPr>
        <w:tblW w:type="auto" w:w="0"/>
        <w:jc w:val="center"/>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before="0" w:after="0"/>
            </w:pPr>
            <w:r>
              <w:rPr>
                <w:rFonts w:ascii="Consolas" w:hAnsi="Consolas"/>
                <w:color w:val="1E293B"/>
                <w:sz w:val="17"/>
              </w:rPr>
              <w:t>Feature: Automated Rule-Based Bank Transaction Matching</w:t>
              <w:br/>
              <w:t xml:space="preserve">  As a Financial Controller (Marcus)</w:t>
              <w:br/>
              <w:t xml:space="preserve">  I want the system to automatically match bank feed transactions against configured rules</w:t>
              <w:br/>
              <w:t xml:space="preserve">  So that I can reduce manual reconciliation overhead by at least 80%.</w:t>
              <w:br/>
              <w:br/>
              <w:t xml:space="preserve">  Scenario: Exact Match on Payee and Amount creates Draft Journal Entry</w:t>
              <w:br/>
              <w:t xml:space="preserve">    Given an active tenant with bank account "1200 - Barclays Operating"</w:t>
              <w:br/>
              <w:t xml:space="preserve">    And a pre-existing Bank Rule matching Payee "Amazon Web Services" to Account "7400 - Software Subscriptions"</w:t>
              <w:br/>
              <w:t xml:space="preserve">    When a bank transaction arrives with:</w:t>
              <w:br/>
              <w:t xml:space="preserve">      | Field       | Value                  |</w:t>
              <w:br/>
              <w:t xml:space="preserve">      | Date        | 2026-10-12             |</w:t>
              <w:br/>
              <w:t xml:space="preserve">      | Description | AWS EMEA SARL          |</w:t>
              <w:br/>
              <w:t xml:space="preserve">      | Amount      | -1420.50               |</w:t>
              <w:br/>
              <w:t xml:space="preserve">    Then the system identifies an exact rule match</w:t>
              <w:br/>
              <w:t xml:space="preserve">    And automatically creates a Draft Journal Entry:</w:t>
              <w:br/>
              <w:t xml:space="preserve">      | Line | Account                        | Debit   | Credit  | Tax Code |</w:t>
              <w:br/>
              <w:t xml:space="preserve">      | 1    | 7400 - Software Subscriptions  | 1183.75 | 0.00    | Standard |</w:t>
              <w:br/>
              <w:t xml:space="preserve">      | 2    | 2200 - Input VAT               | 236.75  | 0.00    | Standard |</w:t>
              <w:br/>
              <w:t xml:space="preserve">      | 3    | 1200 - Barclays Operating      | 0.00    | 1420.50 | Zero     |</w:t>
              <w:br/>
              <w:t xml:space="preserve">    And marks the bank feed line status as "Rule Matched (Pending Confirmation)"</w:t>
              <w:br/>
              <w:t xml:space="preserve">    And logs an audit event with metadata "RULE_ENGINE_V1_APPLIED".</w:t>
              <w:br/>
              <w:br/>
              <w:t xml:space="preserve">  Scenario: Prevent Auto-Posting when Invariant Fails</w:t>
              <w:br/>
              <w:t xml:space="preserve">    Given a malfunctioning custom rule resulting in Debit 100.00 and Credit 90.00</w:t>
              <w:br/>
              <w:t xml:space="preserve">    When the rule engine attempts to generate the journal entry</w:t>
              <w:br/>
              <w:t xml:space="preserve">    Then the transaction is rejected by the Double-Entry Invariant Guard</w:t>
              <w:br/>
              <w:t xml:space="preserve">    And the bank transaction is marked as "Exception - Invariant Error"</w:t>
              <w:br/>
              <w:t xml:space="preserve">    And an alert is dispatched to the tenant controller without committing partial state.</w:t>
            </w:r>
          </w:p>
        </w:tc>
      </w:tr>
    </w:tbl>
    <w:p>
      <w:pPr>
        <w:spacing w:after="80"/>
      </w:pPr>
    </w:p>
    <w:p>
      <w:pPr>
        <w:keepNext/>
        <w:spacing w:before="240" w:after="80"/>
      </w:pPr>
      <w:r>
        <w:rPr>
          <w:rFonts w:ascii="Segoe UI" w:hAnsi="Segoe UI"/>
          <w:b/>
          <w:color w:val="FF7F6C"/>
          <w:sz w:val="24"/>
        </w:rPr>
        <w:t>3.3 Non-Functional Requirements (NFR) Baseline</w:t>
      </w:r>
    </w:p>
    <w:p>
      <w:pPr>
        <w:spacing w:before="0" w:after="100"/>
      </w:pPr>
      <w:r>
        <w:rPr>
          <w:rFonts w:ascii="Segoe UI" w:hAnsi="Segoe UI"/>
          <w:color w:val="1E293B"/>
          <w:sz w:val="19"/>
        </w:rPr>
        <w:t>All PRDs must commit to the following universal non-functional standards:</w:t>
      </w:r>
    </w:p>
    <w:p>
      <w:pPr>
        <w:pStyle w:val="ListBullet"/>
        <w:spacing w:before="0" w:after="40"/>
      </w:pPr>
      <w:r>
        <w:rPr>
          <w:rFonts w:ascii="Segoe UI" w:hAnsi="Segoe UI"/>
          <w:color w:val="1E293B"/>
          <w:sz w:val="19"/>
        </w:rPr>
      </w:r>
      <w:r>
        <w:rPr>
          <w:rFonts w:ascii="Segoe UI" w:hAnsi="Segoe UI"/>
          <w:b/>
          <w:color w:val="1E293B"/>
          <w:sz w:val="19"/>
        </w:rPr>
        <w:t>API Latency SLA:</w:t>
      </w:r>
      <w:r>
        <w:rPr>
          <w:rFonts w:ascii="Segoe UI" w:hAnsi="Segoe UI"/>
          <w:color w:val="1E293B"/>
          <w:sz w:val="19"/>
        </w:rPr>
        <w:t xml:space="preserve"> p95 latency $\le 250\text{ms}$ for read requests; p99 latency $\le 500\text{ms}$ for transactional mutations.</w:t>
      </w:r>
    </w:p>
    <w:p>
      <w:pPr>
        <w:pStyle w:val="ListBullet"/>
        <w:spacing w:before="0" w:after="40"/>
      </w:pPr>
      <w:r>
        <w:rPr>
          <w:rFonts w:ascii="Segoe UI" w:hAnsi="Segoe UI"/>
          <w:color w:val="1E293B"/>
          <w:sz w:val="19"/>
        </w:rPr>
      </w:r>
      <w:r>
        <w:rPr>
          <w:rFonts w:ascii="Segoe UI" w:hAnsi="Segoe UI"/>
          <w:b/>
          <w:color w:val="1E293B"/>
          <w:sz w:val="19"/>
        </w:rPr>
        <w:t>Audit Lineage:</w:t>
      </w:r>
      <w:r>
        <w:rPr>
          <w:rFonts w:ascii="Segoe UI" w:hAnsi="Segoe UI"/>
          <w:color w:val="1E293B"/>
          <w:sz w:val="19"/>
        </w:rPr>
        <w:t xml:space="preserve"> 100% of mutations must write an immutable audit log entry including `actor_user_id`, `tenant_id`, `ip_address`, and `state_diff`.</w:t>
      </w:r>
    </w:p>
    <w:p>
      <w:pPr>
        <w:pStyle w:val="ListBullet"/>
        <w:spacing w:before="0" w:after="40"/>
      </w:pPr>
      <w:r>
        <w:rPr>
          <w:rFonts w:ascii="Segoe UI" w:hAnsi="Segoe UI"/>
          <w:color w:val="1E293B"/>
          <w:sz w:val="19"/>
        </w:rPr>
      </w:r>
      <w:r>
        <w:rPr>
          <w:rFonts w:ascii="Segoe UI" w:hAnsi="Segoe UI"/>
          <w:b/>
          <w:color w:val="1E293B"/>
          <w:sz w:val="19"/>
        </w:rPr>
        <w:t>Browser Compatibility:</w:t>
      </w:r>
      <w:r>
        <w:rPr>
          <w:rFonts w:ascii="Segoe UI" w:hAnsi="Segoe UI"/>
          <w:color w:val="1E293B"/>
          <w:sz w:val="19"/>
        </w:rPr>
        <w:t xml:space="preserve"> Zero rendering anomalies on modern evergreen browsers (Chrome, Edge, Safari, Firefox).</w:t>
      </w:r>
    </w:p>
    <w:p>
      <w:pPr>
        <w:pStyle w:val="ListBullet"/>
        <w:spacing w:before="0" w:after="40"/>
      </w:pPr>
      <w:r>
        <w:rPr>
          <w:rFonts w:ascii="Segoe UI" w:hAnsi="Segoe UI"/>
          <w:color w:val="1E293B"/>
          <w:sz w:val="19"/>
        </w:rPr>
      </w:r>
      <w:r>
        <w:rPr>
          <w:rFonts w:ascii="Segoe UI" w:hAnsi="Segoe UI"/>
          <w:b/>
          <w:color w:val="1E293B"/>
          <w:sz w:val="19"/>
        </w:rPr>
        <w:t>Zero Data Loss:</w:t>
      </w:r>
      <w:r>
        <w:rPr>
          <w:rFonts w:ascii="Segoe UI" w:hAnsi="Segoe UI"/>
          <w:color w:val="1E293B"/>
          <w:sz w:val="19"/>
        </w:rPr>
        <w:t xml:space="preserve"> All financial writes must commit to ACID-compliant PostgreSQL storage with synchronous replication.</w:t>
      </w:r>
    </w:p>
    <w:p>
      <w:pPr>
        <w:keepNext/>
        <w:spacing w:before="240" w:after="80"/>
      </w:pPr>
      <w:r>
        <w:rPr>
          <w:rFonts w:ascii="Segoe UI" w:hAnsi="Segoe UI"/>
          <w:b/>
          <w:color w:val="FF7F6C"/>
          <w:sz w:val="24"/>
        </w:rPr>
        <w:t>3.4 Definition of Ready (DoR) Gate Checklist</w:t>
      </w:r>
    </w:p>
    <w:p>
      <w:pPr>
        <w:spacing w:before="0" w:after="100"/>
      </w:pPr>
      <w:r>
        <w:rPr>
          <w:rFonts w:ascii="Segoe UI" w:hAnsi="Segoe UI"/>
          <w:color w:val="1E293B"/>
          <w:sz w:val="19"/>
        </w:rPr>
        <w:t>Before any user story or epic can be scheduled for sprint delivery, it must satisfy 100% of the Definition of Ready criteria:</w:t>
      </w:r>
    </w:p>
    <w:tbl>
      <w:tblPr>
        <w:tblW w:type="auto" w:w="0"/>
        <w:jc w:val="center"/>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before="0" w:after="0"/>
            </w:pPr>
            <w:r>
              <w:rPr>
                <w:rFonts w:ascii="Consolas" w:hAnsi="Consolas"/>
                <w:color w:val="1E293B"/>
                <w:sz w:val="17"/>
              </w:rPr>
              <w:t>[ ] 1. Problem Statement validated with quantitative or qualitative customer data.</w:t>
              <w:br/>
              <w:t>[ ] 2. User Stories documented with complete Given-When-Then acceptance criteria.</w:t>
              <w:br/>
              <w:t>[ ] 3. High-fidelity Figma designs approved by UX Design Lead and compliant with blynt UI guidelines.</w:t>
              <w:br/>
              <w:t>[ ] 4. Technical Feasibility Review signed off by Engineering Tech Lead.</w:t>
              <w:br/>
              <w:t>[ ] 5. Accounting &amp; Compliance Review signed off by Financial SME / CPA.</w:t>
              <w:br/>
              <w:t>[ ] 6. Analytics &amp; Telemetry Tracking Plan specified with required event keys.</w:t>
              <w:br/>
              <w:t>[ ] 7. Out-of-scope boundaries explicitly stated to prevent scope creep.</w:t>
              <w:br/>
              <w:t>[ ] 8. Dependency mapping complete (third-party APIs, database migrations).</w:t>
            </w:r>
          </w:p>
        </w:tc>
      </w:tr>
    </w:tbl>
    <w:p>
      <w:pPr>
        <w:spacing w:after="80"/>
      </w:pPr>
    </w:p>
    <w:p>
      <w:pPr>
        <w:spacing w:before="0" w:after="100"/>
      </w:pPr>
      <w:r>
        <w:rPr>
          <w:rFonts w:ascii="Segoe UI" w:hAnsi="Segoe UI"/>
          <w:color w:val="1E293B"/>
          <w:sz w:val="19"/>
        </w:rPr>
        <w:t>---</w:t>
      </w:r>
    </w:p>
    <w:p>
      <w:pPr>
        <w:keepNext/>
        <w:spacing w:before="320" w:after="120"/>
      </w:pPr>
      <w:r>
        <w:rPr>
          <w:rFonts w:ascii="Segoe UI" w:hAnsi="Segoe UI"/>
          <w:b/>
          <w:color w:val="162D5F"/>
          <w:sz w:val="30"/>
        </w:rPr>
        <w:t>4. Feature Prioritization Framework &amp; Decision Governance</w:t>
      </w:r>
    </w:p>
    <w:p>
      <w:pPr>
        <w:keepNext/>
        <w:spacing w:before="240" w:after="80"/>
      </w:pPr>
      <w:r>
        <w:rPr>
          <w:rFonts w:ascii="Segoe UI" w:hAnsi="Segoe UI"/>
          <w:b/>
          <w:color w:val="FF7F6C"/>
          <w:sz w:val="24"/>
        </w:rPr>
        <w:t>4.1 RICE Prioritization Methodology with FinTech Multipliers</w:t>
      </w:r>
    </w:p>
    <w:p>
      <w:pPr>
        <w:spacing w:before="0" w:after="100"/>
      </w:pPr>
      <w:r>
        <w:rPr>
          <w:rFonts w:ascii="Segoe UI" w:hAnsi="Segoe UI"/>
          <w:color w:val="1E293B"/>
          <w:sz w:val="19"/>
        </w:rPr>
        <w:t xml:space="preserve">To eliminate subjective bias, the blynt product team utilizes a calibrated </w:t>
      </w:r>
      <w:r>
        <w:rPr>
          <w:rFonts w:ascii="Segoe UI" w:hAnsi="Segoe UI"/>
          <w:b/>
          <w:color w:val="1E293B"/>
          <w:sz w:val="19"/>
        </w:rPr>
        <w:t>RICE Scoring Framework</w:t>
      </w:r>
      <w:r>
        <w:rPr>
          <w:rFonts w:ascii="Segoe UI" w:hAnsi="Segoe UI"/>
          <w:color w:val="1E293B"/>
          <w:sz w:val="19"/>
        </w:rPr>
        <w:t xml:space="preserve"> augmented with a </w:t>
      </w:r>
      <w:r>
        <w:rPr>
          <w:rFonts w:ascii="Segoe UI" w:hAnsi="Segoe UI"/>
          <w:b/>
          <w:color w:val="1E293B"/>
          <w:sz w:val="19"/>
        </w:rPr>
        <w:t>Regulatory Compliance Multiplier (RCM)</w:t>
      </w:r>
      <w:r>
        <w:rPr>
          <w:rFonts w:ascii="Segoe UI" w:hAnsi="Segoe UI"/>
          <w:color w:val="1E293B"/>
          <w:sz w:val="19"/>
        </w:rPr>
        <w:t>:</w:t>
      </w:r>
    </w:p>
    <w:p>
      <w:pPr>
        <w:spacing w:before="0" w:after="100"/>
      </w:pPr>
      <w:r>
        <w:rPr>
          <w:rFonts w:ascii="Segoe UI" w:hAnsi="Segoe UI"/>
          <w:color w:val="1E293B"/>
          <w:sz w:val="19"/>
        </w:rPr>
        <w:t>$$\text{RICE Score} = \frac{\text{Reach} \times \text{Impact} \times \text{Confidence}}{\text{Effort}} \times \text{RCM}$$</w:t>
      </w:r>
    </w:p>
    <w:p>
      <w:pPr>
        <w:pStyle w:val="ListBullet"/>
        <w:spacing w:before="0" w:after="40"/>
      </w:pPr>
      <w:r>
        <w:rPr>
          <w:rFonts w:ascii="Segoe UI" w:hAnsi="Segoe UI"/>
          <w:color w:val="1E293B"/>
          <w:sz w:val="19"/>
        </w:rPr>
      </w:r>
      <w:r>
        <w:rPr>
          <w:rFonts w:ascii="Segoe UI" w:hAnsi="Segoe UI"/>
          <w:b/>
          <w:color w:val="1E293B"/>
          <w:sz w:val="19"/>
        </w:rPr>
        <w:t>Reach (R):</w:t>
      </w:r>
      <w:r>
        <w:rPr>
          <w:rFonts w:ascii="Segoe UI" w:hAnsi="Segoe UI"/>
          <w:color w:val="1E293B"/>
          <w:sz w:val="19"/>
        </w:rPr>
        <w:t xml:space="preserve"> Number of business tenants impacted per quarter (e.g., 500 tenants = 500).</w:t>
      </w:r>
    </w:p>
    <w:p>
      <w:pPr>
        <w:pStyle w:val="ListBullet"/>
        <w:spacing w:before="0" w:after="40"/>
      </w:pPr>
      <w:r>
        <w:rPr>
          <w:rFonts w:ascii="Segoe UI" w:hAnsi="Segoe UI"/>
          <w:color w:val="1E293B"/>
          <w:sz w:val="19"/>
        </w:rPr>
      </w:r>
      <w:r>
        <w:rPr>
          <w:rFonts w:ascii="Segoe UI" w:hAnsi="Segoe UI"/>
          <w:b/>
          <w:color w:val="1E293B"/>
          <w:sz w:val="19"/>
        </w:rPr>
        <w:t>Impact (I):</w:t>
      </w:r>
      <w:r>
        <w:rPr>
          <w:rFonts w:ascii="Segoe UI" w:hAnsi="Segoe UI"/>
          <w:color w:val="1E293B"/>
          <w:sz w:val="19"/>
        </w:rPr>
        <w:t xml:space="preserve"> Strategic contribution to user retention, revenue, or efficiency:</w:t>
      </w:r>
    </w:p>
    <w:p>
      <w:pPr>
        <w:pStyle w:val="ListBullet"/>
        <w:spacing w:before="0" w:after="40"/>
      </w:pPr>
      <w:r>
        <w:rPr>
          <w:rFonts w:ascii="Segoe UI" w:hAnsi="Segoe UI"/>
          <w:color w:val="1E293B"/>
          <w:sz w:val="19"/>
        </w:rPr>
        <w:t>3 = Massive Impact (e.g., automated MTD submission)</w:t>
      </w:r>
    </w:p>
    <w:p>
      <w:pPr>
        <w:pStyle w:val="ListBullet"/>
        <w:spacing w:before="0" w:after="40"/>
      </w:pPr>
      <w:r>
        <w:rPr>
          <w:rFonts w:ascii="Segoe UI" w:hAnsi="Segoe UI"/>
          <w:color w:val="1E293B"/>
          <w:sz w:val="19"/>
        </w:rPr>
        <w:t>2 = High Impact (e.g., bank feed automated matching)</w:t>
      </w:r>
    </w:p>
    <w:p>
      <w:pPr>
        <w:pStyle w:val="ListBullet"/>
        <w:spacing w:before="0" w:after="40"/>
      </w:pPr>
      <w:r>
        <w:rPr>
          <w:rFonts w:ascii="Segoe UI" w:hAnsi="Segoe UI"/>
          <w:color w:val="1E293B"/>
          <w:sz w:val="19"/>
        </w:rPr>
        <w:t>1 = Medium Impact (e.g., custom report builder)</w:t>
      </w:r>
    </w:p>
    <w:p>
      <w:pPr>
        <w:pStyle w:val="ListBullet"/>
        <w:spacing w:before="0" w:after="40"/>
      </w:pPr>
      <w:r>
        <w:rPr>
          <w:rFonts w:ascii="Segoe UI" w:hAnsi="Segoe UI"/>
          <w:color w:val="1E293B"/>
          <w:sz w:val="19"/>
        </w:rPr>
        <w:t>0.5 = Low Impact (e.g., minor UI color customization)</w:t>
      </w:r>
    </w:p>
    <w:p>
      <w:pPr>
        <w:pStyle w:val="ListBullet"/>
        <w:spacing w:before="0" w:after="40"/>
      </w:pPr>
      <w:r>
        <w:rPr>
          <w:rFonts w:ascii="Segoe UI" w:hAnsi="Segoe UI"/>
          <w:color w:val="1E293B"/>
          <w:sz w:val="19"/>
        </w:rPr>
      </w:r>
      <w:r>
        <w:rPr>
          <w:rFonts w:ascii="Segoe UI" w:hAnsi="Segoe UI"/>
          <w:b/>
          <w:color w:val="1E293B"/>
          <w:sz w:val="19"/>
        </w:rPr>
        <w:t>Confidence (C):</w:t>
      </w:r>
      <w:r>
        <w:rPr>
          <w:rFonts w:ascii="Segoe UI" w:hAnsi="Segoe UI"/>
          <w:color w:val="1E293B"/>
          <w:sz w:val="19"/>
        </w:rPr>
        <w:t xml:space="preserve"> Confidence in estimates based on customer research:</w:t>
      </w:r>
    </w:p>
    <w:p>
      <w:pPr>
        <w:pStyle w:val="ListBullet"/>
        <w:spacing w:before="0" w:after="40"/>
      </w:pPr>
      <w:r>
        <w:rPr>
          <w:rFonts w:ascii="Segoe UI" w:hAnsi="Segoe UI"/>
          <w:color w:val="1E293B"/>
          <w:sz w:val="19"/>
        </w:rPr>
        <w:t>1.0 = High (backed by data &amp; user testing)</w:t>
      </w:r>
    </w:p>
    <w:p>
      <w:pPr>
        <w:pStyle w:val="ListBullet"/>
        <w:spacing w:before="0" w:after="40"/>
      </w:pPr>
      <w:r>
        <w:rPr>
          <w:rFonts w:ascii="Segoe UI" w:hAnsi="Segoe UI"/>
          <w:color w:val="1E293B"/>
          <w:sz w:val="19"/>
        </w:rPr>
        <w:t>0.8 = Medium (backed by anecdotal feedback)</w:t>
      </w:r>
    </w:p>
    <w:p>
      <w:pPr>
        <w:pStyle w:val="ListBullet"/>
        <w:spacing w:before="0" w:after="40"/>
      </w:pPr>
      <w:r>
        <w:rPr>
          <w:rFonts w:ascii="Segoe UI" w:hAnsi="Segoe UI"/>
          <w:color w:val="1E293B"/>
          <w:sz w:val="19"/>
        </w:rPr>
        <w:t>0.5 = Low (experimental / unvalidated)</w:t>
      </w:r>
    </w:p>
    <w:p>
      <w:pPr>
        <w:pStyle w:val="ListBullet"/>
        <w:spacing w:before="0" w:after="40"/>
      </w:pPr>
      <w:r>
        <w:rPr>
          <w:rFonts w:ascii="Segoe UI" w:hAnsi="Segoe UI"/>
          <w:color w:val="1E293B"/>
          <w:sz w:val="19"/>
        </w:rPr>
      </w:r>
      <w:r>
        <w:rPr>
          <w:rFonts w:ascii="Segoe UI" w:hAnsi="Segoe UI"/>
          <w:b/>
          <w:color w:val="1E293B"/>
          <w:sz w:val="19"/>
        </w:rPr>
        <w:t>Effort (E):</w:t>
      </w:r>
      <w:r>
        <w:rPr>
          <w:rFonts w:ascii="Segoe UI" w:hAnsi="Segoe UI"/>
          <w:color w:val="1E293B"/>
          <w:sz w:val="19"/>
        </w:rPr>
        <w:t xml:space="preserve"> Person-sprints required to deliver from conception to GA (e.g., 2 sprints across 3 devs = 6).</w:t>
      </w:r>
    </w:p>
    <w:p>
      <w:pPr>
        <w:pStyle w:val="ListBullet"/>
        <w:spacing w:before="0" w:after="40"/>
      </w:pPr>
      <w:r>
        <w:rPr>
          <w:rFonts w:ascii="Segoe UI" w:hAnsi="Segoe UI"/>
          <w:color w:val="1E293B"/>
          <w:sz w:val="19"/>
        </w:rPr>
      </w:r>
      <w:r>
        <w:rPr>
          <w:rFonts w:ascii="Segoe UI" w:hAnsi="Segoe UI"/>
          <w:b/>
          <w:color w:val="1E293B"/>
          <w:sz w:val="19"/>
        </w:rPr>
        <w:t>Regulatory Compliance Multiplier (RCM):</w:t>
      </w:r>
      <w:r>
        <w:rPr>
          <w:rFonts w:ascii="Segoe UI" w:hAnsi="Segoe UI"/>
          <w:color w:val="1E293B"/>
          <w:sz w:val="19"/>
        </w:rPr>
      </w:r>
    </w:p>
    <w:p>
      <w:pPr>
        <w:pStyle w:val="ListBullet"/>
        <w:spacing w:before="0" w:after="40"/>
      </w:pPr>
      <w:r>
        <w:rPr>
          <w:rFonts w:ascii="Segoe UI" w:hAnsi="Segoe UI"/>
          <w:color w:val="1E293B"/>
          <w:sz w:val="19"/>
        </w:rPr>
      </w:r>
      <w:r>
        <w:rPr>
          <w:rFonts w:ascii="Segoe UI" w:hAnsi="Segoe UI"/>
          <w:b/>
          <w:color w:val="1E293B"/>
          <w:sz w:val="19"/>
        </w:rPr>
        <w:t>2.0</w:t>
      </w:r>
      <w:r>
        <w:rPr>
          <w:rFonts w:ascii="Segoe UI" w:hAnsi="Segoe UI"/>
          <w:color w:val="1E293B"/>
          <w:sz w:val="19"/>
        </w:rPr>
        <w:t xml:space="preserve"> = Legally mandatory for HMRC / UK compliance (Immediate statutory risk)</w:t>
      </w:r>
    </w:p>
    <w:p>
      <w:pPr>
        <w:pStyle w:val="ListBullet"/>
        <w:spacing w:before="0" w:after="40"/>
      </w:pPr>
      <w:r>
        <w:rPr>
          <w:rFonts w:ascii="Segoe UI" w:hAnsi="Segoe UI"/>
          <w:color w:val="1E293B"/>
          <w:sz w:val="19"/>
        </w:rPr>
      </w:r>
      <w:r>
        <w:rPr>
          <w:rFonts w:ascii="Segoe UI" w:hAnsi="Segoe UI"/>
          <w:b/>
          <w:color w:val="1E293B"/>
          <w:sz w:val="19"/>
        </w:rPr>
        <w:t>1.5</w:t>
      </w:r>
      <w:r>
        <w:rPr>
          <w:rFonts w:ascii="Segoe UI" w:hAnsi="Segoe UI"/>
          <w:color w:val="1E293B"/>
          <w:sz w:val="19"/>
        </w:rPr>
        <w:t xml:space="preserve"> = Core accounting integrity or security audit requirement</w:t>
      </w:r>
    </w:p>
    <w:p>
      <w:pPr>
        <w:pStyle w:val="ListBullet"/>
        <w:spacing w:before="0" w:after="40"/>
      </w:pPr>
      <w:r>
        <w:rPr>
          <w:rFonts w:ascii="Segoe UI" w:hAnsi="Segoe UI"/>
          <w:color w:val="1E293B"/>
          <w:sz w:val="19"/>
        </w:rPr>
      </w:r>
      <w:r>
        <w:rPr>
          <w:rFonts w:ascii="Segoe UI" w:hAnsi="Segoe UI"/>
          <w:b/>
          <w:color w:val="1E293B"/>
          <w:sz w:val="19"/>
        </w:rPr>
        <w:t>1.0</w:t>
      </w:r>
      <w:r>
        <w:rPr>
          <w:rFonts w:ascii="Segoe UI" w:hAnsi="Segoe UI"/>
          <w:color w:val="1E293B"/>
          <w:sz w:val="19"/>
        </w:rPr>
        <w:t xml:space="preserve"> = Standard commercial or UX feature</w:t>
      </w:r>
    </w:p>
    <w:tbl>
      <w:tblPr>
        <w:tblW w:type="auto" w:w="0"/>
        <w:jc w:val="center"/>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before="0" w:after="0"/>
            </w:pPr>
            <w:r>
              <w:rPr>
                <w:rFonts w:ascii="Consolas" w:hAnsi="Consolas"/>
                <w:color w:val="1E293B"/>
                <w:sz w:val="17"/>
              </w:rPr>
              <w:t>+-----------------------------------------------------------------------------------------------------------------------+</w:t>
              <w:br/>
              <w:t>|                                      SAMPLE BLYNT RICE PRIORITIZATION MATRIX                                          |</w:t>
              <w:br/>
              <w:t>+--------------------------------+-------+--------+------------+--------+-------+------------+--------------------------+</w:t>
              <w:br/>
              <w:t>| Feature Initiative             | Reach | Impact | Confidence | Effort | RCM   | RICE Score | Priority Rank            |</w:t>
              <w:br/>
              <w:t>+--------------------------------+-------+--------+------------+--------+-------+------------+--------------------------+</w:t>
              <w:br/>
              <w:t>| HMRC MTD Direct API Filing     | 1,200 | 3.0    | 1.0        | 8      | 2.0   | 900.0      | Rank 1 (Mandatory P0)    |</w:t>
              <w:br/>
              <w:t>| Automated Bank Rule Matcher    | 1,000 | 2.5    | 0.9        | 6      | 1.0   | 375.0      | Rank 2 (Strategic P1)    |</w:t>
              <w:br/>
              <w:t>| Multi-Currency FX Revaluation  | 450   | 2.0    | 0.8        | 5      | 1.5   | 216.0      | Rank 3 (High-Value P1)   |</w:t>
              <w:br/>
              <w:t>| Custom Invoice PDF Template UX | 800   | 1.0    | 0.8        | 4      | 1.0   | 160.0      | Rank 4 (Growth P2)       |</w:t>
              <w:br/>
              <w:t>| Dark Mode Interface Theme      | 600   | 0.5    | 1.0        | 3      | 1.0   | 100.0      | Rank 5 (Backlog P3)      |</w:t>
              <w:br/>
              <w:t>+--------------------------------+-------+--------+------------+--------+-------+------------+--------------------------+</w:t>
            </w:r>
          </w:p>
        </w:tc>
      </w:tr>
    </w:tbl>
    <w:p>
      <w:pPr>
        <w:spacing w:after="80"/>
      </w:pPr>
    </w:p>
    <w:p>
      <w:pPr>
        <w:keepNext/>
        <w:spacing w:before="240" w:after="80"/>
      </w:pPr>
      <w:r>
        <w:rPr>
          <w:rFonts w:ascii="Segoe UI" w:hAnsi="Segoe UI"/>
          <w:b/>
          <w:color w:val="FF7F6C"/>
          <w:sz w:val="24"/>
        </w:rPr>
        <w:t>4.2 Kano Model Classification</w:t>
      </w:r>
    </w:p>
    <w:p>
      <w:pPr>
        <w:spacing w:before="0" w:after="100"/>
      </w:pPr>
      <w:r>
        <w:rPr>
          <w:rFonts w:ascii="Segoe UI" w:hAnsi="Segoe UI"/>
          <w:color w:val="1E293B"/>
          <w:sz w:val="19"/>
        </w:rPr>
        <w:t>Features are categorized into three Kano dimensions to maintain balanced sprint allocations:</w:t>
      </w:r>
    </w:p>
    <w:p>
      <w:pPr>
        <w:spacing w:before="0" w:after="100"/>
      </w:pPr>
      <w:r>
        <w:rPr>
          <w:rFonts w:ascii="Segoe UI" w:hAnsi="Segoe UI"/>
          <w:color w:val="1E293B"/>
          <w:sz w:val="19"/>
        </w:rPr>
        <w:t xml:space="preserve">1. </w:t>
      </w:r>
      <w:r>
        <w:rPr>
          <w:rFonts w:ascii="Segoe UI" w:hAnsi="Segoe UI"/>
          <w:b/>
          <w:color w:val="1E293B"/>
          <w:sz w:val="19"/>
        </w:rPr>
        <w:t>Must-Be (Hygiene):</w:t>
      </w:r>
      <w:r>
        <w:rPr>
          <w:rFonts w:ascii="Segoe UI" w:hAnsi="Segoe UI"/>
          <w:color w:val="1E293B"/>
          <w:sz w:val="19"/>
        </w:rPr>
        <w:t xml:space="preserve"> Double-entry balancing, user authentication, tenant data isolation, VAT calculations. (Absence causes extreme dissatisfaction; presence is expected).</w:t>
      </w:r>
    </w:p>
    <w:p>
      <w:pPr>
        <w:spacing w:before="0" w:after="100"/>
      </w:pPr>
      <w:r>
        <w:rPr>
          <w:rFonts w:ascii="Segoe UI" w:hAnsi="Segoe UI"/>
          <w:color w:val="1E293B"/>
          <w:sz w:val="19"/>
        </w:rPr>
        <w:t xml:space="preserve">2. </w:t>
      </w:r>
      <w:r>
        <w:rPr>
          <w:rFonts w:ascii="Segoe UI" w:hAnsi="Segoe UI"/>
          <w:b/>
          <w:color w:val="1E293B"/>
          <w:sz w:val="19"/>
        </w:rPr>
        <w:t>Performance (Linear):</w:t>
      </w:r>
      <w:r>
        <w:rPr>
          <w:rFonts w:ascii="Segoe UI" w:hAnsi="Segoe UI"/>
          <w:color w:val="1E293B"/>
          <w:sz w:val="19"/>
        </w:rPr>
        <w:t xml:space="preserve"> Reporting query speed, bank feed sync latency, OCR scanning throughput. (Satisfaction scales directly with performance).</w:t>
      </w:r>
    </w:p>
    <w:p>
      <w:pPr>
        <w:spacing w:before="0" w:after="100"/>
      </w:pPr>
      <w:r>
        <w:rPr>
          <w:rFonts w:ascii="Segoe UI" w:hAnsi="Segoe UI"/>
          <w:color w:val="1E293B"/>
          <w:sz w:val="19"/>
        </w:rPr>
        <w:t xml:space="preserve">3. </w:t>
      </w:r>
      <w:r>
        <w:rPr>
          <w:rFonts w:ascii="Segoe UI" w:hAnsi="Segoe UI"/>
          <w:b/>
          <w:color w:val="1E293B"/>
          <w:sz w:val="19"/>
        </w:rPr>
        <w:t>Delighters (Attractive):</w:t>
      </w:r>
      <w:r>
        <w:rPr>
          <w:rFonts w:ascii="Segoe UI" w:hAnsi="Segoe UI"/>
          <w:color w:val="1E293B"/>
          <w:sz w:val="19"/>
        </w:rPr>
        <w:t xml:space="preserve"> AI-powered anomaly detection, predictive cash flow forecasting, instant keyboard-only navigation. (Creates word-of-mouth customer advocacy).</w:t>
      </w:r>
    </w:p>
    <w:p>
      <w:pPr>
        <w:keepNext/>
        <w:spacing w:before="240" w:after="80"/>
      </w:pPr>
      <w:r>
        <w:rPr>
          <w:rFonts w:ascii="Segoe UI" w:hAnsi="Segoe UI"/>
          <w:b/>
          <w:color w:val="FF7F6C"/>
          <w:sz w:val="24"/>
        </w:rPr>
        <w:t>4.3 Technical Debt vs. Feature Velocity Policy (The 70/20/10 Rule)</w:t>
      </w:r>
    </w:p>
    <w:p>
      <w:pPr>
        <w:spacing w:before="0" w:after="100"/>
      </w:pPr>
      <w:r>
        <w:rPr>
          <w:rFonts w:ascii="Segoe UI" w:hAnsi="Segoe UI"/>
          <w:color w:val="1E293B"/>
          <w:sz w:val="19"/>
        </w:rPr>
        <w:t>Every sprint cycle strictly divides engineering capacity as follows:</w:t>
      </w:r>
    </w:p>
    <w:p>
      <w:pPr>
        <w:pStyle w:val="ListBullet"/>
        <w:spacing w:before="0" w:after="40"/>
      </w:pPr>
      <w:r>
        <w:rPr>
          <w:rFonts w:ascii="Segoe UI" w:hAnsi="Segoe UI"/>
          <w:color w:val="1E293B"/>
          <w:sz w:val="19"/>
        </w:rPr>
      </w:r>
      <w:r>
        <w:rPr>
          <w:rFonts w:ascii="Segoe UI" w:hAnsi="Segoe UI"/>
          <w:b/>
          <w:color w:val="1E293B"/>
          <w:sz w:val="19"/>
        </w:rPr>
        <w:t>70% Roadmap Features:</w:t>
      </w:r>
      <w:r>
        <w:rPr>
          <w:rFonts w:ascii="Segoe UI" w:hAnsi="Segoe UI"/>
          <w:color w:val="1E293B"/>
          <w:sz w:val="19"/>
        </w:rPr>
        <w:t xml:space="preserve"> Customer-facing capabilities and high-impact PRD stories.</w:t>
      </w:r>
    </w:p>
    <w:p>
      <w:pPr>
        <w:pStyle w:val="ListBullet"/>
        <w:spacing w:before="0" w:after="40"/>
      </w:pPr>
      <w:r>
        <w:rPr>
          <w:rFonts w:ascii="Segoe UI" w:hAnsi="Segoe UI"/>
          <w:color w:val="1E293B"/>
          <w:sz w:val="19"/>
        </w:rPr>
      </w:r>
      <w:r>
        <w:rPr>
          <w:rFonts w:ascii="Segoe UI" w:hAnsi="Segoe UI"/>
          <w:b/>
          <w:color w:val="1E293B"/>
          <w:sz w:val="19"/>
        </w:rPr>
        <w:t>20% Technical Debt &amp; Architecture:</w:t>
      </w:r>
      <w:r>
        <w:rPr>
          <w:rFonts w:ascii="Segoe UI" w:hAnsi="Segoe UI"/>
          <w:color w:val="1E293B"/>
          <w:sz w:val="19"/>
        </w:rPr>
        <w:t xml:space="preserve"> Database indexing, query refactoring, test suite hardening, dependency upgrades.</w:t>
      </w:r>
    </w:p>
    <w:p>
      <w:pPr>
        <w:pStyle w:val="ListBullet"/>
        <w:spacing w:before="0" w:after="40"/>
      </w:pPr>
      <w:r>
        <w:rPr>
          <w:rFonts w:ascii="Segoe UI" w:hAnsi="Segoe UI"/>
          <w:color w:val="1E293B"/>
          <w:sz w:val="19"/>
        </w:rPr>
      </w:r>
      <w:r>
        <w:rPr>
          <w:rFonts w:ascii="Segoe UI" w:hAnsi="Segoe UI"/>
          <w:b/>
          <w:color w:val="1E293B"/>
          <w:sz w:val="19"/>
        </w:rPr>
        <w:t>10% Spikes &amp; Innovation:</w:t>
      </w:r>
      <w:r>
        <w:rPr>
          <w:rFonts w:ascii="Segoe UI" w:hAnsi="Segoe UI"/>
          <w:color w:val="1E293B"/>
          <w:sz w:val="19"/>
        </w:rPr>
        <w:t xml:space="preserve"> Prototyping experimental capabilities, AI tooling, and architecture RFC exploration.</w:t>
      </w:r>
    </w:p>
    <w:p>
      <w:pPr>
        <w:spacing w:before="0" w:after="100"/>
      </w:pPr>
      <w:r>
        <w:rPr>
          <w:rFonts w:ascii="Segoe UI" w:hAnsi="Segoe UI"/>
          <w:color w:val="1E293B"/>
          <w:sz w:val="19"/>
        </w:rPr>
        <w:t>---</w:t>
      </w:r>
    </w:p>
    <w:p>
      <w:pPr>
        <w:keepNext/>
        <w:spacing w:before="320" w:after="120"/>
      </w:pPr>
      <w:r>
        <w:rPr>
          <w:rFonts w:ascii="Segoe UI" w:hAnsi="Segoe UI"/>
          <w:b/>
          <w:color w:val="162D5F"/>
          <w:sz w:val="30"/>
        </w:rPr>
        <w:t>5. Agile Sprint Delivery &amp; Jira/Confluence Cadence</w:t>
      </w:r>
    </w:p>
    <w:p>
      <w:pPr>
        <w:keepNext/>
        <w:spacing w:before="240" w:after="80"/>
      </w:pPr>
      <w:r>
        <w:rPr>
          <w:rFonts w:ascii="Segoe UI" w:hAnsi="Segoe UI"/>
          <w:b/>
          <w:color w:val="FF7F6C"/>
          <w:sz w:val="24"/>
        </w:rPr>
        <w:t>5.1 Bi-Weekly Sprint Rhythm &amp; Ceremonies</w:t>
      </w:r>
    </w:p>
    <w:p>
      <w:pPr>
        <w:spacing w:before="0" w:after="100"/>
      </w:pPr>
      <w:r>
        <w:rPr>
          <w:rFonts w:ascii="Segoe UI" w:hAnsi="Segoe UI"/>
          <w:color w:val="1E293B"/>
          <w:sz w:val="19"/>
        </w:rPr>
        <w:t>The product and engineering teams operate on synchronized two-week sprint cadences ending on alternate Wednesdays:</w:t>
      </w:r>
    </w:p>
    <w:tbl>
      <w:tblPr>
        <w:tblW w:type="auto" w:w="0"/>
        <w:jc w:val="center"/>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before="0" w:after="0"/>
            </w:pPr>
            <w:r>
              <w:rPr>
                <w:rFonts w:ascii="Consolas" w:hAnsi="Consolas"/>
                <w:color w:val="1E293B"/>
                <w:sz w:val="17"/>
              </w:rPr>
              <w:t>+-------------------------------------------------------------------------------------------------------------------+</w:t>
              <w:br/>
              <w:t>|                                        BI-WEEKLY AGILE CEREMONY CALENDAR                                          |</w:t>
              <w:br/>
              <w:t>+-----------------+-----------------------+------------------------+------------------------------------------------+</w:t>
              <w:br/>
              <w:t>| Ceremony        | Timing                | Attendees              | Core Objective                                 |</w:t>
              <w:br/>
              <w:t>+-----------------+-----------------------+------------------------+------------------------------------------------+</w:t>
              <w:br/>
              <w:t>| Sprint Planning | Monday Week 1 (9:30am)| PM, Tech Lead, Team    | Commit to sprint backlog based on DoR stories  |</w:t>
              <w:br/>
              <w:t>| Daily Standup   | Daily (9:15am - 15m)  | Engineering Squad, PM  | Sync on progress, identify &amp; clear blockers    |</w:t>
              <w:br/>
              <w:t>| Backlog Grooming| Thursday Week 1 (2pm) | PM, Tech Lead, Senior  | Review upcoming PRDs, estimate story points    |</w:t>
              <w:br/>
              <w:t>| Sprint Review   | Alternate Wed (3:00pm)| All Stakeholders, PMs  | Demonstrate working software to company        |</w:t>
              <w:br/>
              <w:t>| Retrospective   | Alternate Wed (4:15pm)| Squad Members only     | Inspect &amp; adapt team processes &amp; velocity      |</w:t>
              <w:br/>
              <w:t>+-----------------+-----------------------+------------------------+------------------------------------------------+</w:t>
            </w:r>
          </w:p>
        </w:tc>
      </w:tr>
    </w:tbl>
    <w:p>
      <w:pPr>
        <w:spacing w:after="80"/>
      </w:pPr>
    </w:p>
    <w:p>
      <w:pPr>
        <w:keepNext/>
        <w:spacing w:before="240" w:after="80"/>
      </w:pPr>
      <w:r>
        <w:rPr>
          <w:rFonts w:ascii="Segoe UI" w:hAnsi="Segoe UI"/>
          <w:b/>
          <w:color w:val="FF7F6C"/>
          <w:sz w:val="24"/>
        </w:rPr>
        <w:t>5.2 Jira Hierarchy &amp; Conventions</w:t>
      </w:r>
    </w:p>
    <w:p>
      <w:pPr>
        <w:pStyle w:val="ListBullet"/>
        <w:spacing w:before="0" w:after="40"/>
      </w:pPr>
      <w:r>
        <w:rPr>
          <w:rFonts w:ascii="Segoe UI" w:hAnsi="Segoe UI"/>
          <w:color w:val="1E293B"/>
          <w:sz w:val="19"/>
        </w:rPr>
      </w:r>
      <w:r>
        <w:rPr>
          <w:rFonts w:ascii="Segoe UI" w:hAnsi="Segoe UI"/>
          <w:b/>
          <w:color w:val="1E293B"/>
          <w:sz w:val="19"/>
        </w:rPr>
        <w:t>Initiative:</w:t>
      </w:r>
      <w:r>
        <w:rPr>
          <w:rFonts w:ascii="Segoe UI" w:hAnsi="Segoe UI"/>
          <w:color w:val="1E293B"/>
          <w:sz w:val="19"/>
        </w:rPr>
        <w:t xml:space="preserve"> Multi-quarter strategic objective (e.g., `INIT-12: Complete HMRC Making Tax Digital Integration`).</w:t>
      </w:r>
    </w:p>
    <w:p>
      <w:pPr>
        <w:pStyle w:val="ListBullet"/>
        <w:spacing w:before="0" w:after="40"/>
      </w:pPr>
      <w:r>
        <w:rPr>
          <w:rFonts w:ascii="Segoe UI" w:hAnsi="Segoe UI"/>
          <w:color w:val="1E293B"/>
          <w:sz w:val="19"/>
        </w:rPr>
      </w:r>
      <w:r>
        <w:rPr>
          <w:rFonts w:ascii="Segoe UI" w:hAnsi="Segoe UI"/>
          <w:b/>
          <w:color w:val="1E293B"/>
          <w:sz w:val="19"/>
        </w:rPr>
        <w:t>Epic:</w:t>
      </w:r>
      <w:r>
        <w:rPr>
          <w:rFonts w:ascii="Segoe UI" w:hAnsi="Segoe UI"/>
          <w:color w:val="1E293B"/>
          <w:sz w:val="19"/>
        </w:rPr>
        <w:t xml:space="preserve"> Multi-sprint feature deliverable (e.g., `EPIC-45: Bank Feed Open Banking Automated Ingestion`).</w:t>
      </w:r>
    </w:p>
    <w:p>
      <w:pPr>
        <w:pStyle w:val="ListBullet"/>
        <w:spacing w:before="0" w:after="40"/>
      </w:pPr>
      <w:r>
        <w:rPr>
          <w:rFonts w:ascii="Segoe UI" w:hAnsi="Segoe UI"/>
          <w:color w:val="1E293B"/>
          <w:sz w:val="19"/>
        </w:rPr>
      </w:r>
      <w:r>
        <w:rPr>
          <w:rFonts w:ascii="Segoe UI" w:hAnsi="Segoe UI"/>
          <w:b/>
          <w:color w:val="1E293B"/>
          <w:sz w:val="19"/>
        </w:rPr>
        <w:t>Story:</w:t>
      </w:r>
      <w:r>
        <w:rPr>
          <w:rFonts w:ascii="Segoe UI" w:hAnsi="Segoe UI"/>
          <w:color w:val="1E293B"/>
          <w:sz w:val="19"/>
        </w:rPr>
        <w:t xml:space="preserve"> Independently deliverable user value item formatted with Gherkin acceptance criteria (e.g., `BLYNT-210: Automatic rule matching on payee name`).</w:t>
      </w:r>
    </w:p>
    <w:p>
      <w:pPr>
        <w:pStyle w:val="ListBullet"/>
        <w:spacing w:before="0" w:after="40"/>
      </w:pPr>
      <w:r>
        <w:rPr>
          <w:rFonts w:ascii="Segoe UI" w:hAnsi="Segoe UI"/>
          <w:color w:val="1E293B"/>
          <w:sz w:val="19"/>
        </w:rPr>
      </w:r>
      <w:r>
        <w:rPr>
          <w:rFonts w:ascii="Segoe UI" w:hAnsi="Segoe UI"/>
          <w:b/>
          <w:color w:val="1E293B"/>
          <w:sz w:val="19"/>
        </w:rPr>
        <w:t>Task / Tech Spike:</w:t>
      </w:r>
      <w:r>
        <w:rPr>
          <w:rFonts w:ascii="Segoe UI" w:hAnsi="Segoe UI"/>
          <w:color w:val="1E293B"/>
          <w:sz w:val="19"/>
        </w:rPr>
        <w:t xml:space="preserve"> Architectural investigation or backend setup (e.g., `BLYNT-211: Implement Postgres RLS policy for bank feeds`).</w:t>
      </w:r>
    </w:p>
    <w:p>
      <w:pPr>
        <w:pStyle w:val="ListBullet"/>
        <w:spacing w:before="0" w:after="40"/>
      </w:pPr>
      <w:r>
        <w:rPr>
          <w:rFonts w:ascii="Segoe UI" w:hAnsi="Segoe UI"/>
          <w:color w:val="1E293B"/>
          <w:sz w:val="19"/>
        </w:rPr>
      </w:r>
      <w:r>
        <w:rPr>
          <w:rFonts w:ascii="Segoe UI" w:hAnsi="Segoe UI"/>
          <w:b/>
          <w:color w:val="1E293B"/>
          <w:sz w:val="19"/>
        </w:rPr>
        <w:t>Bug:</w:t>
      </w:r>
      <w:r>
        <w:rPr>
          <w:rFonts w:ascii="Segoe UI" w:hAnsi="Segoe UI"/>
          <w:color w:val="1E293B"/>
          <w:sz w:val="19"/>
        </w:rPr>
        <w:t xml:space="preserve"> Defect ticket with mandatory reproduction steps, severity rating (P0 to P3), and regression test requirement.</w:t>
      </w:r>
    </w:p>
    <w:p>
      <w:pPr>
        <w:keepNext/>
        <w:spacing w:before="240" w:after="80"/>
      </w:pPr>
      <w:r>
        <w:rPr>
          <w:rFonts w:ascii="Segoe UI" w:hAnsi="Segoe UI"/>
          <w:b/>
          <w:color w:val="FF7F6C"/>
          <w:sz w:val="24"/>
        </w:rPr>
        <w:t>5.3 Definition of Done (DoD) from PM &amp; Compliance Perspectives</w:t>
      </w:r>
    </w:p>
    <w:p>
      <w:pPr>
        <w:spacing w:before="0" w:after="100"/>
      </w:pPr>
      <w:r>
        <w:rPr>
          <w:rFonts w:ascii="Segoe UI" w:hAnsi="Segoe UI"/>
          <w:color w:val="1E293B"/>
          <w:sz w:val="19"/>
        </w:rPr>
        <w:t>Before a Jira story can be transitioned to `Done`, it must fulfill the universal DoD:</w:t>
      </w:r>
    </w:p>
    <w:tbl>
      <w:tblPr>
        <w:tblW w:type="auto" w:w="0"/>
        <w:jc w:val="center"/>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before="0" w:after="0"/>
            </w:pPr>
            <w:r>
              <w:rPr>
                <w:rFonts w:ascii="Consolas" w:hAnsi="Consolas"/>
                <w:color w:val="1E293B"/>
                <w:sz w:val="17"/>
              </w:rPr>
              <w:t>[ ] 1. All Gherkin acceptance criteria verified and covered by automated tests.</w:t>
              <w:br/>
              <w:t>[ ] 2. Unit test coverage exceeds 85% with zero regressions in core accounting math.</w:t>
              <w:br/>
              <w:t>[ ] 3. Pull Request reviewed and approved by at least 2 senior engineers.</w:t>
              <w:br/>
              <w:t>[ ] 4. UX and design fidelity verified against Figma design tokens.</w:t>
              <w:br/>
              <w:t>[ ] 5. UAT completed and signed off by the Product Manager in the staging environment.</w:t>
              <w:br/>
              <w:t>[ ] 6. Feature flag created and configured for controlled canary deployment.</w:t>
              <w:br/>
              <w:t>[ ] 7. Customer documentation and internal help desk macros updated.</w:t>
            </w:r>
          </w:p>
        </w:tc>
      </w:tr>
    </w:tbl>
    <w:p>
      <w:pPr>
        <w:spacing w:after="80"/>
      </w:pPr>
    </w:p>
    <w:p>
      <w:pPr>
        <w:spacing w:before="0" w:after="100"/>
      </w:pPr>
      <w:r>
        <w:rPr>
          <w:rFonts w:ascii="Segoe UI" w:hAnsi="Segoe UI"/>
          <w:color w:val="1E293B"/>
          <w:sz w:val="19"/>
        </w:rPr>
        <w:t>---</w:t>
      </w:r>
    </w:p>
    <w:p>
      <w:pPr>
        <w:keepNext/>
        <w:spacing w:before="320" w:after="120"/>
      </w:pPr>
      <w:r>
        <w:rPr>
          <w:rFonts w:ascii="Segoe UI" w:hAnsi="Segoe UI"/>
          <w:b/>
          <w:color w:val="162D5F"/>
          <w:sz w:val="30"/>
        </w:rPr>
        <w:t>6. Release Governance, Phased Rollouts &amp; Beta Management</w:t>
      </w:r>
    </w:p>
    <w:p>
      <w:pPr>
        <w:spacing w:before="0" w:after="100"/>
      </w:pPr>
      <w:r>
        <w:rPr>
          <w:rFonts w:ascii="Segoe UI" w:hAnsi="Segoe UI"/>
          <w:color w:val="1E293B"/>
          <w:sz w:val="19"/>
        </w:rPr>
        <w:t>To safeguard financial ledger data, blynt strictly prohibits "big bang" feature releases. All capabilities transition through a four-tier release progression.</w:t>
      </w:r>
    </w:p>
    <w:p>
      <w:pPr>
        <w:keepNext/>
        <w:spacing w:before="240" w:after="80"/>
      </w:pPr>
      <w:r>
        <w:rPr>
          <w:rFonts w:ascii="Segoe UI" w:hAnsi="Segoe UI"/>
          <w:b/>
          <w:color w:val="FF7F6C"/>
          <w:sz w:val="24"/>
        </w:rPr>
        <w:t>6.1 The 4-Tier Release Ladder</w:t>
      </w:r>
    </w:p>
    <w:p>
      <w:pPr>
        <w:spacing w:before="0" w:after="100"/>
      </w:pPr>
      <w:r>
        <w:rPr>
          <w:rFonts w:ascii="Segoe UI" w:hAnsi="Segoe UI"/>
          <w:color w:val="1E293B"/>
          <w:sz w:val="19"/>
        </w:rPr>
        <w:t xml:space="preserve">1. </w:t>
      </w:r>
      <w:r>
        <w:rPr>
          <w:rFonts w:ascii="Segoe UI" w:hAnsi="Segoe UI"/>
          <w:b/>
          <w:color w:val="1E293B"/>
          <w:sz w:val="19"/>
        </w:rPr>
        <w:t>Tier 0 — Internal Alpha (Dogfooding):</w:t>
      </w:r>
      <w:r>
        <w:rPr>
          <w:rFonts w:ascii="Segoe UI" w:hAnsi="Segoe UI"/>
          <w:color w:val="1E293B"/>
          <w:sz w:val="19"/>
        </w:rPr>
        <w:t xml:space="preserve"> Deployed to internal staging environments and tested by blynt finance team members on real corporate accounting operations.</w:t>
      </w:r>
    </w:p>
    <w:p>
      <w:pPr>
        <w:spacing w:before="0" w:after="100"/>
      </w:pPr>
      <w:r>
        <w:rPr>
          <w:rFonts w:ascii="Segoe UI" w:hAnsi="Segoe UI"/>
          <w:color w:val="1E293B"/>
          <w:sz w:val="19"/>
        </w:rPr>
        <w:t xml:space="preserve">2. </w:t>
      </w:r>
      <w:r>
        <w:rPr>
          <w:rFonts w:ascii="Segoe UI" w:hAnsi="Segoe UI"/>
          <w:b/>
          <w:color w:val="1E293B"/>
          <w:sz w:val="19"/>
        </w:rPr>
        <w:t>Tier 1 — Private Beta (Design Partners):</w:t>
      </w:r>
      <w:r>
        <w:rPr>
          <w:rFonts w:ascii="Segoe UI" w:hAnsi="Segoe UI"/>
          <w:color w:val="1E293B"/>
          <w:sz w:val="19"/>
        </w:rPr>
        <w:t xml:space="preserve"> Rolled out via feature flags to a curated cohort of 5 to 10 trusted enterprise clients. Daily feedback reviews and hotfix prioritization.</w:t>
      </w:r>
    </w:p>
    <w:p>
      <w:pPr>
        <w:spacing w:before="0" w:after="100"/>
      </w:pPr>
      <w:r>
        <w:rPr>
          <w:rFonts w:ascii="Segoe UI" w:hAnsi="Segoe UI"/>
          <w:color w:val="1E293B"/>
          <w:sz w:val="19"/>
        </w:rPr>
        <w:t xml:space="preserve">3. </w:t>
      </w:r>
      <w:r>
        <w:rPr>
          <w:rFonts w:ascii="Segoe UI" w:hAnsi="Segoe UI"/>
          <w:b/>
          <w:color w:val="1E293B"/>
          <w:sz w:val="19"/>
        </w:rPr>
        <w:t>Tier 2 — Public Beta (Opt-In):</w:t>
      </w:r>
      <w:r>
        <w:rPr>
          <w:rFonts w:ascii="Segoe UI" w:hAnsi="Segoe UI"/>
          <w:color w:val="1E293B"/>
          <w:sz w:val="19"/>
        </w:rPr>
        <w:t xml:space="preserve"> Available to all tenants behind an in-app "blynt Labs" feature toggle. Monitored for edge-case scalability and high transaction concurrency.</w:t>
      </w:r>
    </w:p>
    <w:p>
      <w:pPr>
        <w:spacing w:before="0" w:after="100"/>
      </w:pPr>
      <w:r>
        <w:rPr>
          <w:rFonts w:ascii="Segoe UI" w:hAnsi="Segoe UI"/>
          <w:color w:val="1E293B"/>
          <w:sz w:val="19"/>
        </w:rPr>
        <w:t xml:space="preserve">4. </w:t>
      </w:r>
      <w:r>
        <w:rPr>
          <w:rFonts w:ascii="Segoe UI" w:hAnsi="Segoe UI"/>
          <w:b/>
          <w:color w:val="1E293B"/>
          <w:sz w:val="19"/>
        </w:rPr>
        <w:t>Tier 3 — General Availability (GA):</w:t>
      </w:r>
      <w:r>
        <w:rPr>
          <w:rFonts w:ascii="Segoe UI" w:hAnsi="Segoe UI"/>
          <w:color w:val="1E293B"/>
          <w:sz w:val="19"/>
        </w:rPr>
        <w:t xml:space="preserve"> Fully enabled by default for all customer accounts. Supported by comprehensive knowledge base documentation and SLA guarantees.</w:t>
      </w:r>
    </w:p>
    <w:tbl>
      <w:tblPr>
        <w:tblW w:type="auto" w:w="0"/>
        <w:jc w:val="center"/>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before="0" w:after="0"/>
            </w:pPr>
            <w:r>
              <w:rPr>
                <w:rFonts w:ascii="Consolas" w:hAnsi="Consolas"/>
                <w:color w:val="1E293B"/>
                <w:sz w:val="17"/>
              </w:rPr>
              <w:t>+-------------------------------------------------------------------------------------------------------------------+</w:t>
              <w:br/>
              <w:t>|                                       BLYNT 4-TIER RELEASE PROGRESSION                                            |</w:t>
              <w:br/>
              <w:t>+--------------------+-----------------------+-----------------------+----------------------------------------------+</w:t>
              <w:br/>
              <w:t>| Tier               | Audience Scope        | Typical Duration      | Exit Criteria                                |</w:t>
              <w:br/>
              <w:t>+--------------------+-----------------------+-----------------------+----------------------------------------------+</w:t>
              <w:br/>
              <w:t>| Tier 0: Alpha      | Internal Staff (100%) | 1 to 2 Weeks          | Zero P0/P1 defects; Invariant drift: 0.00%   |</w:t>
              <w:br/>
              <w:t>| Tier 1: Private    | 5 - 10 Design Partners| 2 to 4 Weeks          | CSAT &gt; 90%; 0 unhandled ledger exceptions   |</w:t>
              <w:br/>
              <w:t>| Tier 2: Public     | Opt-In Beta Cohort    | 2 Weeks               | System p95 latency &lt; 250ms at 5x volume      |</w:t>
              <w:br/>
              <w:t>| Tier 3: GA         | 100% of Production    | Permanent             | Standard production monitoring &amp; on-call     |</w:t>
              <w:br/>
              <w:t>+--------------------+-----------------------+-----------------------+----------------------------------------------+</w:t>
            </w:r>
          </w:p>
        </w:tc>
      </w:tr>
    </w:tbl>
    <w:p>
      <w:pPr>
        <w:spacing w:after="80"/>
      </w:pPr>
    </w:p>
    <w:p>
      <w:pPr>
        <w:keepNext/>
        <w:spacing w:before="240" w:after="80"/>
      </w:pPr>
      <w:r>
        <w:rPr>
          <w:rFonts w:ascii="Segoe UI" w:hAnsi="Segoe UI"/>
          <w:b/>
          <w:color w:val="FF7F6C"/>
          <w:sz w:val="24"/>
        </w:rPr>
        <w:t>6.2 Feature Flagging Strategy</w:t>
      </w:r>
    </w:p>
    <w:p>
      <w:pPr>
        <w:spacing w:before="0" w:after="100"/>
      </w:pPr>
      <w:r>
        <w:rPr>
          <w:rFonts w:ascii="Segoe UI" w:hAnsi="Segoe UI"/>
          <w:color w:val="1E293B"/>
          <w:sz w:val="19"/>
        </w:rPr>
        <w:t>All new backend API endpoints and frontend UI modules are wrapped in feature flags managed via centralized configuration.</w:t>
      </w:r>
    </w:p>
    <w:p>
      <w:pPr>
        <w:pStyle w:val="ListBullet"/>
        <w:spacing w:before="0" w:after="40"/>
      </w:pPr>
      <w:r>
        <w:rPr>
          <w:rFonts w:ascii="Segoe UI" w:hAnsi="Segoe UI"/>
          <w:color w:val="1E293B"/>
          <w:sz w:val="19"/>
        </w:rPr>
      </w:r>
      <w:r>
        <w:rPr>
          <w:rFonts w:ascii="Segoe UI" w:hAnsi="Segoe UI"/>
          <w:b/>
          <w:color w:val="1E293B"/>
          <w:sz w:val="19"/>
        </w:rPr>
        <w:t>Tenant-Level Targeting:</w:t>
      </w:r>
      <w:r>
        <w:rPr>
          <w:rFonts w:ascii="Segoe UI" w:hAnsi="Segoe UI"/>
          <w:color w:val="1E293B"/>
          <w:sz w:val="19"/>
        </w:rPr>
        <w:t xml:space="preserve"> Flags can be activated for specific tenant IDs (e.g., `tenant_id = "550e8400-e29b-41d4-a716-446655440000"`).</w:t>
      </w:r>
    </w:p>
    <w:p>
      <w:pPr>
        <w:pStyle w:val="ListBullet"/>
        <w:spacing w:before="0" w:after="40"/>
      </w:pPr>
      <w:r>
        <w:rPr>
          <w:rFonts w:ascii="Segoe UI" w:hAnsi="Segoe UI"/>
          <w:color w:val="1E293B"/>
          <w:sz w:val="19"/>
        </w:rPr>
      </w:r>
      <w:r>
        <w:rPr>
          <w:rFonts w:ascii="Segoe UI" w:hAnsi="Segoe UI"/>
          <w:b/>
          <w:color w:val="1E293B"/>
          <w:sz w:val="19"/>
        </w:rPr>
        <w:t>Kill Switch Capability:</w:t>
      </w:r>
      <w:r>
        <w:rPr>
          <w:rFonts w:ascii="Segoe UI" w:hAnsi="Segoe UI"/>
          <w:color w:val="1E293B"/>
          <w:sz w:val="19"/>
        </w:rPr>
        <w:t xml:space="preserve"> In the event of an unexpected data mismatch or critical bug, the Product Manager or Tech Lead can instantly deactivate the feature flag globally in under 5 seconds without triggering a deployment.</w:t>
      </w:r>
    </w:p>
    <w:p>
      <w:pPr>
        <w:spacing w:before="0" w:after="100"/>
      </w:pPr>
      <w:r>
        <w:rPr>
          <w:rFonts w:ascii="Segoe UI" w:hAnsi="Segoe UI"/>
          <w:color w:val="1E293B"/>
          <w:sz w:val="19"/>
        </w:rPr>
        <w:t>---</w:t>
      </w:r>
    </w:p>
    <w:p>
      <w:pPr>
        <w:keepNext/>
        <w:spacing w:before="320" w:after="120"/>
      </w:pPr>
      <w:r>
        <w:rPr>
          <w:rFonts w:ascii="Segoe UI" w:hAnsi="Segoe UI"/>
          <w:b/>
          <w:color w:val="162D5F"/>
          <w:sz w:val="30"/>
        </w:rPr>
        <w:t>7. Product Telemetry, FinTech KPIs &amp; Performance Measurement</w:t>
      </w:r>
    </w:p>
    <w:p>
      <w:pPr>
        <w:keepNext/>
        <w:spacing w:before="240" w:after="80"/>
      </w:pPr>
      <w:r>
        <w:rPr>
          <w:rFonts w:ascii="Segoe UI" w:hAnsi="Segoe UI"/>
          <w:b/>
          <w:color w:val="FF7F6C"/>
          <w:sz w:val="24"/>
        </w:rPr>
        <w:t>7.1 Key Product Performance Metrics</w:t>
      </w:r>
    </w:p>
    <w:p>
      <w:pPr>
        <w:spacing w:before="0" w:after="100"/>
      </w:pPr>
      <w:r>
        <w:rPr>
          <w:rFonts w:ascii="Segoe UI" w:hAnsi="Segoe UI"/>
          <w:color w:val="1E293B"/>
          <w:sz w:val="19"/>
        </w:rPr>
        <w:t>The product team tracks three levels of quantitative performance indicators:</w:t>
      </w:r>
    </w:p>
    <w:tbl>
      <w:tblPr>
        <w:tblW w:type="auto" w:w="0"/>
        <w:jc w:val="center"/>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before="0" w:after="0"/>
            </w:pPr>
            <w:r>
              <w:rPr>
                <w:rFonts w:ascii="Consolas" w:hAnsi="Consolas"/>
                <w:color w:val="1E293B"/>
                <w:sz w:val="17"/>
              </w:rPr>
              <w:t>+-------------------------------------------------------------------------------------------------------------------+</w:t>
              <w:br/>
              <w:t>|                                        BLYNT PRODUCT KPI PERFORMANCE FRAMEWORK                                    |</w:t>
              <w:br/>
              <w:t>+--------------------+--------------------------------+---------------+---------------------------------------------+</w:t>
              <w:br/>
              <w:t>| Category           | Specific Metric                | Target SLA    | Measurement Frequency                       |</w:t>
              <w:br/>
              <w:t>+--------------------+--------------------------------+---------------+---------------------------------------------+</w:t>
              <w:br/>
              <w:t>| Financial Health   | Invariant Drift Rate           | 0.00% Absolute| Real-time continuous monitoring             |</w:t>
              <w:br/>
              <w:t>| Operational Speed  | Month-End Close Duration       | &lt;= 2 Days     | Monthly cohort analysis                     |</w:t>
              <w:br/>
              <w:t>| User Efficiency    | Bank Reconciliation Auto-Match | &gt;= 85% Lines  | Weekly aggregate measurement                |</w:t>
              <w:br/>
              <w:t>| Platform Adoption  | Daily Active Businesses (DAB)  | &gt; 45% of MAU  | Daily tracking                              |</w:t>
              <w:br/>
              <w:t>| API Performance    | Report Generation Latency      | &lt; 500ms (p95) | Continuous Datadog / APM tracing            |</w:t>
              <w:br/>
              <w:t>| Customer Sentiment | Net Promoter Score (NPS)       | &gt;= +65        | Quarterly survey trigger                    |</w:t>
              <w:br/>
              <w:t>+--------------------+--------------------------------+---------------+---------------------------------------------+</w:t>
            </w:r>
          </w:p>
        </w:tc>
      </w:tr>
    </w:tbl>
    <w:p>
      <w:pPr>
        <w:spacing w:after="80"/>
      </w:pPr>
    </w:p>
    <w:p>
      <w:pPr>
        <w:keepNext/>
        <w:spacing w:before="240" w:after="80"/>
      </w:pPr>
      <w:r>
        <w:rPr>
          <w:rFonts w:ascii="Segoe UI" w:hAnsi="Segoe UI"/>
          <w:b/>
          <w:color w:val="FF7F6C"/>
          <w:sz w:val="24"/>
        </w:rPr>
        <w:t>7.2 Event Tracking Taxonomy &amp; Instrumentation Schema</w:t>
      </w:r>
    </w:p>
    <w:p>
      <w:pPr>
        <w:spacing w:before="0" w:after="100"/>
      </w:pPr>
      <w:r>
        <w:rPr>
          <w:rFonts w:ascii="Segoe UI" w:hAnsi="Segoe UI"/>
          <w:color w:val="1E293B"/>
          <w:sz w:val="19"/>
        </w:rPr>
        <w:t>All user interactions and financial lifecycle triggers must be instrumented according to our unified event schema:</w:t>
      </w:r>
    </w:p>
    <w:tbl>
      <w:tblPr>
        <w:tblW w:type="auto" w:w="0"/>
        <w:jc w:val="center"/>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Pr>
          <w:p>
            <w:pPr>
              <w:spacing w:before="0" w:after="0"/>
            </w:pPr>
            <w:r>
              <w:rPr>
                <w:rFonts w:ascii="Consolas" w:hAnsi="Consolas"/>
                <w:color w:val="1E293B"/>
                <w:sz w:val="17"/>
              </w:rPr>
              <w:t>{</w:t>
              <w:br/>
              <w:t xml:space="preserve">  "event_name": "journal_entry_posted",</w:t>
              <w:br/>
              <w:t xml:space="preserve">  "timestamp": "2026-10-12T00:30:00.000Z",</w:t>
              <w:br/>
              <w:t xml:space="preserve">  "tenant_id": "c1f7b822-491a-4c2f-b442-9988aa112233",</w:t>
              <w:br/>
              <w:t xml:space="preserve">  "user_id": "u49a-0021",</w:t>
              <w:br/>
              <w:t xml:space="preserve">  "user_role": "FINANCIAL_CONTROLLER",</w:t>
              <w:br/>
              <w:t xml:space="preserve">  "properties": {</w:t>
              <w:br/>
              <w:t xml:space="preserve">    "source_module": "BANK_RECONCILIATION",</w:t>
              <w:br/>
              <w:t xml:space="preserve">    "total_debit_amount": 1420.50,</w:t>
              <w:br/>
              <w:t xml:space="preserve">    "total_credit_amount": 1420.50,</w:t>
              <w:br/>
              <w:t xml:space="preserve">    "currency": "GBP",</w:t>
              <w:br/>
              <w:t xml:space="preserve">    "line_count": 3,</w:t>
              <w:br/>
              <w:t xml:space="preserve">    "auto_matched_by_rule": true,</w:t>
              <w:br/>
              <w:t xml:space="preserve">    "rule_id": "rule_aws_cloud_sub",</w:t>
              <w:br/>
              <w:t xml:space="preserve">    "latency_ms": 114</w:t>
              <w:br/>
              <w:t xml:space="preserve">  }</w:t>
              <w:br/>
              <w:t>}</w:t>
            </w:r>
          </w:p>
        </w:tc>
      </w:tr>
    </w:tbl>
    <w:p>
      <w:pPr>
        <w:spacing w:after="80"/>
      </w:pPr>
    </w:p>
    <w:p>
      <w:pPr>
        <w:keepNext/>
        <w:spacing w:before="240" w:after="80"/>
      </w:pPr>
      <w:r>
        <w:rPr>
          <w:rFonts w:ascii="Segoe UI" w:hAnsi="Segoe UI"/>
          <w:b/>
          <w:color w:val="FF7F6C"/>
          <w:sz w:val="24"/>
        </w:rPr>
        <w:t>7.3 Continuous Post-Launch Review Loop</w:t>
      </w:r>
    </w:p>
    <w:p>
      <w:pPr>
        <w:spacing w:before="0" w:after="100"/>
      </w:pPr>
      <w:r>
        <w:rPr>
          <w:rFonts w:ascii="Segoe UI" w:hAnsi="Segoe UI"/>
          <w:color w:val="1E293B"/>
          <w:sz w:val="19"/>
        </w:rPr>
        <w:t xml:space="preserve">Every Tier 3 GA feature must undergo a formal </w:t>
      </w:r>
      <w:r>
        <w:rPr>
          <w:rFonts w:ascii="Segoe UI" w:hAnsi="Segoe UI"/>
          <w:b/>
          <w:color w:val="1E293B"/>
          <w:sz w:val="19"/>
        </w:rPr>
        <w:t>Post-Launch Impact Review (PLIR)</w:t>
      </w:r>
      <w:r>
        <w:rPr>
          <w:rFonts w:ascii="Segoe UI" w:hAnsi="Segoe UI"/>
          <w:color w:val="1E293B"/>
          <w:sz w:val="19"/>
        </w:rPr>
        <w:t xml:space="preserve"> four weeks post-release. The Product Manager must present:</w:t>
      </w:r>
    </w:p>
    <w:p>
      <w:pPr>
        <w:spacing w:before="0" w:after="100"/>
      </w:pPr>
      <w:r>
        <w:rPr>
          <w:rFonts w:ascii="Segoe UI" w:hAnsi="Segoe UI"/>
          <w:color w:val="1E293B"/>
          <w:sz w:val="19"/>
        </w:rPr>
        <w:t>1. Actual vs. predicted leading and lagging success metrics.</w:t>
      </w:r>
    </w:p>
    <w:p>
      <w:pPr>
        <w:spacing w:before="0" w:after="100"/>
      </w:pPr>
      <w:r>
        <w:rPr>
          <w:rFonts w:ascii="Segoe UI" w:hAnsi="Segoe UI"/>
          <w:color w:val="1E293B"/>
          <w:sz w:val="19"/>
        </w:rPr>
        <w:t>2. Direct customer feedback transcripts and NPS delta.</w:t>
      </w:r>
    </w:p>
    <w:p>
      <w:pPr>
        <w:spacing w:before="0" w:after="100"/>
      </w:pPr>
      <w:r>
        <w:rPr>
          <w:rFonts w:ascii="Segoe UI" w:hAnsi="Segoe UI"/>
          <w:color w:val="1E293B"/>
          <w:sz w:val="19"/>
        </w:rPr>
        <w:t>3. Support ticket volume and bug distribution associated with the feature.</w:t>
      </w:r>
    </w:p>
    <w:p>
      <w:pPr>
        <w:spacing w:before="0" w:after="100"/>
      </w:pPr>
      <w:r>
        <w:rPr>
          <w:rFonts w:ascii="Segoe UI" w:hAnsi="Segoe UI"/>
          <w:color w:val="1E293B"/>
          <w:sz w:val="19"/>
        </w:rPr>
        <w:t>4. Recommendations for V2 optimization or backlog closure.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