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2"/>
        </w:rPr>
        <w:t>SECURITY, SOC 2, PENETRATION TESTING &amp; GRC SPECIFICATION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SOC 2 Type II Trust Services Criteria • Threat Modeling &amp; Penetration Testing</w:t>
        <w:br/>
        <w:t>OWASP Top 10 Mitigation Matrix • UK HMRC MTD &amp; GDPR Governance • 24/7 SOC Operations</w:t>
        <w:br/>
        <w:t>Authoritative Information Security &amp; GRC Manual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4"/>
              </w:rPr>
              <w:t>Information Security &amp; Compliance Governance Scope</w:t>
              <w:br/>
            </w:r>
            <w:r>
              <w:rPr>
                <w:rFonts w:ascii="Segoe UI" w:hAnsi="Segoe UI"/>
                <w:i/>
                <w:color w:val="475569"/>
                <w:sz w:val="20"/>
              </w:rPr>
              <w:t>This standalone specification sets forth the comprehensive information security architecture, SOC 2 Type II compliance controls, third-party penetration testing protocols, statutory UK GRC frameworks, and 24/7 Security Operations Center (SOC) runbooks for the blynt platform.</w:t>
            </w:r>
          </w:p>
        </w:tc>
      </w:tr>
    </w:tbl>
    <w:p>
      <w:pPr>
        <w:spacing w:before="600"/>
        <w:jc w:val="center"/>
      </w:pPr>
      <w:r>
        <w:rPr>
          <w:rFonts w:ascii="Segoe UI" w:hAnsi="Segoe UI"/>
          <w:b/>
          <w:color w:val="162D5F"/>
          <w:sz w:val="19"/>
        </w:rPr>
        <w:t xml:space="preserve">Document Ref: </w:t>
      </w:r>
      <w:r>
        <w:rPr>
          <w:rFonts w:ascii="Segoe UI" w:hAnsi="Segoe UI"/>
          <w:color w:val="1E293B"/>
          <w:sz w:val="19"/>
        </w:rPr>
        <w:t>BLYNT-SEC-GRC-V1</w:t>
        <w:br/>
      </w:r>
      <w:r>
        <w:rPr>
          <w:rFonts w:ascii="Segoe UI" w:hAnsi="Segoe UI"/>
          <w:b/>
          <w:color w:val="162D5F"/>
          <w:sz w:val="19"/>
        </w:rPr>
        <w:t xml:space="preserve">System Name: </w:t>
      </w:r>
      <w:r>
        <w:rPr>
          <w:rFonts w:ascii="Segoe UI" w:hAnsi="Segoe UI"/>
          <w:color w:val="1E293B"/>
          <w:sz w:val="19"/>
        </w:rPr>
        <w:t>blynt (Internal Code: Ledgerline)</w:t>
        <w:br/>
      </w:r>
      <w:r>
        <w:rPr>
          <w:rFonts w:ascii="Segoe UI" w:hAnsi="Segoe UI"/>
          <w:b/>
          <w:color w:val="162D5F"/>
          <w:sz w:val="19"/>
        </w:rPr>
        <w:t xml:space="preserve">Compliance Standard: </w:t>
      </w:r>
      <w:r>
        <w:rPr>
          <w:rFonts w:ascii="Segoe UI" w:hAnsi="Segoe UI"/>
          <w:color w:val="1E293B"/>
          <w:sz w:val="19"/>
        </w:rPr>
        <w:t>SOC 2 Type II (Security, Availability, Confidentiality, Processing Integrity)</w:t>
        <w:br/>
      </w:r>
      <w:r>
        <w:rPr>
          <w:rFonts w:ascii="Segoe UI" w:hAnsi="Segoe UI"/>
          <w:b/>
          <w:color w:val="162D5F"/>
          <w:sz w:val="19"/>
        </w:rPr>
        <w:t xml:space="preserve">Data Sovereignty: </w:t>
      </w:r>
      <w:r>
        <w:rPr>
          <w:rFonts w:ascii="Segoe UI" w:hAnsi="Segoe UI"/>
          <w:color w:val="1E293B"/>
          <w:sz w:val="19"/>
        </w:rPr>
        <w:t>AWS London (eu-west-2) • UK GDPR &amp; Data Protection Act 2018 Compliant</w:t>
        <w:br/>
      </w:r>
      <w:r>
        <w:rPr>
          <w:rFonts w:ascii="Segoe UI" w:hAnsi="Segoe UI"/>
          <w:b/>
          <w:color w:val="162D5F"/>
          <w:sz w:val="19"/>
        </w:rPr>
        <w:t xml:space="preserve">Statutory Tax Alignment: </w:t>
      </w:r>
      <w:r>
        <w:rPr>
          <w:rFonts w:ascii="Segoe UI" w:hAnsi="Segoe UI"/>
          <w:color w:val="1E293B"/>
          <w:sz w:val="19"/>
        </w:rPr>
        <w:t>HMRC Making Tax Digital (MTD) Anti-Fraud Security Specifications</w:t>
        <w:br/>
      </w:r>
      <w:r>
        <w:rPr>
          <w:rFonts w:ascii="Segoe UI" w:hAnsi="Segoe UI"/>
          <w:b/>
          <w:color w:val="162D5F"/>
          <w:sz w:val="19"/>
        </w:rPr>
        <w:t xml:space="preserve">Penetration Testing Standard: </w:t>
      </w:r>
      <w:r>
        <w:rPr>
          <w:rFonts w:ascii="Segoe UI" w:hAnsi="Segoe UI"/>
          <w:color w:val="1E293B"/>
          <w:sz w:val="19"/>
        </w:rPr>
        <w:t>CREST / CHECK Certified Annual Red-Team Penetration Testing</w:t>
        <w:br/>
      </w:r>
      <w:r>
        <w:rPr>
          <w:rFonts w:ascii="Segoe UI" w:hAnsi="Segoe UI"/>
          <w:b/>
          <w:color w:val="162D5F"/>
          <w:sz w:val="19"/>
        </w:rPr>
        <w:t xml:space="preserve">Classification: </w:t>
      </w:r>
      <w:r>
        <w:rPr>
          <w:rFonts w:ascii="Segoe UI" w:hAnsi="Segoe UI"/>
          <w:color w:val="1E293B"/>
          <w:sz w:val="19"/>
        </w:rPr>
        <w:t>Confidential Information Security &amp; GRC Specification</w:t>
        <w:br/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blynt — Security, SOC 2, Penetration Testing &amp; GRC Specification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Classification:</w:t>
      </w:r>
      <w:r>
        <w:rPr>
          <w:rFonts w:ascii="Segoe UI" w:hAnsi="Segoe UI"/>
        </w:rPr>
        <w:t xml:space="preserve"> Information Security Architecture, Compliance &amp; Assurance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Target Platform:</w:t>
      </w:r>
      <w:r>
        <w:rPr>
          <w:rFonts w:ascii="Segoe UI" w:hAnsi="Segoe UI"/>
        </w:rPr>
        <w:t xml:space="preserve"> blynt Financial Operating System (</w:t>
      </w:r>
      <w:r>
        <w:rPr>
          <w:rFonts w:ascii="Consolas" w:hAnsi="Consolas"/>
          <w:color w:val="B42828"/>
          <w:sz w:val="19"/>
        </w:rPr>
        <w:t>apps/api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 xml:space="preserve">, AWS </w:t>
      </w:r>
      <w:r>
        <w:rPr>
          <w:rFonts w:ascii="Consolas" w:hAnsi="Consolas"/>
          <w:color w:val="B42828"/>
          <w:sz w:val="19"/>
        </w:rPr>
        <w:t>eu-west-2</w:t>
      </w:r>
      <w:r>
        <w:rPr>
          <w:rFonts w:ascii="Segoe UI" w:hAnsi="Segoe UI"/>
        </w:rPr>
        <w:t xml:space="preserve"> London)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Governance Frameworks:</w:t>
      </w:r>
      <w:r>
        <w:rPr>
          <w:rFonts w:ascii="Segoe UI" w:hAnsi="Segoe UI"/>
        </w:rPr>
        <w:t xml:space="preserve"> SOC 2 Type II, ISO/IEC 27001:2022, HMRC Making Tax Digital (MTD), UK GDPR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Version:</w:t>
      </w:r>
      <w:r>
        <w:rPr>
          <w:rFonts w:ascii="Segoe UI" w:hAnsi="Segoe UI"/>
        </w:rPr>
        <w:t xml:space="preserve"> 1.0 Production Readiness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Ref: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BLYNT-SEC-GRC-V1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Table of Contents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1. Enterprise Security Architecture &amp; Defense-in-Depth Charter</w:t>
      </w:r>
    </w:p>
    <w:p>
      <w:pPr>
        <w:pStyle w:val="ListBullet"/>
        <w:spacing w:before="20" w:after="40"/>
      </w:pPr>
      <w:r>
        <w:rPr>
          <w:rFonts w:ascii="Segoe UI" w:hAnsi="Segoe UI"/>
        </w:rPr>
        <w:t>1.1 Core Security Principles (Zero Trust, Least Privilege, Mathematical Invariance)</w:t>
      </w:r>
    </w:p>
    <w:p>
      <w:pPr>
        <w:pStyle w:val="ListBullet"/>
        <w:spacing w:before="20" w:after="40"/>
      </w:pPr>
      <w:r>
        <w:rPr>
          <w:rFonts w:ascii="Segoe UI" w:hAnsi="Segoe UI"/>
        </w:rPr>
        <w:t>1.2 Information Security Governance &amp; Executive Accountability</w:t>
      </w:r>
    </w:p>
    <w:p>
      <w:pPr>
        <w:pStyle w:val="ListBullet"/>
        <w:spacing w:before="20" w:after="40"/>
      </w:pPr>
      <w:r>
        <w:rPr>
          <w:rFonts w:ascii="Segoe UI" w:hAnsi="Segoe UI"/>
        </w:rPr>
        <w:t>1.3 Perimeter, Network &amp; Container Isolation (AWS eu-west-2 London)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2. SOC 2 Type II Compliance Framework (Trust Services Criteria)</w:t>
      </w:r>
    </w:p>
    <w:p>
      <w:pPr>
        <w:pStyle w:val="ListBullet"/>
        <w:spacing w:before="20" w:after="40"/>
      </w:pPr>
      <w:r>
        <w:rPr>
          <w:rFonts w:ascii="Segoe UI" w:hAnsi="Segoe UI"/>
        </w:rPr>
        <w:t>2.1 Category 1: Security (Common Criteria CC1.0 – CC9.0)</w:t>
      </w:r>
    </w:p>
    <w:p>
      <w:pPr>
        <w:pStyle w:val="ListBullet"/>
        <w:spacing w:before="20" w:after="40"/>
      </w:pPr>
      <w:r>
        <w:rPr>
          <w:rFonts w:ascii="Segoe UI" w:hAnsi="Segoe UI"/>
        </w:rPr>
        <w:t>2.2 Category 2: Availability (Multi-AZ, 99.95% SLO, RPO = 0, RTO &lt; 30m)</w:t>
      </w:r>
    </w:p>
    <w:p>
      <w:pPr>
        <w:pStyle w:val="ListBullet"/>
        <w:spacing w:before="20" w:after="40"/>
      </w:pPr>
      <w:r>
        <w:rPr>
          <w:rFonts w:ascii="Segoe UI" w:hAnsi="Segoe UI"/>
        </w:rPr>
        <w:t>2.3 Category 3: Processing Integrity (Zero-Drift Engine &amp; Invariant Verification)</w:t>
      </w:r>
    </w:p>
    <w:p>
      <w:pPr>
        <w:pStyle w:val="ListBullet"/>
        <w:spacing w:before="20" w:after="40"/>
      </w:pPr>
      <w:r>
        <w:rPr>
          <w:rFonts w:ascii="Segoe UI" w:hAnsi="Segoe UI"/>
        </w:rPr>
        <w:t>2.4 Category 4: Confidentiality (AES-256 KMS, TLS 1.3 &amp; Composite Tenant Isolation)</w:t>
      </w:r>
    </w:p>
    <w:p>
      <w:pPr>
        <w:pStyle w:val="ListBullet"/>
        <w:spacing w:before="20" w:after="40"/>
      </w:pPr>
      <w:r>
        <w:rPr>
          <w:rFonts w:ascii="Segoe UI" w:hAnsi="Segoe UI"/>
        </w:rPr>
        <w:t>2.5 Category 5: Privacy (UK Data Protection Act 2018 &amp; UK GDPR Compliance)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3. Penetration Testing &amp; Vulnerability Management</w:t>
      </w:r>
    </w:p>
    <w:p>
      <w:pPr>
        <w:pStyle w:val="ListBullet"/>
        <w:spacing w:before="20" w:after="40"/>
      </w:pPr>
      <w:r>
        <w:rPr>
          <w:rFonts w:ascii="Segoe UI" w:hAnsi="Segoe UI"/>
        </w:rPr>
        <w:t>3.1 Third-Party Penetration Testing Methodology (CREST / CHECK Certified)</w:t>
      </w:r>
    </w:p>
    <w:p>
      <w:pPr>
        <w:pStyle w:val="ListBullet"/>
        <w:spacing w:before="20" w:after="40"/>
      </w:pPr>
      <w:r>
        <w:rPr>
          <w:rFonts w:ascii="Segoe UI" w:hAnsi="Segoe UI"/>
        </w:rPr>
        <w:t>3.2 The OWASP Top 10 Security Hardening Matrix</w:t>
      </w:r>
    </w:p>
    <w:p>
      <w:pPr>
        <w:pStyle w:val="ListBullet"/>
        <w:spacing w:before="20" w:after="40"/>
      </w:pPr>
      <w:r>
        <w:rPr>
          <w:rFonts w:ascii="Segoe UI" w:hAnsi="Segoe UI"/>
        </w:rPr>
        <w:t>3.3 Static &amp; Dynamic Security Testing (SAST/DAST) in CI/CD Quality Gates</w:t>
      </w:r>
    </w:p>
    <w:p>
      <w:pPr>
        <w:pStyle w:val="ListBullet"/>
        <w:spacing w:before="20" w:after="40"/>
      </w:pPr>
      <w:r>
        <w:rPr>
          <w:rFonts w:ascii="Segoe UI" w:hAnsi="Segoe UI"/>
        </w:rPr>
        <w:t>3.4 Vulnerability Remediation SLAs &amp; Responsible Disclosure Policy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4. Governance, Risk &amp; Compliance (GRC) Architecture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4.1 Threat Modeling Framework (STRIDE Methodology)</w:t>
      </w:r>
    </w:p>
    <w:p>
      <w:pPr>
        <w:pStyle w:val="ListBullet"/>
        <w:spacing w:before="20" w:after="40"/>
      </w:pPr>
      <w:r>
        <w:rPr>
          <w:rFonts w:ascii="Segoe UI" w:hAnsi="Segoe UI"/>
        </w:rPr>
        <w:t>4.2 5x5 Enterprise Risk Assessment Matrix &amp; Risk Register</w:t>
      </w:r>
    </w:p>
    <w:p>
      <w:pPr>
        <w:pStyle w:val="ListBullet"/>
        <w:spacing w:before="20" w:after="40"/>
      </w:pPr>
      <w:r>
        <w:rPr>
          <w:rFonts w:ascii="Segoe UI" w:hAnsi="Segoe UI"/>
        </w:rPr>
        <w:t>4.3 Statutory UK Compliance: HMRC Making Tax Digital (MTD) Anti-Fraud Headers</w:t>
      </w:r>
    </w:p>
    <w:p>
      <w:pPr>
        <w:pStyle w:val="ListBullet"/>
        <w:spacing w:before="20" w:after="40"/>
      </w:pPr>
      <w:r>
        <w:rPr>
          <w:rFonts w:ascii="Segoe UI" w:hAnsi="Segoe UI"/>
        </w:rPr>
        <w:t>4.4 Companies Act 2006 Statutory 6-Year Immutable Record Retention</w:t>
      </w:r>
    </w:p>
    <w:p>
      <w:pPr>
        <w:pStyle w:val="ListBullet"/>
        <w:spacing w:before="20" w:after="40"/>
      </w:pPr>
      <w:r>
        <w:rPr>
          <w:rFonts w:ascii="Segoe UI" w:hAnsi="Segoe UI"/>
        </w:rPr>
        <w:t>4.5 ISO/IEC 27001:2022 Control Alignment Matrix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5. Security Operations Center (SOC) &amp; Incident Response</w:t>
      </w:r>
    </w:p>
    <w:p>
      <w:pPr>
        <w:pStyle w:val="ListBullet"/>
        <w:spacing w:before="20" w:after="40"/>
      </w:pPr>
      <w:r>
        <w:rPr>
          <w:rFonts w:ascii="Segoe UI" w:hAnsi="Segoe UI"/>
        </w:rPr>
        <w:t>5.1 24/7 SIEM &amp; Centralized Log Ingestion Architecture</w:t>
      </w:r>
    </w:p>
    <w:p>
      <w:pPr>
        <w:pStyle w:val="ListBullet"/>
        <w:spacing w:before="20" w:after="40"/>
      </w:pPr>
      <w:r>
        <w:rPr>
          <w:rFonts w:ascii="Segoe UI" w:hAnsi="Segoe UI"/>
        </w:rPr>
        <w:t>5.2 Security Incident Severity Matrix (SEV-1 to SEV-4)</w:t>
      </w:r>
    </w:p>
    <w:p>
      <w:pPr>
        <w:pStyle w:val="ListBullet"/>
        <w:spacing w:before="20" w:after="40"/>
      </w:pPr>
      <w:r>
        <w:rPr>
          <w:rFonts w:ascii="Segoe UI" w:hAnsi="Segoe UI"/>
        </w:rPr>
        <w:t>5.3 Forensic Audit Trail Integrity Verification (</w:t>
      </w:r>
      <w:r>
        <w:rPr>
          <w:rFonts w:ascii="Consolas" w:hAnsi="Consolas"/>
          <w:color w:val="B42828"/>
          <w:sz w:val="19"/>
        </w:rPr>
        <w:t>trg_audit_logs_immutable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5.4 Incident Response Lifecycle: Containment, Eradication &amp; Post-Mortem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1. Enterprise Security Architecture &amp; Defense-in-Depth Charter</w:t>
      </w:r>
    </w:p>
    <w:p>
      <w:pPr>
        <w:spacing w:before="40" w:after="80" w:line="276" w:lineRule="auto"/>
      </w:pPr>
      <w:r>
        <w:rPr>
          <w:rFonts w:ascii="Segoe UI" w:hAnsi="Segoe UI"/>
        </w:rPr>
        <w:t>Financial double-entry ledger platforms are primary targets for malicious actors seeking illicit funds transfer, extortion, or competitive data exfiltration. The security posture of blynt is engineered with institutional rigor.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security_grc_soc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Security - Security architecture, SOC 2 framework and GRC matrix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1.1 Core Security Principles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Zero Trust Architecture:</w:t>
      </w:r>
      <w:r>
        <w:rPr>
          <w:rFonts w:ascii="Segoe UI" w:hAnsi="Segoe UI"/>
        </w:rPr>
        <w:t xml:space="preserve"> Every request is authenticated, authorized, and tenant-scoped at every layer. Perimeter networks are assumed to be hostile.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Mathematical Invariance as a Security Boundary:</w:t>
      </w:r>
      <w:r>
        <w:rPr>
          <w:rFonts w:ascii="Segoe UI" w:hAnsi="Segoe UI"/>
        </w:rPr>
        <w:t xml:space="preserve"> The application and database engines reject any transaction that violates double-entry balance ($\sum </w:t>
        <w:tab/>
        <w:t xml:space="preserve">ext{Debits} == \sum </w:t>
        <w:tab/>
        <w:t>ext{Credits}$), preventing fraudulent out-of-thin-air balance generation.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Immutability of Historical Evidence:</w:t>
      </w:r>
      <w:r>
        <w:rPr>
          <w:rFonts w:ascii="Segoe UI" w:hAnsi="Segoe UI"/>
        </w:rPr>
        <w:t xml:space="preserve"> Accounting journals and audit logs cannot be modified or deleted. Reversals must be executed as GAAP-compliant counter-balancing entries.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Least Privilege Enforcement:</w:t>
      </w:r>
      <w:r>
        <w:rPr>
          <w:rFonts w:ascii="Segoe UI" w:hAnsi="Segoe UI"/>
        </w:rPr>
        <w:t xml:space="preserve"> Every user, microservice, and AWS IAM role operates with the absolute minimum permissions required.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1.2 Information Security Governance &amp; Executive Accountability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 Board of Directors &amp; Chief Information Security Officer (CISO) ]</w:t>
              <w:br/>
              <w:t xml:space="preserve">                           │</w:t>
              <w:br/>
              <w:t xml:space="preserve">       ┌───────────────────┴───────────────────┐</w:t>
              <w:br/>
              <w:t xml:space="preserve">       ▼                                       ▼</w:t>
              <w:br/>
              <w:t>[ Security Engineering &amp; SecOps ]   [ Risk, Compliance &amp; Data Protection ]</w:t>
              <w:br/>
              <w:t xml:space="preserve">  ├── AppSec &amp; SAST/DAST Gates        ├── SOC 2 Type II Compliance Auditor</w:t>
              <w:br/>
              <w:t xml:space="preserve">  ├── Penetration Testing Lead        ├── UK GDPR Data Protection Officer (DPO)</w:t>
              <w:br/>
              <w:t xml:space="preserve">  └── 24/7 SIEM Incident Responder    └── HMRC MTD Regulatory Liaison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1.3 Perimeter, Network &amp; Container Isolation (AWS eu-west-2 London)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Physical Data Sovereignty:</w:t>
      </w:r>
      <w:r>
        <w:rPr>
          <w:rFonts w:ascii="Segoe UI" w:hAnsi="Segoe UI"/>
        </w:rPr>
        <w:t xml:space="preserve"> All production databases, replicas, backups, and container instances reside strictly within AWS London (</w:t>
      </w:r>
      <w:r>
        <w:rPr>
          <w:rFonts w:ascii="Consolas" w:hAnsi="Consolas"/>
          <w:color w:val="B42828"/>
          <w:sz w:val="19"/>
        </w:rPr>
        <w:t>eu-west-2</w:t>
      </w:r>
      <w:r>
        <w:rPr>
          <w:rFonts w:ascii="Segoe UI" w:hAnsi="Segoe UI"/>
        </w:rPr>
        <w:t>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AWS WAF &amp; Shield Advanced:</w:t>
      </w:r>
      <w:r>
        <w:rPr>
          <w:rFonts w:ascii="Segoe UI" w:hAnsi="Segoe UI"/>
        </w:rPr>
        <w:t xml:space="preserve"> Protects public endpoints against DDoS attacks, automated credential stuffing, and SQLi/XSS probing.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VPC Subnet Tiering: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Public Ingress Subnet:</w:t>
      </w:r>
      <w:r>
        <w:rPr>
          <w:rFonts w:ascii="Segoe UI" w:hAnsi="Segoe UI"/>
        </w:rPr>
        <w:t xml:space="preserve"> AWS Amplify / CloudFront edge and App Runner load balancers.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Private Application Subnet:</w:t>
      </w:r>
      <w:r>
        <w:rPr>
          <w:rFonts w:ascii="Segoe UI" w:hAnsi="Segoe UI"/>
        </w:rPr>
        <w:t xml:space="preserve"> NestJS 11 backend containers with zero direct public IP addresses.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Isolated Database Subnet:</w:t>
      </w:r>
      <w:r>
        <w:rPr>
          <w:rFonts w:ascii="Segoe UI" w:hAnsi="Segoe UI"/>
        </w:rPr>
        <w:t xml:space="preserve"> Amazon RDS PostgreSQL 16 Multi-AZ clusters with strictly internal access via Security Groups (Port 5432).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Non-Root Docker Hardening:</w:t>
      </w:r>
      <w:r>
        <w:rPr>
          <w:rFonts w:ascii="Segoe UI" w:hAnsi="Segoe UI"/>
        </w:rPr>
        <w:t xml:space="preserve"> Backend Docker containers run as non-privileged user (</w:t>
      </w:r>
      <w:r>
        <w:rPr>
          <w:rFonts w:ascii="Consolas" w:hAnsi="Consolas"/>
          <w:color w:val="B42828"/>
          <w:sz w:val="19"/>
        </w:rPr>
        <w:t>UID 1001</w:t>
      </w:r>
      <w:r>
        <w:rPr>
          <w:rFonts w:ascii="Segoe UI" w:hAnsi="Segoe UI"/>
        </w:rPr>
        <w:t>), with read-only root filesystems and dropped Linux capabilities.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2. SOC 2 Type II Compliance Framework (Trust Services Criteria)</w:t>
      </w:r>
    </w:p>
    <w:p>
      <w:pPr>
        <w:spacing w:before="40" w:after="80" w:line="276" w:lineRule="auto"/>
      </w:pPr>
      <w:r>
        <w:rPr>
          <w:rFonts w:ascii="Segoe UI" w:hAnsi="Segoe UI"/>
        </w:rPr>
        <w:t>blynt aligns directly with the American Institute of CPAs (AICPA) Trust Services Criteria for SOC 2 Type II compliance: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2.1 Category 1: Security (Common Criteria CC1.0 – CC9.0)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SOC 2 Criteria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Institutional Control in blynt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Evidence Artifact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CC6.1: Logical Access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Multi-factor authentication (MFA) supported. Bearer token sessions validated in </w:t>
            </w:r>
            <w:r>
              <w:rPr>
                <w:rFonts w:ascii="Consolas" w:hAnsi="Consolas"/>
                <w:color w:val="B42828"/>
                <w:sz w:val="18"/>
              </w:rPr>
              <w:t>user_sessions</w:t>
            </w:r>
            <w:r>
              <w:rPr>
                <w:rFonts w:ascii="Segoe UI" w:hAnsi="Segoe UI"/>
                <w:sz w:val="18"/>
              </w:rPr>
              <w:t xml:space="preserve"> with sliding expiration.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auth.guard.ts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session.service.ts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CC6.2: User Registration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RBAC hierarchy (</w:t>
            </w:r>
            <w:r>
              <w:rPr>
                <w:rFonts w:ascii="Consolas" w:hAnsi="Consolas"/>
                <w:color w:val="B42828"/>
                <w:sz w:val="18"/>
              </w:rPr>
              <w:t>OWNER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ADMINISTRATOR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ACCOUNTANT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BOOKKEEPER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VIEWER</w:t>
            </w:r>
            <w:r>
              <w:rPr>
                <w:rFonts w:ascii="Segoe UI" w:hAnsi="Segoe UI"/>
                <w:sz w:val="18"/>
              </w:rPr>
              <w:t>). Least privilege route guards.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roles.guard.ts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roles.constants.ts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CC6.6: Perimeter Protection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AWS WAF, Security Groups, private VPC subnets. All ingress over TLS 1.3.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Terraform VPC &amp; WAF configurations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CC6.7: Data Transmission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HTTPS forced with HSTS header (</w:t>
            </w:r>
            <w:r>
              <w:rPr>
                <w:rFonts w:ascii="Consolas" w:hAnsi="Consolas"/>
                <w:color w:val="B42828"/>
                <w:sz w:val="18"/>
              </w:rPr>
              <w:t>max-age=31536000; includeSubDomains; preload</w:t>
            </w:r>
            <w:r>
              <w:rPr>
                <w:rFonts w:ascii="Segoe UI" w:hAnsi="Segoe UI"/>
                <w:sz w:val="18"/>
              </w:rPr>
              <w:t>).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helmet.config.ts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CC7.1: Vulnerability Mgmt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CI/CD automated gates fail if </w:t>
            </w:r>
            <w:r>
              <w:rPr>
                <w:rFonts w:ascii="Consolas" w:hAnsi="Consolas"/>
                <w:color w:val="B42828"/>
                <w:sz w:val="18"/>
              </w:rPr>
              <w:t>npm audit</w:t>
            </w:r>
            <w:r>
              <w:rPr>
                <w:rFonts w:ascii="Segoe UI" w:hAnsi="Segoe UI"/>
                <w:sz w:val="18"/>
              </w:rPr>
              <w:t xml:space="preserve"> or Snyk detects high/critical vulnerabilities.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.github/workflows/ci.yml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2.2 Category 2: Availability (99.95% SLO, RPO = 0, RTO &lt; 30m)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Multi-AZ High Availability:</w:t>
      </w:r>
      <w:r>
        <w:rPr>
          <w:rFonts w:ascii="Segoe UI" w:hAnsi="Segoe UI"/>
        </w:rPr>
        <w:t xml:space="preserve"> Amazon RDS PostgreSQL 16 configured with synchronous replication across multiple Availability Zones in </w:t>
      </w:r>
      <w:r>
        <w:rPr>
          <w:rFonts w:ascii="Consolas" w:hAnsi="Consolas"/>
          <w:color w:val="B42828"/>
          <w:sz w:val="19"/>
        </w:rPr>
        <w:t>eu-west-2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Zero Recovery Point Objective ($RPO = 0$):</w:t>
      </w:r>
      <w:r>
        <w:rPr>
          <w:rFonts w:ascii="Segoe UI" w:hAnsi="Segoe UI"/>
        </w:rPr>
        <w:t xml:space="preserve"> Continuous Write-Ahead Log (WAL) streaming guarantees zero financial transaction data loss during instance failover.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Rapid Recovery Time Objective ($RTO &lt; 30</w:t>
        <w:tab/>
        <w:t>ext{m}$):</w:t>
      </w:r>
      <w:r>
        <w:rPr>
          <w:rFonts w:ascii="Segoe UI" w:hAnsi="Segoe UI"/>
        </w:rPr>
        <w:t xml:space="preserve"> Automated standby promotion in under 60 seconds; regional disaster recovery failover executed via automated runbook.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2.3 Category 3: Processing Integrity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Fixed-Point Precision Math:</w:t>
      </w:r>
      <w:r>
        <w:rPr>
          <w:rFonts w:ascii="Segoe UI" w:hAnsi="Segoe UI"/>
        </w:rPr>
        <w:t xml:space="preserve"> Financial arithmetic executed via </w:t>
      </w:r>
      <w:r>
        <w:rPr>
          <w:rFonts w:ascii="Consolas" w:hAnsi="Consolas"/>
          <w:color w:val="B42828"/>
          <w:sz w:val="19"/>
        </w:rPr>
        <w:t>MoneyService</w:t>
      </w:r>
      <w:r>
        <w:rPr>
          <w:rFonts w:ascii="Segoe UI" w:hAnsi="Segoe UI"/>
        </w:rPr>
        <w:t xml:space="preserve"> wrapping </w:t>
      </w:r>
      <w:r>
        <w:rPr>
          <w:rFonts w:ascii="Consolas" w:hAnsi="Consolas"/>
          <w:color w:val="B42828"/>
          <w:sz w:val="19"/>
        </w:rPr>
        <w:t>Decimal.js</w:t>
      </w:r>
      <w:r>
        <w:rPr>
          <w:rFonts w:ascii="Segoe UI" w:hAnsi="Segoe UI"/>
        </w:rPr>
        <w:t xml:space="preserve"> configuring 4 decimal places (</w:t>
      </w:r>
      <w:r>
        <w:rPr>
          <w:rFonts w:ascii="Consolas" w:hAnsi="Consolas"/>
          <w:color w:val="B42828"/>
          <w:sz w:val="19"/>
        </w:rPr>
        <w:t>NUMERIC(19,4)</w:t>
      </w:r>
      <w:r>
        <w:rPr>
          <w:rFonts w:ascii="Segoe UI" w:hAnsi="Segoe UI"/>
        </w:rPr>
        <w:t>), eliminating floating-point rounding drift.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15 Accounting Invariants:</w:t>
      </w:r>
      <w:r>
        <w:rPr>
          <w:rFonts w:ascii="Segoe UI" w:hAnsi="Segoe UI"/>
        </w:rPr>
        <w:t xml:space="preserve"> Evaluated atomically by </w:t>
      </w:r>
      <w:r>
        <w:rPr>
          <w:rFonts w:ascii="Consolas" w:hAnsi="Consolas"/>
          <w:color w:val="B42828"/>
          <w:sz w:val="19"/>
        </w:rPr>
        <w:t>JournalValidationService</w:t>
      </w:r>
      <w:r>
        <w:rPr>
          <w:rFonts w:ascii="Segoe UI" w:hAnsi="Segoe UI"/>
        </w:rPr>
        <w:t xml:space="preserve"> prior to General Ledger commit.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Idempotency Gate:</w:t>
      </w:r>
      <w:r>
        <w:rPr>
          <w:rFonts w:ascii="Segoe UI" w:hAnsi="Segoe UI"/>
        </w:rPr>
        <w:t xml:space="preserve"> All financial posting endpoints verify idempotency keys to prevent duplicate transaction execution on network retries.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2.4 Category 4: Confidentiality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Data-at-Rest Encryption:</w:t>
      </w:r>
      <w:r>
        <w:rPr>
          <w:rFonts w:ascii="Segoe UI" w:hAnsi="Segoe UI"/>
        </w:rPr>
        <w:t xml:space="preserve"> AES-256 encryption across all Amazon RDS instances, EBS volumes, and S3 backup buckets using AWS KMS Customer Managed Keys (CMK).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Multi-Tenant Logical Isolation:</w:t>
      </w:r>
      <w:r>
        <w:rPr>
          <w:rFonts w:ascii="Segoe UI" w:hAnsi="Segoe UI"/>
        </w:rPr>
        <w:t xml:space="preserve"> Enforced at the database relational layer using composite foreign keys </w:t>
      </w:r>
      <w:r>
        <w:rPr>
          <w:rFonts w:ascii="Consolas" w:hAnsi="Consolas"/>
          <w:color w:val="B42828"/>
          <w:sz w:val="19"/>
        </w:rPr>
        <w:t>(organization_id, id)</w:t>
      </w:r>
      <w:r>
        <w:rPr>
          <w:rFonts w:ascii="Segoe UI" w:hAnsi="Segoe UI"/>
        </w:rPr>
        <w:t>. A database query in Organisation A cannot physically address records in Organisation B.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2.5 Category 5: Privacy (UK GDPR &amp; Data Protection Act 2018)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Data Minimization:</w:t>
      </w:r>
      <w:r>
        <w:rPr>
          <w:rFonts w:ascii="Segoe UI" w:hAnsi="Segoe UI"/>
        </w:rPr>
        <w:t xml:space="preserve"> Financial records retain only commercial counterparties and verified contact people.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Right to Erasure vs. Statutory Accounting Invariant:</w:t>
      </w:r>
    </w:p>
    <w:p>
      <w:pPr>
        <w:pStyle w:val="ListBullet"/>
        <w:spacing w:before="20" w:after="40"/>
      </w:pPr>
      <w:r>
        <w:rPr>
          <w:rFonts w:ascii="Segoe UI" w:hAnsi="Segoe UI"/>
        </w:rPr>
        <w:t>Personal identifiable information (PII) on contacts may be sanitized upon formal GDPR request.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Statutory Compliance Override:</w:t>
      </w:r>
      <w:r>
        <w:rPr>
          <w:rFonts w:ascii="Segoe UI" w:hAnsi="Segoe UI"/>
        </w:rPr>
        <w:t xml:space="preserve"> Posted journal entries, amounts, and dates are legally exempt from erasure under UK Companies Act 2006 Section 386 and HMRC Notice 700/21, preserving immutable ledger integrity.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3. Penetration Testing &amp; Vulnerability Management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3.1 Third-Party Penetration Testing Methodology</w:t>
      </w:r>
    </w:p>
    <w:p>
      <w:pPr>
        <w:spacing w:before="40" w:after="80" w:line="276" w:lineRule="auto"/>
      </w:pPr>
      <w:r>
        <w:rPr>
          <w:rFonts w:ascii="Segoe UI" w:hAnsi="Segoe UI"/>
        </w:rPr>
        <w:t>blynt undergoes annual third-party penetration testing conducted by independent, CREST- and CHECK-certified security testing organizations.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Methodology Standards:</w:t>
      </w:r>
      <w:r>
        <w:rPr>
          <w:rFonts w:ascii="Segoe UI" w:hAnsi="Segoe UI"/>
        </w:rPr>
        <w:t xml:space="preserve"> Testing adheres to the Open Source Security Testing Methodology Manual (OSSTMM) and OWASP Web Security Testing Guide (WSTG v4.2).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Assessment Scope: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Black-Box Testing:</w:t>
      </w:r>
      <w:r>
        <w:rPr>
          <w:rFonts w:ascii="Segoe UI" w:hAnsi="Segoe UI"/>
        </w:rPr>
        <w:t xml:space="preserve"> External unauthenticated probing of public APIs, rate limits, and WAF bypasses.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Gray-Box Testing:</w:t>
      </w:r>
      <w:r>
        <w:rPr>
          <w:rFonts w:ascii="Segoe UI" w:hAnsi="Segoe UI"/>
        </w:rPr>
        <w:t xml:space="preserve"> Authenticated testing across all 5 roles (</w:t>
      </w:r>
      <w:r>
        <w:rPr>
          <w:rFonts w:ascii="Consolas" w:hAnsi="Consolas"/>
          <w:color w:val="B42828"/>
          <w:sz w:val="19"/>
        </w:rPr>
        <w:t>VIEWER</w:t>
      </w:r>
      <w:r>
        <w:rPr>
          <w:rFonts w:ascii="Segoe UI" w:hAnsi="Segoe UI"/>
        </w:rPr>
        <w:t xml:space="preserve"> through </w:t>
      </w: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>) testing for horizontal and vertical privilege escalation (BOLA/IDOR).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White-Box Code Audit:</w:t>
      </w:r>
      <w:r>
        <w:rPr>
          <w:rFonts w:ascii="Segoe UI" w:hAnsi="Segoe UI"/>
        </w:rPr>
        <w:t xml:space="preserve"> Source code analysis of </w:t>
      </w:r>
      <w:r>
        <w:rPr>
          <w:rFonts w:ascii="Consolas" w:hAnsi="Consolas"/>
          <w:color w:val="B42828"/>
          <w:sz w:val="19"/>
        </w:rPr>
        <w:t>src/accounting-engine/</w:t>
      </w:r>
      <w:r>
        <w:rPr>
          <w:rFonts w:ascii="Segoe UI" w:hAnsi="Segoe UI"/>
        </w:rPr>
        <w:t xml:space="preserve"> and authentication guards.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3.2 The OWASP Top 10 Security Hardening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OWASP Top 10 Vulnerability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Attack Vector in Accounting Software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Specific blynt Technical Defense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A01: Broken Access Control (IDOR / BOLA)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Tenant A attempts to view or post journals into Tenant B by guessing UUIDs.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Composite Foreign Keys:</w:t>
            </w:r>
            <w:r>
              <w:rPr>
                <w:rFonts w:ascii="Segoe UI" w:hAnsi="Segoe UI"/>
                <w:sz w:val="18"/>
              </w:rPr>
              <w:t xml:space="preserve"> Database engine enforces </w:t>
            </w:r>
            <w:r>
              <w:rPr>
                <w:rFonts w:ascii="Consolas" w:hAnsi="Consolas"/>
                <w:color w:val="B42828"/>
                <w:sz w:val="18"/>
              </w:rPr>
              <w:t>(organization_id, id)</w:t>
            </w:r>
            <w:r>
              <w:rPr>
                <w:rFonts w:ascii="Segoe UI" w:hAnsi="Segoe UI"/>
                <w:sz w:val="18"/>
              </w:rPr>
              <w:t xml:space="preserve"> constraints. </w:t>
            </w:r>
            <w:r>
              <w:rPr>
                <w:rFonts w:ascii="Consolas" w:hAnsi="Consolas"/>
                <w:color w:val="B42828"/>
                <w:sz w:val="18"/>
              </w:rPr>
              <w:t>RolesGuard</w:t>
            </w:r>
            <w:r>
              <w:rPr>
                <w:rFonts w:ascii="Segoe UI" w:hAnsi="Segoe UI"/>
                <w:sz w:val="18"/>
              </w:rPr>
              <w:t xml:space="preserve"> verifies tenant membership on every route.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A02: Cryptographic Failures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Interception of plain-text passwords or session tokens.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`scrypt` Hashing:</w:t>
            </w:r>
            <w:r>
              <w:rPr>
                <w:rFonts w:ascii="Segoe UI" w:hAnsi="Segoe UI"/>
                <w:sz w:val="18"/>
              </w:rPr>
              <w:t xml:space="preserve"> 16-byte random salt, 64-byte key length. </w:t>
            </w:r>
            <w:r>
              <w:rPr>
                <w:rFonts w:ascii="Consolas" w:hAnsi="Consolas"/>
                <w:color w:val="B42828"/>
                <w:sz w:val="18"/>
              </w:rPr>
              <w:t>crypto.timingSafeEqual</w:t>
            </w:r>
            <w:r>
              <w:rPr>
                <w:rFonts w:ascii="Segoe UI" w:hAnsi="Segoe UI"/>
                <w:sz w:val="18"/>
              </w:rPr>
              <w:t xml:space="preserve"> constant-time verification. TLS 1.3 strict transport.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A03: Injection (SQL Injection)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Attacker injects SQL payload via search inputs or journal narrations.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Prisma ORM:</w:t>
            </w:r>
            <w:r>
              <w:rPr>
                <w:rFonts w:ascii="Segoe UI" w:hAnsi="Segoe UI"/>
                <w:sz w:val="18"/>
              </w:rPr>
              <w:t xml:space="preserve"> 100% of queries use parameterized prepared statements. Raw SQL strictly limited to parameterized </w:t>
            </w:r>
            <w:r>
              <w:rPr>
                <w:rFonts w:ascii="Consolas" w:hAnsi="Consolas"/>
                <w:color w:val="B42828"/>
                <w:sz w:val="18"/>
              </w:rPr>
              <w:t>$queryRaw</w:t>
            </w:r>
            <w:r>
              <w:rPr>
                <w:rFonts w:ascii="Segoe UI" w:hAnsi="Segoe UI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| </w:t>
      </w:r>
      <w:r>
        <w:rPr>
          <w:rFonts w:ascii="Segoe UI" w:hAnsi="Segoe UI"/>
          <w:b/>
        </w:rPr>
        <w:t>A04: Insecure Design</w:t>
      </w:r>
      <w:r>
        <w:rPr>
          <w:rFonts w:ascii="Segoe UI" w:hAnsi="Segoe UI"/>
        </w:rPr>
        <w:t xml:space="preserve"> | Attacker bypasses UI to post unbalanced journals ($Debits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e Credits$). | </w:t>
      </w:r>
      <w:r>
        <w:rPr>
          <w:rFonts w:ascii="Segoe UI" w:hAnsi="Segoe UI"/>
          <w:b/>
        </w:rPr>
        <w:t>`JournalValidationService`:</w:t>
      </w:r>
      <w:r>
        <w:rPr>
          <w:rFonts w:ascii="Segoe UI" w:hAnsi="Segoe UI"/>
        </w:rPr>
        <w:t xml:space="preserve"> Server-side mathematical validation checks 15 invariants inside an atomic row-locked transaction.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**A05: Security Misconfiguration**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Unnecessary HTTP headers, directory listing, or permissive CORS.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**`Helmet.js`:** Enforces CSP, HSTS, X-Frame-Options (`DENY`). Strict CORS origin matching active domain.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A06: Vulnerable Components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Known CVEs in npm third-party packages.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CI/CD Quality Gate:</w:t>
            </w:r>
            <w:r>
              <w:rPr>
                <w:rFonts w:ascii="Segoe UI" w:hAnsi="Segoe UI"/>
                <w:sz w:val="18"/>
              </w:rPr>
              <w:t xml:space="preserve"> </w:t>
            </w:r>
            <w:r>
              <w:rPr>
                <w:rFonts w:ascii="Consolas" w:hAnsi="Consolas"/>
                <w:color w:val="B42828"/>
                <w:sz w:val="18"/>
              </w:rPr>
              <w:t>npm audit --omit=dev</w:t>
            </w:r>
            <w:r>
              <w:rPr>
                <w:rFonts w:ascii="Segoe UI" w:hAnsi="Segoe UI"/>
                <w:sz w:val="18"/>
              </w:rPr>
              <w:t xml:space="preserve"> and Snyk scans fail PRs with high or critical vulnerabilities.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A07: Identification &amp; Auth Failures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Brute-force credential stuffing attacks against login endpoints.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Rate Limiter Middleware:</w:t>
            </w:r>
            <w:r>
              <w:rPr>
                <w:rFonts w:ascii="Segoe UI" w:hAnsi="Segoe UI"/>
                <w:sz w:val="18"/>
              </w:rPr>
              <w:t xml:space="preserve"> Max 5 attempts per minute per IP; exponential backoff and session lockouts.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A08: Software &amp; Data Integrity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Database administrator manually updates historical journal rows.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Statutory Immutability Trigger:</w:t>
            </w:r>
            <w:r>
              <w:rPr>
                <w:rFonts w:ascii="Segoe UI" w:hAnsi="Segoe UI"/>
                <w:sz w:val="18"/>
              </w:rPr>
              <w:t xml:space="preserve"> PostgreSQL trigger </w:t>
            </w:r>
            <w:r>
              <w:rPr>
                <w:rFonts w:ascii="Consolas" w:hAnsi="Consolas"/>
                <w:color w:val="B42828"/>
                <w:sz w:val="18"/>
              </w:rPr>
              <w:t>trg_audit_logs_immutable</w:t>
            </w:r>
            <w:r>
              <w:rPr>
                <w:rFonts w:ascii="Segoe UI" w:hAnsi="Segoe UI"/>
                <w:sz w:val="18"/>
              </w:rPr>
              <w:t xml:space="preserve"> raises statutory exception on any UPDATE/DELETE.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A09: Logging &amp; Monitoring Failures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Unauthorized actions occur without an audit trail.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Structured Logging:</w:t>
            </w:r>
            <w:r>
              <w:rPr>
                <w:rFonts w:ascii="Segoe UI" w:hAnsi="Segoe UI"/>
                <w:sz w:val="18"/>
              </w:rPr>
              <w:t xml:space="preserve"> Every mutating action emits an </w:t>
            </w:r>
            <w:r>
              <w:rPr>
                <w:rFonts w:ascii="Consolas" w:hAnsi="Consolas"/>
                <w:color w:val="B42828"/>
                <w:sz w:val="18"/>
              </w:rPr>
              <w:t>AuditLog</w:t>
            </w:r>
            <w:r>
              <w:rPr>
                <w:rFonts w:ascii="Segoe UI" w:hAnsi="Segoe UI"/>
                <w:sz w:val="18"/>
              </w:rPr>
              <w:t xml:space="preserve"> record with actor, organization, request ID, and state deltas.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A10: Server-Side Request Forgery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Webhook system exploited to probe internal AWS metadata (</w:t>
            </w:r>
            <w:r>
              <w:rPr>
                <w:rFonts w:ascii="Consolas" w:hAnsi="Consolas"/>
                <w:color w:val="B42828"/>
                <w:sz w:val="18"/>
              </w:rPr>
              <w:t>169.254.169.254</w:t>
            </w:r>
            <w:r>
              <w:rPr>
                <w:rFonts w:ascii="Segoe UI" w:hAnsi="Segoe UI"/>
                <w:sz w:val="18"/>
              </w:rPr>
              <w:t>).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Egress Filtering:</w:t>
            </w:r>
            <w:r>
              <w:rPr>
                <w:rFonts w:ascii="Segoe UI" w:hAnsi="Segoe UI"/>
                <w:sz w:val="18"/>
              </w:rPr>
              <w:t xml:space="preserve"> Outbound HTTP requests restricted via VPC egress security groups; internal IP ranges blocked.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3.3 Static &amp; Dynamic Security Testing (SAST/DAST) in CI/CD</w:t>
      </w:r>
    </w:p>
    <w:p>
      <w:pPr>
        <w:spacing w:before="40" w:after="80" w:line="276" w:lineRule="auto"/>
      </w:pPr>
      <w:r>
        <w:rPr>
          <w:rFonts w:ascii="Segoe UI" w:hAnsi="Segoe UI"/>
        </w:rPr>
        <w:t>Every Pull Request must pass automated security scanners in GitHub 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Dependency security audit</w:t>
              <w:br/>
              <w:t>npm audit --audit-level=high --omit=dev</w:t>
              <w:br/>
              <w:br/>
              <w:t># 2. Static application security testing (SAST)</w:t>
              <w:br/>
              <w:t>npx eslint . --max-warnings=0</w:t>
              <w:br/>
              <w:br/>
              <w:t># 3. Prisma schema relation verification</w:t>
              <w:br/>
              <w:t>npx prisma validate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3.4 Vulnerability Remediation SLAs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CVSS v3.1 Severity Score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Categorization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Mandatory Remediation SLA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Escalation Target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9.0 – 10.0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CRITICAL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24 Hours</w:t>
            </w:r>
            <w:r>
              <w:rPr>
                <w:rFonts w:ascii="Segoe UI" w:hAnsi="Segoe UI"/>
                <w:sz w:val="18"/>
              </w:rPr>
              <w:t xml:space="preserve"> (Emergency Hotfix Release)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CISO &amp; Lead Architect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7.0 – 8.9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HIGH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7 Calendar Days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Tech Lead &amp; SecOps Engineer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4.0 – 6.9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MEDIUM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30 Calendar Days</w:t>
            </w:r>
            <w:r>
              <w:rPr>
                <w:rFonts w:ascii="Segoe UI" w:hAnsi="Segoe UI"/>
                <w:sz w:val="18"/>
              </w:rPr>
              <w:t xml:space="preserve"> (Next Sprint Release)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Assigned Product Engineer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0.1 – 3.9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LOW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90 Calendar Days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Backlog Refinement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4. Governance, Risk &amp; Compliance (GRC) Architecture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 Threat Modeling Framework (STRIDE Methodology)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Threat Category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Potential Risk Scenario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blynt Architectural Mitigation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Spoofing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Attacker impersonates legitimate accountant.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Bearer token validated against active </w:t>
            </w:r>
            <w:r>
              <w:rPr>
                <w:rFonts w:ascii="Consolas" w:hAnsi="Consolas"/>
                <w:color w:val="B42828"/>
                <w:sz w:val="18"/>
              </w:rPr>
              <w:t>user_sessions</w:t>
            </w:r>
            <w:r>
              <w:rPr>
                <w:rFonts w:ascii="Segoe UI" w:hAnsi="Segoe UI"/>
                <w:sz w:val="18"/>
              </w:rPr>
              <w:t>; session revokes on password reset.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Tampering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Rogue actor alters historical journal debits/credits.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Hardened relational database constraints; GAAP reversal non-destructive counter-entries.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Repudiation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User denies having posted an invoice or locked a period.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Append-only </w:t>
            </w:r>
            <w:r>
              <w:rPr>
                <w:rFonts w:ascii="Consolas" w:hAnsi="Consolas"/>
                <w:color w:val="B42828"/>
                <w:sz w:val="18"/>
              </w:rPr>
              <w:t>audit_logs</w:t>
            </w:r>
            <w:r>
              <w:rPr>
                <w:rFonts w:ascii="Segoe UI" w:hAnsi="Segoe UI"/>
                <w:sz w:val="18"/>
              </w:rPr>
              <w:t xml:space="preserve"> record capturing actor ID, timestamp, IP address, and request ID.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Information Disclosure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Data leak between multi-tenant accounts.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Composite foreign keys </w:t>
            </w:r>
            <w:r>
              <w:rPr>
                <w:rFonts w:ascii="Consolas" w:hAnsi="Consolas"/>
                <w:color w:val="B42828"/>
                <w:sz w:val="18"/>
              </w:rPr>
              <w:t>(organization_id, id)</w:t>
            </w:r>
            <w:r>
              <w:rPr>
                <w:rFonts w:ascii="Segoe UI" w:hAnsi="Segoe UI"/>
                <w:sz w:val="18"/>
              </w:rPr>
              <w:t xml:space="preserve"> block cross-tenant queries at SQL engine layer.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Denial of Service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Resource exhaustion via complex reporting queries.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Database query pagination, connection pooling via PgBouncer, statement timeouts (10s max).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Elevation of Privilege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Bookkeeper invokes accountant-only hard-lock route.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RolesGuard</w:t>
            </w:r>
            <w:r>
              <w:rPr>
                <w:rFonts w:ascii="Segoe UI" w:hAnsi="Segoe UI"/>
                <w:sz w:val="18"/>
              </w:rPr>
              <w:t xml:space="preserve"> strictly inspects user's verified role against endpoint </w:t>
            </w:r>
            <w:r>
              <w:rPr>
                <w:rFonts w:ascii="Consolas" w:hAnsi="Consolas"/>
                <w:color w:val="B42828"/>
                <w:sz w:val="18"/>
              </w:rPr>
              <w:t>@Roles(...)</w:t>
            </w:r>
            <w:r>
              <w:rPr>
                <w:rFonts w:ascii="Segoe UI" w:hAnsi="Segoe UI"/>
                <w:sz w:val="18"/>
              </w:rPr>
              <w:t xml:space="preserve"> metadata.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4.2 5x5 Enterprise Risk Assessment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IMPACT ───&gt;</w:t>
              <w:br/>
              <w:t xml:space="preserve">   Likelihood   1 (Insignif)   2 (Minor)   3 (Moderate)   4 (Major)   5 (Catastrophic)</w:t>
              <w:br/>
              <w:t xml:space="preserve">   5 (Frequent)   Low          Medium      High           Critical    Critical</w:t>
              <w:br/>
              <w:t xml:space="preserve">   4 (Likely)     Low          Medium      High           High        Critical</w:t>
              <w:br/>
              <w:t xml:space="preserve">   3 (Possible)   Low          Low         Medium         High        High</w:t>
              <w:br/>
              <w:t xml:space="preserve">   2 (Unlikely)   Low          Low         Low            Medium      High</w:t>
              <w:br/>
              <w:t xml:space="preserve">   1 (Rare)       Low          Low         Low            Low         Medium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Target Residual Risk:</w:t>
      </w:r>
      <w:r>
        <w:rPr>
          <w:rFonts w:ascii="Segoe UI" w:hAnsi="Segoe UI"/>
        </w:rPr>
        <w:t xml:space="preserve"> Zero "Critical" or "High" risks permitted in production without formal CISO risk acceptance and documented compensating controls.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4.3 Statutory UK Compliance: HMRC Making Tax Digital (MTD) Anti-Fraud Headers</w:t>
      </w:r>
    </w:p>
    <w:p>
      <w:pPr>
        <w:spacing w:before="40" w:after="80" w:line="276" w:lineRule="auto"/>
      </w:pPr>
      <w:r>
        <w:rPr>
          <w:rFonts w:ascii="Segoe UI" w:hAnsi="Segoe UI"/>
        </w:rPr>
        <w:t>To comply with statutory UK HMRC Making Tax Digital specifications, all outbound HMRC API requests automatically bundle mandatory anti-fraud headers: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Gov-Client-Connection-Method: WEB_APP_VIA_SERVER</w:t>
              <w:br/>
              <w:t>Gov-Client-Device-ID: 7a8b9c0d-1e2f-3a4b-5c6d-7e8f9a0b1c2d</w:t>
              <w:br/>
              <w:t>Gov-Client-User-IDs: os=windows&amp;user=blynt_accountant_42</w:t>
              <w:br/>
              <w:t>Gov-Client-Timezone: UTC+01:00</w:t>
              <w:br/>
              <w:t>Gov-Client-Local-IPs: 192.168.1.50</w:t>
              <w:br/>
              <w:t>Gov-Client-Public-IP: 198.51.100.25</w:t>
              <w:br/>
              <w:t>Gov-Vendor-Version: blynt=1.0.4&amp;engine=nestjs-11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4.4 Companies Act 2006 Statutory 6-Year Immutable Record Retention</w:t>
      </w:r>
    </w:p>
    <w:p>
      <w:pPr>
        <w:spacing w:before="40" w:after="80" w:line="276" w:lineRule="auto"/>
      </w:pPr>
      <w:r>
        <w:rPr>
          <w:rFonts w:ascii="Segoe UI" w:hAnsi="Segoe UI"/>
        </w:rPr>
        <w:t>Under UK Companies Act 2006 Section 388 and HMRC VAT Notice 700/21: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Accounting records and audit trails must be retained for </w:t>
      </w:r>
      <w:r>
        <w:rPr>
          <w:rFonts w:ascii="Segoe UI" w:hAnsi="Segoe UI"/>
          <w:b/>
        </w:rPr>
        <w:t>6 years from the end of the last financial year they relate to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AWS S3 backup buckets are configured with </w:t>
      </w:r>
      <w:r>
        <w:rPr>
          <w:rFonts w:ascii="Segoe UI" w:hAnsi="Segoe UI"/>
          <w:b/>
        </w:rPr>
        <w:t>AWS S3 Object Lock in Compliance Mode</w:t>
      </w:r>
      <w:r>
        <w:rPr>
          <w:rFonts w:ascii="Segoe UI" w:hAnsi="Segoe UI"/>
        </w:rPr>
        <w:t xml:space="preserve"> (WORM: Write Once, Read Many).</w:t>
      </w:r>
    </w:p>
    <w:p>
      <w:pPr>
        <w:pStyle w:val="ListBullet"/>
        <w:spacing w:before="20" w:after="40"/>
      </w:pPr>
      <w:r>
        <w:rPr>
          <w:rFonts w:ascii="Segoe UI" w:hAnsi="Segoe UI"/>
        </w:rPr>
        <w:t>Automated lifecycle policies prevent any deletion—even by root AWS account credentials—until the statutory retention period expires.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4.5 ISO/IEC 27001:2022 Control Alignment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ISO 27001:2022 Control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Control Name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blynt Implementation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A.5.15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Access Control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Role-Based Access Control (</w:t>
            </w:r>
            <w:r>
              <w:rPr>
                <w:rFonts w:ascii="Consolas" w:hAnsi="Consolas"/>
                <w:color w:val="B42828"/>
                <w:sz w:val="18"/>
              </w:rPr>
              <w:t>RolesGuard</w:t>
            </w:r>
            <w:r>
              <w:rPr>
                <w:rFonts w:ascii="Segoe UI" w:hAnsi="Segoe UI"/>
                <w:sz w:val="18"/>
              </w:rPr>
              <w:t>) and tenant isolation.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A.5.23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Cloud Security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AWS Infrastructure as Code with least-privilege IAM policies.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A.8.7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Malware Protection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Container image vulnerability scanning via Amazon ECR.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A.8.8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Vulnerability Mgmt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Continuous Snyk and Dependabot scanning in GitHub Actions CI.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A.8.9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Configuration Mgmt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Centralized configuration via validated environment schemas (</w:t>
            </w:r>
            <w:r>
              <w:rPr>
                <w:rFonts w:ascii="Consolas" w:hAnsi="Consolas"/>
                <w:color w:val="B42828"/>
                <w:sz w:val="18"/>
              </w:rPr>
              <w:t>env.ts</w:t>
            </w:r>
            <w:r>
              <w:rPr>
                <w:rFonts w:ascii="Segoe UI" w:hAnsi="Segoe UI"/>
                <w:sz w:val="18"/>
              </w:rPr>
              <w:t>).</w:t>
            </w:r>
          </w:p>
        </w:tc>
      </w:tr>
      <w:tr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A.8.24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Use of Cryptography</w:t>
            </w:r>
          </w:p>
        </w:tc>
        <w:tc>
          <w:tcPr>
            <w:tcW w:type="dxa" w:w="3216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AES-256 KMS storage encryption; </w:t>
            </w:r>
            <w:r>
              <w:rPr>
                <w:rFonts w:ascii="Consolas" w:hAnsi="Consolas"/>
                <w:color w:val="B42828"/>
                <w:sz w:val="18"/>
              </w:rPr>
              <w:t>scrypt</w:t>
            </w:r>
            <w:r>
              <w:rPr>
                <w:rFonts w:ascii="Segoe UI" w:hAnsi="Segoe UI"/>
                <w:sz w:val="18"/>
              </w:rPr>
              <w:t xml:space="preserve"> password hashing; TLS 1.3.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5. Security Operations Center (SOC) &amp; Incident Response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5.1 24/7 SIEM &amp; Centralized Log Ingestion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 Application Logs (apps/api) ] ──&gt; [ AWS CloudWatch Logs (JSON) ] ──&gt; [ Metric Filter Alarms ]</w:t>
              <w:br/>
              <w:t>[ RDS Audit &amp; Query Logs ]      ──&gt; [ AWS CloudWatch Logs ]       ──&gt; [ Amazon GuardDuty ]</w:t>
              <w:br/>
              <w:t>[ AWS CloudTrail API Audit ]    ──&gt; [ Amazon S3 Encrypted Vault ] ──&gt; [ AWS Security Hub ]</w:t>
              <w:br/>
              <w:t xml:space="preserve">                                                                             │</w:t>
              <w:br/>
              <w:t xml:space="preserve">                                                                             ▼</w:t>
              <w:br/>
              <w:t xml:space="preserve">                                                                [ PagerDuty SEV-1/SEV-2 Alert ]</w:t>
              <w:br/>
              <w:t xml:space="preserve">                                                                [ Slack #security-alerts ]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Correlation ID Tracing:</w:t>
      </w:r>
      <w:r>
        <w:rPr>
          <w:rFonts w:ascii="Segoe UI" w:hAnsi="Segoe UI"/>
        </w:rPr>
        <w:t xml:space="preserve"> Every incoming HTTP request is assigned a unique </w:t>
      </w:r>
      <w:r>
        <w:rPr>
          <w:rFonts w:ascii="Consolas" w:hAnsi="Consolas"/>
          <w:color w:val="B42828"/>
          <w:sz w:val="19"/>
        </w:rPr>
        <w:t>x-request-id</w:t>
      </w:r>
      <w:r>
        <w:rPr>
          <w:rFonts w:ascii="Segoe UI" w:hAnsi="Segoe UI"/>
        </w:rPr>
        <w:t xml:space="preserve"> UUIDv4. All log lines, audit entries, and database exceptions retain this correlation ID.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5.2 Security Incident Severity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Severity Level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Response SLA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Response Team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SEV-1 (Critical)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Active data exfiltration, tenant boundary breach, or database tampering attempt.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15 Minutes</w:t>
            </w:r>
            <w:r>
              <w:rPr>
                <w:rFonts w:ascii="Segoe UI" w:hAnsi="Segoe UI"/>
                <w:sz w:val="18"/>
              </w:rPr>
              <w:t xml:space="preserve"> (24/7 PagerDuty)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Incident Commander, CISO, Lead Architect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SEV-2 (Major)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Repeated brute-force authentication attacks, WAF rule trigger spike, or component failure.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30 Minutes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SecOps Engineer, On-Call Developer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SEV-3 (Moderate)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Suspicious IP probing, non-critical dependency vulnerability, or policy violation.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4 Hours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Assigned Security Engineer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SEV-4 (Minor)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Informational alert, routine credential rotation notification.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2 Business Days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Standard Sprint Backlog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5.3 Forensic Audit Trail Integrity Verification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The PostgreSQL trigger </w:t>
      </w:r>
      <w:r>
        <w:rPr>
          <w:rFonts w:ascii="Consolas" w:hAnsi="Consolas"/>
          <w:color w:val="B42828"/>
          <w:sz w:val="19"/>
        </w:rPr>
        <w:t>trg_audit_logs_immutable</w:t>
      </w:r>
      <w:r>
        <w:rPr>
          <w:rFonts w:ascii="Segoe UI" w:hAnsi="Segoe UI"/>
        </w:rPr>
        <w:t xml:space="preserve"> protects audit records against tampering: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-- Monthly automated verification probe:</w:t>
              <w:br/>
              <w:t xml:space="preserve">UPDATE audit_logs </w:t>
              <w:br/>
              <w:t xml:space="preserve">SET action = 'MALICIOUS_TAMPER' </w:t>
              <w:br/>
              <w:t>WHERE id = (SELECT id FROM audit_logs LIMIT 1);</w:t>
              <w:br/>
              <w:br/>
              <w:t>-- Verified Outcome:</w:t>
              <w:br/>
              <w:t>-- ERROR: Statutory Compliance Violation: audit_logs are immutable and cannot be updated or deleted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5.4 Incident Response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[ 1. DETECTION ] ──&gt; [ 2. TRIAGE ] ──&gt; [ 3. CONTAINMENT ] ──&gt; [ 4. ERADICATION ] ──&gt; [ 5. RECOVERY ] ──&gt; [ 6. POST-MORTEM ]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Detection:</w:t>
      </w:r>
      <w:r>
        <w:rPr>
          <w:rFonts w:ascii="Segoe UI" w:hAnsi="Segoe UI"/>
        </w:rPr>
        <w:t xml:space="preserve"> Automated alert raised via AWS GuardDuty, CloudWatch metric filter, or synthetic health probe.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Triage:</w:t>
      </w:r>
      <w:r>
        <w:rPr>
          <w:rFonts w:ascii="Segoe UI" w:hAnsi="Segoe UI"/>
        </w:rPr>
        <w:t xml:space="preserve"> Incident Commander verifies threat validity and classifies severity level (SEV-1 to SEV-4).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Containment: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Isolate compromised user session: </w:t>
      </w:r>
      <w:r>
        <w:rPr>
          <w:rFonts w:ascii="Consolas" w:hAnsi="Consolas"/>
          <w:color w:val="B42828"/>
          <w:sz w:val="19"/>
        </w:rPr>
        <w:t>DELETE FROM user_sessions WHERE user_id = '&lt;ID&gt;';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Block malicious IP at AWS WAF layer.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Eradication:</w:t>
      </w:r>
      <w:r>
        <w:rPr>
          <w:rFonts w:ascii="Segoe UI" w:hAnsi="Segoe UI"/>
        </w:rPr>
        <w:t xml:space="preserve"> Patch root cause vulnerability via emergency hotfix branch (</w:t>
      </w:r>
      <w:r>
        <w:rPr>
          <w:rFonts w:ascii="Consolas" w:hAnsi="Consolas"/>
          <w:color w:val="B42828"/>
          <w:sz w:val="19"/>
        </w:rPr>
        <w:t>hotfix/BLYNT-SEC-XXX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</w:t>
      </w:r>
      <w:r>
        <w:rPr>
          <w:rFonts w:ascii="Segoe UI" w:hAnsi="Segoe UI"/>
          <w:b/>
        </w:rPr>
        <w:t>Recovery:</w:t>
      </w:r>
      <w:r>
        <w:rPr>
          <w:rFonts w:ascii="Segoe UI" w:hAnsi="Segoe UI"/>
        </w:rPr>
        <w:t xml:space="preserve"> Deploy verified container image; execute </w:t>
      </w:r>
      <w:r>
        <w:rPr>
          <w:rFonts w:ascii="Consolas" w:hAnsi="Consolas"/>
          <w:color w:val="B42828"/>
          <w:sz w:val="19"/>
        </w:rPr>
        <w:t>AccountingIntegrityService.checkIntegrity()</w:t>
      </w:r>
      <w:r>
        <w:rPr>
          <w:rFonts w:ascii="Segoe UI" w:hAnsi="Segoe UI"/>
        </w:rPr>
        <w:t xml:space="preserve"> verifying zero financial drift.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6. </w:t>
      </w:r>
      <w:r>
        <w:rPr>
          <w:rFonts w:ascii="Segoe UI" w:hAnsi="Segoe UI"/>
          <w:b/>
        </w:rPr>
        <w:t>Post-Mortem:</w:t>
      </w:r>
      <w:r>
        <w:rPr>
          <w:rFonts w:ascii="Segoe UI" w:hAnsi="Segoe UI"/>
        </w:rPr>
        <w:t xml:space="preserve"> Conduct blameless root cause analysis (RCA) documented in Confluence Space </w:t>
      </w:r>
      <w:r>
        <w:rPr>
          <w:rFonts w:ascii="Consolas" w:hAnsi="Consolas"/>
          <w:color w:val="B42828"/>
          <w:sz w:val="19"/>
        </w:rPr>
        <w:t>OPS</w:t>
      </w:r>
      <w:r>
        <w:rPr>
          <w:rFonts w:ascii="Segoe UI" w:hAnsi="Segoe UI"/>
        </w:rPr>
        <w:t xml:space="preserve"> within 24 hours.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END OF BLYNT SECURITY, SOC 2, PENETRATION TESTING &amp; GRC SPECIFICATION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