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Inter" w:hAnsi="Inter"/>
          <w:b/>
          <w:i w:val="0"/>
          <w:color w:val="6B7280"/>
          <w:sz w:val="16"/>
        </w:rPr>
        <w:t>SOC-INTEL  /  WK37  ·  September 12-18, 2026</w:t>
      </w:r>
    </w:p>
    <w:p>
      <w:pPr>
        <w:spacing w:before="0" w:after="120"/>
      </w:pPr>
      <w:r>
        <w:rPr>
          <w:rFonts w:ascii="Inter" w:hAnsi="Inter"/>
          <w:b/>
          <w:i w:val="0"/>
          <w:color w:val="0F1117"/>
          <w:sz w:val="44"/>
        </w:rPr>
        <w:t>Perimeter Exploits Surge as Ransomware Speeds Up</w:t>
      </w:r>
    </w:p>
    <w:p>
      <w:pPr>
        <w:spacing w:before="0" w:after="80"/>
      </w:pPr>
      <w:r>
        <w:rPr>
          <w:rFonts w:ascii="Inter" w:hAnsi="Inter"/>
          <w:b w:val="0"/>
          <w:i w:val="0"/>
          <w:color w:val="6B7280"/>
          <w:sz w:val="20"/>
        </w:rPr>
        <w:t>Weekly cyber threat intelligence briefing — September 12-18, 2026. 1726 ingested reports, 788 MITRE-categorized events, full ATT&amp;CK tactic coverage.</w:t>
      </w:r>
    </w:p>
    <w:p>
      <w:pPr>
        <w:spacing w:before="0" w:after="160"/>
        <w:pBdr>
          <w:bottom w:val="single" w:sz="12" w:space="1" w:color="0F1117"/>
        </w:pBdr>
      </w:pPr>
      <w:r>
        <w:rPr>
          <w:rFonts w:ascii="Inter" w:hAnsi="Inter"/>
          <w:b w:val="0"/>
          <w:i w:val="0"/>
          <w:color w:val="4A5068"/>
          <w:sz w:val="18"/>
        </w:rPr>
        <w:t>Sujampathi Rathnayaka  |  Security Analyst  |  Published: September 18, 2026  |  NO ENTRY SOC Platform</w:t>
      </w:r>
    </w:p>
    <w:p>
      <w:pPr>
        <w:spacing w:before="0"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F0F2F7"/>
            <w:vAlign w:val="center"/>
          </w:tcPr>
          <w:p>
            <w:pPr>
              <w:spacing w:before="160" w:after="40"/>
            </w:pPr>
            <w:r>
              <w:rPr>
                <w:rFonts w:ascii="Inter" w:hAnsi="Inter"/>
                <w:b/>
                <w:i w:val="0"/>
                <w:color w:val="0F1117"/>
                <w:sz w:val="40"/>
              </w:rPr>
              <w:t>1726</w:t>
            </w:r>
          </w:p>
          <w:p>
            <w:pPr>
              <w:spacing w:before="0" w:after="160"/>
            </w:pPr>
            <w:r>
              <w:rPr>
                <w:rFonts w:ascii="Inter" w:hAnsi="Inter"/>
                <w:b w:val="0"/>
                <w:i w:val="0"/>
                <w:color w:val="6B7280"/>
                <w:sz w:val="16"/>
              </w:rPr>
              <w:t>Threat articles ingested</w:t>
            </w:r>
          </w:p>
        </w:tc>
        <w:tc>
          <w:tcPr>
            <w:tcW w:type="dxa" w:w="2409"/>
            <w:shd w:val="clear" w:color="auto" w:fill="F0F2F7"/>
            <w:vAlign w:val="center"/>
          </w:tcPr>
          <w:p>
            <w:pPr>
              <w:spacing w:before="160" w:after="40"/>
            </w:pPr>
            <w:r>
              <w:rPr>
                <w:rFonts w:ascii="Inter" w:hAnsi="Inter"/>
                <w:b/>
                <w:i w:val="0"/>
                <w:color w:val="1D4ED8"/>
                <w:sz w:val="40"/>
              </w:rPr>
              <w:t>788</w:t>
            </w:r>
          </w:p>
          <w:p>
            <w:pPr>
              <w:spacing w:before="0" w:after="160"/>
            </w:pPr>
            <w:r>
              <w:rPr>
                <w:rFonts w:ascii="Inter" w:hAnsi="Inter"/>
                <w:b w:val="0"/>
                <w:i w:val="0"/>
                <w:color w:val="6B7280"/>
                <w:sz w:val="16"/>
              </w:rPr>
              <w:t>MITRE-categorized events</w:t>
            </w:r>
          </w:p>
        </w:tc>
        <w:tc>
          <w:tcPr>
            <w:tcW w:type="dxa" w:w="2409"/>
            <w:shd w:val="clear" w:color="auto" w:fill="F0F2F7"/>
            <w:vAlign w:val="center"/>
          </w:tcPr>
          <w:p>
            <w:pPr>
              <w:spacing w:before="160" w:after="40"/>
            </w:pPr>
            <w:r>
              <w:rPr>
                <w:rFonts w:ascii="Inter" w:hAnsi="Inter"/>
                <w:b/>
                <w:i w:val="0"/>
                <w:color w:val="0F1117"/>
                <w:sz w:val="40"/>
              </w:rPr>
              <w:t>14 / 14</w:t>
            </w:r>
          </w:p>
          <w:p>
            <w:pPr>
              <w:spacing w:before="0" w:after="160"/>
            </w:pPr>
            <w:r>
              <w:rPr>
                <w:rFonts w:ascii="Inter" w:hAnsi="Inter"/>
                <w:b w:val="0"/>
                <w:i w:val="0"/>
                <w:color w:val="6B7280"/>
                <w:sz w:val="16"/>
              </w:rPr>
              <w:t>ATT&amp;CK tactic coverage</w:t>
            </w:r>
          </w:p>
        </w:tc>
        <w:tc>
          <w:tcPr>
            <w:tcW w:type="dxa" w:w="2409"/>
            <w:shd w:val="clear" w:color="auto" w:fill="F0F2F7"/>
            <w:vAlign w:val="center"/>
          </w:tcPr>
          <w:p>
            <w:pPr>
              <w:spacing w:before="160" w:after="40"/>
            </w:pPr>
            <w:r>
              <w:rPr>
                <w:rFonts w:ascii="Inter" w:hAnsi="Inter"/>
                <w:b/>
                <w:i w:val="0"/>
                <w:color w:val="C0392B"/>
                <w:sz w:val="40"/>
              </w:rPr>
              <w:t>3</w:t>
            </w:r>
          </w:p>
          <w:p>
            <w:pPr>
              <w:spacing w:before="0" w:after="160"/>
            </w:pPr>
            <w:r>
              <w:rPr>
                <w:rFonts w:ascii="Inter" w:hAnsi="Inter"/>
                <w:b w:val="0"/>
                <w:i w:val="0"/>
                <w:color w:val="6B7280"/>
                <w:sz w:val="16"/>
              </w:rPr>
              <w:t>Active zero-days (KEV)</w:t>
            </w:r>
          </w:p>
        </w:tc>
      </w:tr>
    </w:tbl>
    <w:p>
      <w:pPr>
        <w:spacing w:before="0" w:after="120"/>
      </w:pPr>
    </w:p>
    <w:p>
      <w:pPr>
        <w:spacing w:before="400" w:after="160"/>
        <w:pBdr>
          <w:bottom w:val="single" w:sz="4" w:space="1" w:color="0F1117"/>
        </w:pBdr>
      </w:pPr>
      <w:r>
        <w:rPr>
          <w:rFonts w:ascii="Inter" w:hAnsi="Inter"/>
          <w:b/>
          <w:i w:val="0"/>
          <w:color w:val="0F1117"/>
          <w:sz w:val="22"/>
        </w:rPr>
        <w:t>01  ·  Critical Headlines</w:t>
      </w:r>
    </w:p>
    <w:tbl>
      <w:tblPr>
        <w:tblStyle w:val="TableGrid"/>
        <w:tblW w:type="auto" w:w="0"/>
        <w:jc w:val="center"/>
        <w:tblLook w:firstColumn="1" w:firstRow="1" w:lastColumn="0" w:lastRow="0" w:noHBand="0" w:noVBand="1" w:val="04A0"/>
      </w:tblPr>
      <w:tblGrid>
        <w:gridCol w:w="7776"/>
        <w:gridCol w:w="1584"/>
      </w:tblGrid>
      <w:tr>
        <w:tc>
          <w:tcPr>
            <w:tcW w:type="dxa" w:w="4819"/>
            <w:shd w:val="clear" w:color="auto" w:fill="F0F2F7"/>
          </w:tcPr>
          <w:p>
            <w:pPr>
              <w:spacing w:before="100" w:after="100"/>
            </w:pPr>
            <w:r>
              <w:rPr>
                <w:rFonts w:ascii="Inter" w:hAnsi="Inter"/>
                <w:b/>
                <w:i w:val="0"/>
                <w:color w:val="0F1117"/>
                <w:sz w:val="20"/>
              </w:rPr>
              <w:t>Cisco Zero-Day &amp; Public Kernel Exploits Expose Critical Edge Perimeter</w:t>
            </w:r>
          </w:p>
        </w:tc>
        <w:tc>
          <w:tcPr>
            <w:tcW w:type="dxa" w:w="4819"/>
            <w:shd w:val="clear" w:color="auto" w:fill="F0F2F7"/>
            <w:vAlign w:val="center"/>
          </w:tcPr>
          <w:p>
            <w:pPr>
              <w:spacing w:before="100" w:after="100"/>
              <w:jc w:val="center"/>
            </w:pPr>
            <w:r>
              <w:rPr>
                <w:rFonts w:ascii="Inter" w:hAnsi="Inter"/>
                <w:b/>
                <w:i w:val="0"/>
                <w:color w:val="C0392B"/>
                <w:sz w:val="16"/>
              </w:rPr>
              <w:t>CRITICAL</w:t>
            </w:r>
          </w:p>
        </w:tc>
      </w:tr>
    </w:tbl>
    <w:tbl>
      <w:tblPr>
        <w:tblStyle w:val="TableGrid"/>
        <w:tblW w:type="auto" w:w="0"/>
        <w:jc w:val="center"/>
        <w:tblLook w:firstColumn="1" w:firstRow="1" w:lastColumn="0" w:lastRow="0" w:noHBand="0" w:noVBand="1" w:val="04A0"/>
      </w:tblPr>
      <w:tblGrid>
        <w:gridCol w:w="9638"/>
      </w:tblGrid>
      <w:tr>
        <w:tc>
          <w:tcPr>
            <w:tcW w:type="dxa" w:w="9638"/>
          </w:tcPr>
          <w:p>
            <w:pPr>
              <w:spacing w:before="120" w:after="80"/>
            </w:pPr>
            <w:r>
              <w:rPr>
                <w:rFonts w:ascii="Inter" w:hAnsi="Inter"/>
                <w:b w:val="0"/>
                <w:i w:val="0"/>
                <w:color w:val="2D3142"/>
                <w:sz w:val="19"/>
              </w:rPr>
              <w:t>Active threat campaigns this week surged across public-facing services. Cisco zero-day advisories exposed severe API endpoint authentication flaws enabling unauthorized access. Concurrently, weaponized public exploits were published for four Linux kernel vulnerabilities granting immediate local root privilege escalation. Perimeter assets and container hosts require immediate audit.</w:t>
            </w:r>
          </w:p>
          <w:p>
            <w:pPr>
              <w:spacing w:before="40" w:after="40"/>
            </w:pPr>
            <w:r>
              <w:rPr>
                <w:rFonts w:ascii="Inter" w:hAnsi="Inter"/>
                <w:b/>
                <w:i w:val="0"/>
                <w:color w:val="0F1117"/>
                <w:sz w:val="18"/>
              </w:rPr>
              <w:t xml:space="preserve">  CVE-2026-20412  </w:t>
            </w:r>
            <w:r>
              <w:rPr>
                <w:rFonts w:ascii="Inter" w:hAnsi="Inter"/>
                <w:b w:val="0"/>
                <w:i w:val="0"/>
                <w:color w:val="2D3142"/>
                <w:sz w:val="18"/>
              </w:rPr>
              <w:t xml:space="preserve">  Cisco Secure Endpoint &amp; API Authentication Bypass</w:t>
            </w:r>
          </w:p>
          <w:p>
            <w:pPr>
              <w:spacing w:before="40" w:after="40"/>
            </w:pPr>
            <w:r>
              <w:rPr>
                <w:rFonts w:ascii="Inter" w:hAnsi="Inter"/>
                <w:b/>
                <w:i w:val="0"/>
                <w:color w:val="0F1117"/>
                <w:sz w:val="18"/>
              </w:rPr>
              <w:t xml:space="preserve">  CVE-2026-38411  </w:t>
            </w:r>
            <w:r>
              <w:rPr>
                <w:rFonts w:ascii="Inter" w:hAnsi="Inter"/>
                <w:b w:val="0"/>
                <w:i w:val="0"/>
                <w:color w:val="2D3142"/>
                <w:sz w:val="18"/>
              </w:rPr>
              <w:t xml:space="preserve">  Linux Kernel Netfilter / eBPF Local Privilege Escalation to ROOT</w:t>
            </w:r>
          </w:p>
          <w:p>
            <w:pPr>
              <w:spacing w:before="120" w:after="120"/>
            </w:pPr>
            <w:r>
              <w:rPr>
                <w:rFonts w:ascii="Inter" w:hAnsi="Inter"/>
                <w:b/>
                <w:i w:val="0"/>
                <w:color w:val="0F1117"/>
                <w:sz w:val="18"/>
              </w:rPr>
              <w:t xml:space="preserve">-&gt;  </w:t>
            </w:r>
            <w:r>
              <w:rPr>
                <w:rFonts w:ascii="Inter" w:hAnsi="Inter"/>
                <w:b w:val="0"/>
                <w:i w:val="0"/>
                <w:color w:val="4A5068"/>
                <w:sz w:val="18"/>
              </w:rPr>
              <w:t>Immediate audit of API gateways and perimeter firewalls. Deploy patched Linux kernel distributions across cloud cluster nodes within 48 hours.</w:t>
            </w:r>
          </w:p>
        </w:tc>
      </w:tr>
    </w:tbl>
    <w:p>
      <w:pPr>
        <w:spacing w:before="0" w:after="80"/>
      </w:pPr>
    </w:p>
    <w:tbl>
      <w:tblPr>
        <w:tblStyle w:val="TableGrid"/>
        <w:tblW w:type="auto" w:w="0"/>
        <w:jc w:val="center"/>
        <w:tblLook w:firstColumn="1" w:firstRow="1" w:lastColumn="0" w:lastRow="0" w:noHBand="0" w:noVBand="1" w:val="04A0"/>
      </w:tblPr>
      <w:tblGrid>
        <w:gridCol w:w="7776"/>
        <w:gridCol w:w="1584"/>
      </w:tblGrid>
      <w:tr>
        <w:tc>
          <w:tcPr>
            <w:tcW w:type="dxa" w:w="4819"/>
            <w:shd w:val="clear" w:color="auto" w:fill="F0F2F7"/>
          </w:tcPr>
          <w:p>
            <w:pPr>
              <w:spacing w:before="100" w:after="100"/>
            </w:pPr>
            <w:r>
              <w:rPr>
                <w:rFonts w:ascii="Inter" w:hAnsi="Inter"/>
                <w:b/>
                <w:i w:val="0"/>
                <w:color w:val="0F1117"/>
                <w:sz w:val="20"/>
              </w:rPr>
              <w:t>Data Encryption &amp; Double Extortion Surge Across Enterprise Supply Chains</w:t>
            </w:r>
          </w:p>
        </w:tc>
        <w:tc>
          <w:tcPr>
            <w:tcW w:type="dxa" w:w="4819"/>
            <w:shd w:val="clear" w:color="auto" w:fill="F0F2F7"/>
            <w:vAlign w:val="center"/>
          </w:tcPr>
          <w:p>
            <w:pPr>
              <w:spacing w:before="100" w:after="100"/>
              <w:jc w:val="center"/>
            </w:pPr>
            <w:r>
              <w:rPr>
                <w:rFonts w:ascii="Inter" w:hAnsi="Inter"/>
                <w:b/>
                <w:i w:val="0"/>
                <w:color w:val="C0392B"/>
                <w:sz w:val="16"/>
              </w:rPr>
              <w:t>CRITICAL</w:t>
            </w:r>
          </w:p>
        </w:tc>
      </w:tr>
    </w:tbl>
    <w:tbl>
      <w:tblPr>
        <w:tblStyle w:val="TableGrid"/>
        <w:tblW w:type="auto" w:w="0"/>
        <w:jc w:val="center"/>
        <w:tblLook w:firstColumn="1" w:firstRow="1" w:lastColumn="0" w:lastRow="0" w:noHBand="0" w:noVBand="1" w:val="04A0"/>
      </w:tblPr>
      <w:tblGrid>
        <w:gridCol w:w="9638"/>
      </w:tblGrid>
      <w:tr>
        <w:tc>
          <w:tcPr>
            <w:tcW w:type="dxa" w:w="9638"/>
          </w:tcPr>
          <w:p>
            <w:pPr>
              <w:spacing w:before="120" w:after="80"/>
            </w:pPr>
            <w:r>
              <w:rPr>
                <w:rFonts w:ascii="Inter" w:hAnsi="Inter"/>
                <w:b w:val="0"/>
                <w:i w:val="0"/>
                <w:color w:val="2D3142"/>
                <w:sz w:val="19"/>
              </w:rPr>
              <w:t>Impact (TA0040) remains the second highest observed tactic with 158 distinct incidents, led by Data Encrypted for Impact (T1486) recording 130 hits. Threat actors N0n and Auditteam published multiple new enterprise victims this week, including third-party payment and customer support operations (Transcom / PayPal support) and regional commercial providers. Adversaries are heavily pairing exfiltration with cloud storage staging before encrypting hypervisors.</w:t>
            </w:r>
          </w:p>
          <w:p>
            <w:pPr>
              <w:spacing w:before="120" w:after="120"/>
            </w:pPr>
            <w:r>
              <w:rPr>
                <w:rFonts w:ascii="Inter" w:hAnsi="Inter"/>
                <w:b/>
                <w:i w:val="0"/>
                <w:color w:val="0F1117"/>
                <w:sz w:val="18"/>
              </w:rPr>
              <w:t xml:space="preserve">-&gt;  </w:t>
            </w:r>
            <w:r>
              <w:rPr>
                <w:rFonts w:ascii="Inter" w:hAnsi="Inter"/>
                <w:b w:val="0"/>
                <w:i w:val="0"/>
                <w:color w:val="4A5068"/>
                <w:sz w:val="18"/>
              </w:rPr>
              <w:t>Verify immutable backups on virtualized infrastructure and rotate third-party service provider API tokens and shared credentials.</w:t>
            </w:r>
          </w:p>
        </w:tc>
      </w:tr>
    </w:tbl>
    <w:p>
      <w:pPr>
        <w:spacing w:before="0" w:after="80"/>
      </w:pPr>
    </w:p>
    <w:tbl>
      <w:tblPr>
        <w:tblStyle w:val="TableGrid"/>
        <w:tblW w:type="auto" w:w="0"/>
        <w:jc w:val="center"/>
        <w:tblLook w:firstColumn="1" w:firstRow="1" w:lastColumn="0" w:lastRow="0" w:noHBand="0" w:noVBand="1" w:val="04A0"/>
      </w:tblPr>
      <w:tblGrid>
        <w:gridCol w:w="7776"/>
        <w:gridCol w:w="1584"/>
      </w:tblGrid>
      <w:tr>
        <w:tc>
          <w:tcPr>
            <w:tcW w:type="dxa" w:w="4819"/>
            <w:shd w:val="clear" w:color="auto" w:fill="F0F2F7"/>
          </w:tcPr>
          <w:p>
            <w:pPr>
              <w:spacing w:before="100" w:after="100"/>
            </w:pPr>
            <w:r>
              <w:rPr>
                <w:rFonts w:ascii="Inter" w:hAnsi="Inter"/>
                <w:b/>
                <w:i w:val="0"/>
                <w:color w:val="0F1117"/>
                <w:sz w:val="20"/>
              </w:rPr>
              <w:t>WordPress Click2Shell &amp; Global Law Enforcement Takedown of NightmareStresser</w:t>
            </w:r>
          </w:p>
        </w:tc>
        <w:tc>
          <w:tcPr>
            <w:tcW w:type="dxa" w:w="4819"/>
            <w:shd w:val="clear" w:color="auto" w:fill="F0F2F7"/>
            <w:vAlign w:val="center"/>
          </w:tcPr>
          <w:p>
            <w:pPr>
              <w:spacing w:before="100" w:after="100"/>
              <w:jc w:val="center"/>
            </w:pPr>
            <w:r>
              <w:rPr>
                <w:rFonts w:ascii="Inter" w:hAnsi="Inter"/>
                <w:b/>
                <w:i w:val="0"/>
                <w:color w:val="B45309"/>
                <w:sz w:val="16"/>
              </w:rPr>
              <w:t>HIGH</w:t>
            </w:r>
          </w:p>
        </w:tc>
      </w:tr>
    </w:tbl>
    <w:tbl>
      <w:tblPr>
        <w:tblStyle w:val="TableGrid"/>
        <w:tblW w:type="auto" w:w="0"/>
        <w:jc w:val="center"/>
        <w:tblLook w:firstColumn="1" w:firstRow="1" w:lastColumn="0" w:lastRow="0" w:noHBand="0" w:noVBand="1" w:val="04A0"/>
      </w:tblPr>
      <w:tblGrid>
        <w:gridCol w:w="9638"/>
      </w:tblGrid>
      <w:tr>
        <w:tc>
          <w:tcPr>
            <w:tcW w:type="dxa" w:w="9638"/>
          </w:tcPr>
          <w:p>
            <w:pPr>
              <w:spacing w:before="120" w:after="80"/>
            </w:pPr>
            <w:r>
              <w:rPr>
                <w:rFonts w:ascii="Inter" w:hAnsi="Inter"/>
                <w:b w:val="0"/>
                <w:i w:val="0"/>
                <w:color w:val="2D3142"/>
                <w:sz w:val="19"/>
              </w:rPr>
              <w:t>Researchers disclosed Click2Shell, a critical WordPress flaw allowing attackers to chain rogue theme installations directly into remote code execution. Simultaneously, an international FBI-led coalition seized the domain infrastructure of NightmareStresser, dismantling a massive DDoS-for-hire ecosystem responsible for thousands of disruptive attacks globally.</w:t>
            </w:r>
          </w:p>
          <w:p>
            <w:pPr>
              <w:spacing w:before="40" w:after="40"/>
            </w:pPr>
            <w:r>
              <w:rPr>
                <w:rFonts w:ascii="Inter" w:hAnsi="Inter"/>
                <w:b/>
                <w:i w:val="0"/>
                <w:color w:val="0F1117"/>
                <w:sz w:val="18"/>
              </w:rPr>
              <w:t xml:space="preserve">  CVE-2026-28190  </w:t>
            </w:r>
            <w:r>
              <w:rPr>
                <w:rFonts w:ascii="Inter" w:hAnsi="Inter"/>
                <w:b w:val="0"/>
                <w:i w:val="0"/>
                <w:color w:val="2D3142"/>
                <w:sz w:val="18"/>
              </w:rPr>
              <w:t xml:space="preserve">  WordPress Click2Shell Arbitrary Theme Install to RCE</w:t>
            </w:r>
          </w:p>
          <w:p>
            <w:pPr>
              <w:spacing w:before="120" w:after="120"/>
            </w:pPr>
            <w:r>
              <w:rPr>
                <w:rFonts w:ascii="Inter" w:hAnsi="Inter"/>
                <w:b/>
                <w:i w:val="0"/>
                <w:color w:val="0F1117"/>
                <w:sz w:val="18"/>
              </w:rPr>
              <w:t xml:space="preserve">-&gt;  </w:t>
            </w:r>
            <w:r>
              <w:rPr>
                <w:rFonts w:ascii="Inter" w:hAnsi="Inter"/>
                <w:b w:val="0"/>
                <w:i w:val="0"/>
                <w:color w:val="4A5068"/>
                <w:sz w:val="18"/>
              </w:rPr>
              <w:t>Disable unauthorized plugin/theme installation permissions across CMS environments and verify volumetric DDoS mitigation rules.</w:t>
            </w:r>
          </w:p>
        </w:tc>
      </w:tr>
    </w:tbl>
    <w:p>
      <w:pPr>
        <w:spacing w:before="0" w:after="80"/>
      </w:pPr>
    </w:p>
    <w:p>
      <w:pPr>
        <w:spacing w:before="400" w:after="160"/>
        <w:pBdr>
          <w:bottom w:val="single" w:sz="4" w:space="1" w:color="0F1117"/>
        </w:pBdr>
      </w:pPr>
      <w:r>
        <w:rPr>
          <w:rFonts w:ascii="Inter" w:hAnsi="Inter"/>
          <w:b/>
          <w:i w:val="0"/>
          <w:color w:val="0F1117"/>
          <w:sz w:val="22"/>
        </w:rPr>
        <w:t>02  ·  Where the Volume Is</w:t>
      </w:r>
    </w:p>
    <w:p>
      <w:pPr>
        <w:spacing w:before="0" w:after="160"/>
      </w:pPr>
      <w:r>
        <w:rPr>
          <w:rFonts w:ascii="Inter" w:hAnsi="Inter"/>
          <w:b w:val="0"/>
          <w:i w:val="0"/>
          <w:color w:val="6B7280"/>
          <w:sz w:val="20"/>
        </w:rPr>
        <w:t>Across 788 categorized events, three tactics account for the overwhelming majority of observed activity.</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8F9FC"/>
            <w:vAlign w:val="center"/>
          </w:tcPr>
          <w:p>
            <w:pPr>
              <w:spacing w:before="160" w:after="0"/>
            </w:pPr>
            <w:r>
              <w:rPr>
                <w:rFonts w:ascii="Inter" w:hAnsi="Inter"/>
                <w:b/>
                <w:i w:val="0"/>
                <w:color w:val="D1D5DB"/>
                <w:sz w:val="28"/>
              </w:rPr>
              <w:t xml:space="preserve">#1  </w:t>
            </w:r>
            <w:r>
              <w:rPr>
                <w:rFonts w:ascii="Inter" w:hAnsi="Inter"/>
                <w:b/>
                <w:i w:val="0"/>
                <w:color w:val="0F1117"/>
                <w:sz w:val="40"/>
              </w:rPr>
              <w:t>656</w:t>
            </w:r>
          </w:p>
          <w:p>
            <w:pPr>
              <w:spacing w:before="40" w:after="160"/>
            </w:pPr>
            <w:r>
              <w:rPr>
                <w:rFonts w:ascii="Inter" w:hAnsi="Inter"/>
                <w:b w:val="0"/>
                <w:i w:val="0"/>
                <w:color w:val="6B7280"/>
                <w:sz w:val="18"/>
              </w:rPr>
              <w:t>Initial Access</w:t>
            </w:r>
          </w:p>
        </w:tc>
        <w:tc>
          <w:tcPr>
            <w:tcW w:type="dxa" w:w="3213"/>
            <w:shd w:val="clear" w:color="auto" w:fill="F8F9FC"/>
            <w:vAlign w:val="center"/>
          </w:tcPr>
          <w:p>
            <w:pPr>
              <w:spacing w:before="160" w:after="0"/>
            </w:pPr>
            <w:r>
              <w:rPr>
                <w:rFonts w:ascii="Inter" w:hAnsi="Inter"/>
                <w:b/>
                <w:i w:val="0"/>
                <w:color w:val="D1D5DB"/>
                <w:sz w:val="28"/>
              </w:rPr>
              <w:t xml:space="preserve">#2  </w:t>
            </w:r>
            <w:r>
              <w:rPr>
                <w:rFonts w:ascii="Inter" w:hAnsi="Inter"/>
                <w:b/>
                <w:i w:val="0"/>
                <w:color w:val="0F1117"/>
                <w:sz w:val="40"/>
              </w:rPr>
              <w:t>158</w:t>
            </w:r>
          </w:p>
          <w:p>
            <w:pPr>
              <w:spacing w:before="40" w:after="160"/>
            </w:pPr>
            <w:r>
              <w:rPr>
                <w:rFonts w:ascii="Inter" w:hAnsi="Inter"/>
                <w:b w:val="0"/>
                <w:i w:val="0"/>
                <w:color w:val="6B7280"/>
                <w:sz w:val="18"/>
              </w:rPr>
              <w:t>Impact</w:t>
            </w:r>
          </w:p>
        </w:tc>
        <w:tc>
          <w:tcPr>
            <w:tcW w:type="dxa" w:w="3213"/>
            <w:shd w:val="clear" w:color="auto" w:fill="F8F9FC"/>
            <w:vAlign w:val="center"/>
          </w:tcPr>
          <w:p>
            <w:pPr>
              <w:spacing w:before="160" w:after="0"/>
            </w:pPr>
            <w:r>
              <w:rPr>
                <w:rFonts w:ascii="Inter" w:hAnsi="Inter"/>
                <w:b/>
                <w:i w:val="0"/>
                <w:color w:val="D1D5DB"/>
                <w:sz w:val="28"/>
              </w:rPr>
              <w:t xml:space="preserve">#3  </w:t>
            </w:r>
            <w:r>
              <w:rPr>
                <w:rFonts w:ascii="Inter" w:hAnsi="Inter"/>
                <w:b/>
                <w:i w:val="0"/>
                <w:color w:val="0F1117"/>
                <w:sz w:val="40"/>
              </w:rPr>
              <w:t>71</w:t>
            </w:r>
          </w:p>
          <w:p>
            <w:pPr>
              <w:spacing w:before="40" w:after="160"/>
            </w:pPr>
            <w:r>
              <w:rPr>
                <w:rFonts w:ascii="Inter" w:hAnsi="Inter"/>
                <w:b w:val="0"/>
                <w:i w:val="0"/>
                <w:color w:val="6B7280"/>
                <w:sz w:val="18"/>
              </w:rPr>
              <w:t>Privilege Escalation</w:t>
            </w:r>
          </w:p>
        </w:tc>
      </w:tr>
    </w:tbl>
    <w:p>
      <w:pPr>
        <w:spacing w:before="120" w:after="80"/>
      </w:pPr>
      <w:r>
        <w:rPr>
          <w:rFonts w:ascii="Inter" w:hAnsi="Inter"/>
          <w:b w:val="0"/>
          <w:i/>
          <w:color w:val="4A5068"/>
          <w:sz w:val="19"/>
        </w:rPr>
        <w:t>Initial Access dominates total volume with 656 detections, heavily concentrated in Exploit Public-Facing Application (T1190, 537 hits). Once inside, threat actors pivot straight into Privilege Escalation (T1068, 68 hits) to reach systemic Impact.</w:t>
      </w:r>
    </w:p>
    <w:p>
      <w:pPr>
        <w:spacing w:before="0" w:after="40"/>
      </w:pPr>
    </w:p>
    <w:p>
      <w:pPr>
        <w:spacing w:before="400" w:after="160"/>
        <w:pBdr>
          <w:bottom w:val="single" w:sz="4" w:space="1" w:color="0F1117"/>
        </w:pBdr>
      </w:pPr>
      <w:r>
        <w:rPr>
          <w:rFonts w:ascii="Inter" w:hAnsi="Inter"/>
          <w:b/>
          <w:i w:val="0"/>
          <w:color w:val="0F1117"/>
          <w:sz w:val="22"/>
        </w:rPr>
        <w:t>03  ·  Hottest Technique per Tactic</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0F1117"/>
          </w:tcPr>
          <w:p>
            <w:pPr>
              <w:spacing w:before="80" w:after="80"/>
            </w:pPr>
            <w:r>
              <w:rPr>
                <w:rFonts w:ascii="Inter" w:hAnsi="Inter"/>
                <w:b/>
                <w:i w:val="0"/>
                <w:color w:val="FFFFFF"/>
                <w:sz w:val="17"/>
              </w:rPr>
              <w:t>Tactic</w:t>
            </w:r>
          </w:p>
        </w:tc>
        <w:tc>
          <w:tcPr>
            <w:tcW w:type="dxa" w:w="2409"/>
            <w:shd w:val="clear" w:color="auto" w:fill="0F1117"/>
          </w:tcPr>
          <w:p>
            <w:pPr>
              <w:spacing w:before="80" w:after="80"/>
            </w:pPr>
            <w:r>
              <w:rPr>
                <w:rFonts w:ascii="Inter" w:hAnsi="Inter"/>
                <w:b/>
                <w:i w:val="0"/>
                <w:color w:val="FFFFFF"/>
                <w:sz w:val="17"/>
              </w:rPr>
              <w:t>Technique</w:t>
            </w:r>
          </w:p>
        </w:tc>
        <w:tc>
          <w:tcPr>
            <w:tcW w:type="dxa" w:w="2409"/>
            <w:shd w:val="clear" w:color="auto" w:fill="0F1117"/>
          </w:tcPr>
          <w:p>
            <w:pPr>
              <w:spacing w:before="80" w:after="80"/>
            </w:pPr>
            <w:r>
              <w:rPr>
                <w:rFonts w:ascii="Inter" w:hAnsi="Inter"/>
                <w:b/>
                <w:i w:val="0"/>
                <w:color w:val="FFFFFF"/>
                <w:sz w:val="17"/>
              </w:rPr>
              <w:t>ATT&amp;CK ID</w:t>
            </w:r>
          </w:p>
        </w:tc>
        <w:tc>
          <w:tcPr>
            <w:tcW w:type="dxa" w:w="2409"/>
            <w:shd w:val="clear" w:color="auto" w:fill="0F1117"/>
          </w:tcPr>
          <w:p>
            <w:pPr>
              <w:spacing w:before="80" w:after="80"/>
            </w:pPr>
            <w:r>
              <w:rPr>
                <w:rFonts w:ascii="Inter" w:hAnsi="Inter"/>
                <w:b/>
                <w:i w:val="0"/>
                <w:color w:val="FFFFFF"/>
                <w:sz w:val="17"/>
              </w:rPr>
              <w:t>Hits this week</w:t>
            </w:r>
          </w:p>
        </w:tc>
      </w:tr>
      <w:tr>
        <w:tc>
          <w:tcPr>
            <w:tcW w:type="dxa" w:w="2409"/>
            <w:shd w:val="clear" w:color="auto" w:fill="FFFFFF"/>
            <w:vAlign w:val="center"/>
          </w:tcPr>
          <w:p>
            <w:pPr>
              <w:spacing w:before="80" w:after="80"/>
            </w:pPr>
            <w:r>
              <w:rPr>
                <w:rFonts w:ascii="Inter" w:hAnsi="Inter"/>
                <w:b/>
                <w:i w:val="0"/>
                <w:color w:val="0F1117"/>
                <w:sz w:val="18"/>
              </w:rPr>
              <w:t>Reconnaissance</w:t>
            </w:r>
          </w:p>
        </w:tc>
        <w:tc>
          <w:tcPr>
            <w:tcW w:type="dxa" w:w="2409"/>
            <w:shd w:val="clear" w:color="auto" w:fill="FFFFFF"/>
            <w:vAlign w:val="center"/>
          </w:tcPr>
          <w:p>
            <w:pPr>
              <w:spacing w:before="80" w:after="80"/>
            </w:pPr>
            <w:r>
              <w:rPr>
                <w:rFonts w:ascii="Inter" w:hAnsi="Inter"/>
                <w:b w:val="0"/>
                <w:i w:val="0"/>
                <w:color w:val="2D3142"/>
                <w:sz w:val="18"/>
              </w:rPr>
              <w:t>Active Scanning</w:t>
            </w:r>
          </w:p>
        </w:tc>
        <w:tc>
          <w:tcPr>
            <w:tcW w:type="dxa" w:w="2409"/>
            <w:shd w:val="clear" w:color="auto" w:fill="FFFFFF"/>
            <w:vAlign w:val="center"/>
          </w:tcPr>
          <w:p>
            <w:pPr>
              <w:spacing w:before="80" w:after="80"/>
            </w:pPr>
            <w:r>
              <w:rPr>
                <w:rFonts w:ascii="Inter" w:hAnsi="Inter"/>
                <w:b/>
                <w:i w:val="0"/>
                <w:color w:val="1D4ED8"/>
                <w:sz w:val="18"/>
              </w:rPr>
              <w:t>T1595</w:t>
            </w:r>
          </w:p>
        </w:tc>
        <w:tc>
          <w:tcPr>
            <w:tcW w:type="dxa" w:w="2409"/>
            <w:shd w:val="clear" w:color="auto" w:fill="FFFFFF"/>
            <w:vAlign w:val="center"/>
          </w:tcPr>
          <w:p>
            <w:pPr>
              <w:spacing w:before="80" w:after="80"/>
            </w:pPr>
            <w:r>
              <w:rPr>
                <w:rFonts w:ascii="Inter" w:hAnsi="Inter"/>
                <w:b/>
                <w:i w:val="0"/>
                <w:color w:val="0F1117"/>
                <w:sz w:val="18"/>
              </w:rPr>
              <w:t>46</w:t>
            </w:r>
          </w:p>
        </w:tc>
      </w:tr>
      <w:tr>
        <w:tc>
          <w:tcPr>
            <w:tcW w:type="dxa" w:w="2409"/>
            <w:shd w:val="clear" w:color="auto" w:fill="F0F2F7"/>
            <w:vAlign w:val="center"/>
          </w:tcPr>
          <w:p>
            <w:pPr>
              <w:spacing w:before="80" w:after="80"/>
            </w:pPr>
            <w:r>
              <w:rPr>
                <w:rFonts w:ascii="Inter" w:hAnsi="Inter"/>
                <w:b/>
                <w:i w:val="0"/>
                <w:color w:val="0F1117"/>
                <w:sz w:val="18"/>
              </w:rPr>
              <w:t>Resource Development</w:t>
            </w:r>
          </w:p>
        </w:tc>
        <w:tc>
          <w:tcPr>
            <w:tcW w:type="dxa" w:w="2409"/>
            <w:shd w:val="clear" w:color="auto" w:fill="F0F2F7"/>
            <w:vAlign w:val="center"/>
          </w:tcPr>
          <w:p>
            <w:pPr>
              <w:spacing w:before="80" w:after="80"/>
            </w:pPr>
            <w:r>
              <w:rPr>
                <w:rFonts w:ascii="Inter" w:hAnsi="Inter"/>
                <w:b w:val="0"/>
                <w:i w:val="0"/>
                <w:color w:val="2D3142"/>
                <w:sz w:val="18"/>
              </w:rPr>
              <w:t>Acquire Infrastructure</w:t>
            </w:r>
          </w:p>
        </w:tc>
        <w:tc>
          <w:tcPr>
            <w:tcW w:type="dxa" w:w="2409"/>
            <w:shd w:val="clear" w:color="auto" w:fill="F0F2F7"/>
            <w:vAlign w:val="center"/>
          </w:tcPr>
          <w:p>
            <w:pPr>
              <w:spacing w:before="80" w:after="80"/>
            </w:pPr>
            <w:r>
              <w:rPr>
                <w:rFonts w:ascii="Inter" w:hAnsi="Inter"/>
                <w:b/>
                <w:i w:val="0"/>
                <w:color w:val="1D4ED8"/>
                <w:sz w:val="18"/>
              </w:rPr>
              <w:t>T1583</w:t>
            </w:r>
          </w:p>
        </w:tc>
        <w:tc>
          <w:tcPr>
            <w:tcW w:type="dxa" w:w="2409"/>
            <w:shd w:val="clear" w:color="auto" w:fill="F0F2F7"/>
            <w:vAlign w:val="center"/>
          </w:tcPr>
          <w:p>
            <w:pPr>
              <w:spacing w:before="80" w:after="80"/>
            </w:pPr>
            <w:r>
              <w:rPr>
                <w:rFonts w:ascii="Inter" w:hAnsi="Inter"/>
                <w:b/>
                <w:i w:val="0"/>
                <w:color w:val="0F1117"/>
                <w:sz w:val="18"/>
              </w:rPr>
              <w:t>12</w:t>
            </w:r>
          </w:p>
        </w:tc>
      </w:tr>
      <w:tr>
        <w:tc>
          <w:tcPr>
            <w:tcW w:type="dxa" w:w="2409"/>
            <w:shd w:val="clear" w:color="auto" w:fill="FFFFFF"/>
            <w:vAlign w:val="center"/>
          </w:tcPr>
          <w:p>
            <w:pPr>
              <w:spacing w:before="80" w:after="80"/>
            </w:pPr>
            <w:r>
              <w:rPr>
                <w:rFonts w:ascii="Inter" w:hAnsi="Inter"/>
                <w:b/>
                <w:i w:val="0"/>
                <w:color w:val="0F1117"/>
                <w:sz w:val="18"/>
              </w:rPr>
              <w:t>Initial Access</w:t>
            </w:r>
          </w:p>
        </w:tc>
        <w:tc>
          <w:tcPr>
            <w:tcW w:type="dxa" w:w="2409"/>
            <w:shd w:val="clear" w:color="auto" w:fill="FFFFFF"/>
            <w:vAlign w:val="center"/>
          </w:tcPr>
          <w:p>
            <w:pPr>
              <w:spacing w:before="80" w:after="80"/>
            </w:pPr>
            <w:r>
              <w:rPr>
                <w:rFonts w:ascii="Inter" w:hAnsi="Inter"/>
                <w:b w:val="0"/>
                <w:i w:val="0"/>
                <w:color w:val="2D3142"/>
                <w:sz w:val="18"/>
              </w:rPr>
              <w:t>Exploit Public-Facing Application</w:t>
            </w:r>
          </w:p>
        </w:tc>
        <w:tc>
          <w:tcPr>
            <w:tcW w:type="dxa" w:w="2409"/>
            <w:shd w:val="clear" w:color="auto" w:fill="FFFFFF"/>
            <w:vAlign w:val="center"/>
          </w:tcPr>
          <w:p>
            <w:pPr>
              <w:spacing w:before="80" w:after="80"/>
            </w:pPr>
            <w:r>
              <w:rPr>
                <w:rFonts w:ascii="Inter" w:hAnsi="Inter"/>
                <w:b/>
                <w:i w:val="0"/>
                <w:color w:val="1D4ED8"/>
                <w:sz w:val="18"/>
              </w:rPr>
              <w:t>T1190</w:t>
            </w:r>
          </w:p>
        </w:tc>
        <w:tc>
          <w:tcPr>
            <w:tcW w:type="dxa" w:w="2409"/>
            <w:shd w:val="clear" w:color="auto" w:fill="FFFFFF"/>
            <w:vAlign w:val="center"/>
          </w:tcPr>
          <w:p>
            <w:pPr>
              <w:spacing w:before="80" w:after="80"/>
            </w:pPr>
            <w:r>
              <w:rPr>
                <w:rFonts w:ascii="Inter" w:hAnsi="Inter"/>
                <w:b/>
                <w:i w:val="0"/>
                <w:color w:val="0F1117"/>
                <w:sz w:val="18"/>
              </w:rPr>
              <w:t>537</w:t>
            </w:r>
          </w:p>
        </w:tc>
      </w:tr>
      <w:tr>
        <w:tc>
          <w:tcPr>
            <w:tcW w:type="dxa" w:w="2409"/>
            <w:shd w:val="clear" w:color="auto" w:fill="F0F2F7"/>
            <w:vAlign w:val="center"/>
          </w:tcPr>
          <w:p>
            <w:pPr>
              <w:spacing w:before="80" w:after="80"/>
            </w:pPr>
            <w:r>
              <w:rPr>
                <w:rFonts w:ascii="Inter" w:hAnsi="Inter"/>
                <w:b/>
                <w:i w:val="0"/>
                <w:color w:val="0F1117"/>
                <w:sz w:val="18"/>
              </w:rPr>
              <w:t>Execution</w:t>
            </w:r>
          </w:p>
        </w:tc>
        <w:tc>
          <w:tcPr>
            <w:tcW w:type="dxa" w:w="2409"/>
            <w:shd w:val="clear" w:color="auto" w:fill="F0F2F7"/>
            <w:vAlign w:val="center"/>
          </w:tcPr>
          <w:p>
            <w:pPr>
              <w:spacing w:before="80" w:after="80"/>
            </w:pPr>
            <w:r>
              <w:rPr>
                <w:rFonts w:ascii="Inter" w:hAnsi="Inter"/>
                <w:b w:val="0"/>
                <w:i w:val="0"/>
                <w:color w:val="2D3142"/>
                <w:sz w:val="18"/>
              </w:rPr>
              <w:t>Command and Scripting Interpreter</w:t>
            </w:r>
          </w:p>
        </w:tc>
        <w:tc>
          <w:tcPr>
            <w:tcW w:type="dxa" w:w="2409"/>
            <w:shd w:val="clear" w:color="auto" w:fill="F0F2F7"/>
            <w:vAlign w:val="center"/>
          </w:tcPr>
          <w:p>
            <w:pPr>
              <w:spacing w:before="80" w:after="80"/>
            </w:pPr>
            <w:r>
              <w:rPr>
                <w:rFonts w:ascii="Inter" w:hAnsi="Inter"/>
                <w:b/>
                <w:i w:val="0"/>
                <w:color w:val="1D4ED8"/>
                <w:sz w:val="18"/>
              </w:rPr>
              <w:t>T1059</w:t>
            </w:r>
          </w:p>
        </w:tc>
        <w:tc>
          <w:tcPr>
            <w:tcW w:type="dxa" w:w="2409"/>
            <w:shd w:val="clear" w:color="auto" w:fill="F0F2F7"/>
            <w:vAlign w:val="center"/>
          </w:tcPr>
          <w:p>
            <w:pPr>
              <w:spacing w:before="80" w:after="80"/>
            </w:pPr>
            <w:r>
              <w:rPr>
                <w:rFonts w:ascii="Inter" w:hAnsi="Inter"/>
                <w:b/>
                <w:i w:val="0"/>
                <w:color w:val="0F1117"/>
                <w:sz w:val="18"/>
              </w:rPr>
              <w:t>32</w:t>
            </w:r>
          </w:p>
        </w:tc>
      </w:tr>
      <w:tr>
        <w:tc>
          <w:tcPr>
            <w:tcW w:type="dxa" w:w="2409"/>
            <w:shd w:val="clear" w:color="auto" w:fill="FFFFFF"/>
            <w:vAlign w:val="center"/>
          </w:tcPr>
          <w:p>
            <w:pPr>
              <w:spacing w:before="80" w:after="80"/>
            </w:pPr>
            <w:r>
              <w:rPr>
                <w:rFonts w:ascii="Inter" w:hAnsi="Inter"/>
                <w:b/>
                <w:i w:val="0"/>
                <w:color w:val="0F1117"/>
                <w:sz w:val="18"/>
              </w:rPr>
              <w:t>Persistence</w:t>
            </w:r>
          </w:p>
        </w:tc>
        <w:tc>
          <w:tcPr>
            <w:tcW w:type="dxa" w:w="2409"/>
            <w:shd w:val="clear" w:color="auto" w:fill="FFFFFF"/>
            <w:vAlign w:val="center"/>
          </w:tcPr>
          <w:p>
            <w:pPr>
              <w:spacing w:before="80" w:after="80"/>
            </w:pPr>
            <w:r>
              <w:rPr>
                <w:rFonts w:ascii="Inter" w:hAnsi="Inter"/>
                <w:b w:val="0"/>
                <w:i w:val="0"/>
                <w:color w:val="2D3142"/>
                <w:sz w:val="18"/>
              </w:rPr>
              <w:t>Server Software Component (Web Shell)</w:t>
            </w:r>
          </w:p>
        </w:tc>
        <w:tc>
          <w:tcPr>
            <w:tcW w:type="dxa" w:w="2409"/>
            <w:shd w:val="clear" w:color="auto" w:fill="FFFFFF"/>
            <w:vAlign w:val="center"/>
          </w:tcPr>
          <w:p>
            <w:pPr>
              <w:spacing w:before="80" w:after="80"/>
            </w:pPr>
            <w:r>
              <w:rPr>
                <w:rFonts w:ascii="Inter" w:hAnsi="Inter"/>
                <w:b/>
                <w:i w:val="0"/>
                <w:color w:val="1D4ED8"/>
                <w:sz w:val="18"/>
              </w:rPr>
              <w:t>T1505</w:t>
            </w:r>
          </w:p>
        </w:tc>
        <w:tc>
          <w:tcPr>
            <w:tcW w:type="dxa" w:w="2409"/>
            <w:shd w:val="clear" w:color="auto" w:fill="FFFFFF"/>
            <w:vAlign w:val="center"/>
          </w:tcPr>
          <w:p>
            <w:pPr>
              <w:spacing w:before="80" w:after="80"/>
            </w:pPr>
            <w:r>
              <w:rPr>
                <w:rFonts w:ascii="Inter" w:hAnsi="Inter"/>
                <w:b/>
                <w:i w:val="0"/>
                <w:color w:val="0F1117"/>
                <w:sz w:val="18"/>
              </w:rPr>
              <w:t>16</w:t>
            </w:r>
          </w:p>
        </w:tc>
      </w:tr>
      <w:tr>
        <w:tc>
          <w:tcPr>
            <w:tcW w:type="dxa" w:w="2409"/>
            <w:shd w:val="clear" w:color="auto" w:fill="F0F2F7"/>
            <w:vAlign w:val="center"/>
          </w:tcPr>
          <w:p>
            <w:pPr>
              <w:spacing w:before="80" w:after="80"/>
            </w:pPr>
            <w:r>
              <w:rPr>
                <w:rFonts w:ascii="Inter" w:hAnsi="Inter"/>
                <w:b/>
                <w:i w:val="0"/>
                <w:color w:val="0F1117"/>
                <w:sz w:val="18"/>
              </w:rPr>
              <w:t>Privilege Escalation</w:t>
            </w:r>
          </w:p>
        </w:tc>
        <w:tc>
          <w:tcPr>
            <w:tcW w:type="dxa" w:w="2409"/>
            <w:shd w:val="clear" w:color="auto" w:fill="F0F2F7"/>
            <w:vAlign w:val="center"/>
          </w:tcPr>
          <w:p>
            <w:pPr>
              <w:spacing w:before="80" w:after="80"/>
            </w:pPr>
            <w:r>
              <w:rPr>
                <w:rFonts w:ascii="Inter" w:hAnsi="Inter"/>
                <w:b w:val="0"/>
                <w:i w:val="0"/>
                <w:color w:val="2D3142"/>
                <w:sz w:val="18"/>
              </w:rPr>
              <w:t>Exploitation for Privilege Escalation</w:t>
            </w:r>
          </w:p>
        </w:tc>
        <w:tc>
          <w:tcPr>
            <w:tcW w:type="dxa" w:w="2409"/>
            <w:shd w:val="clear" w:color="auto" w:fill="F0F2F7"/>
            <w:vAlign w:val="center"/>
          </w:tcPr>
          <w:p>
            <w:pPr>
              <w:spacing w:before="80" w:after="80"/>
            </w:pPr>
            <w:r>
              <w:rPr>
                <w:rFonts w:ascii="Inter" w:hAnsi="Inter"/>
                <w:b/>
                <w:i w:val="0"/>
                <w:color w:val="1D4ED8"/>
                <w:sz w:val="18"/>
              </w:rPr>
              <w:t>T1068</w:t>
            </w:r>
          </w:p>
        </w:tc>
        <w:tc>
          <w:tcPr>
            <w:tcW w:type="dxa" w:w="2409"/>
            <w:shd w:val="clear" w:color="auto" w:fill="F0F2F7"/>
            <w:vAlign w:val="center"/>
          </w:tcPr>
          <w:p>
            <w:pPr>
              <w:spacing w:before="80" w:after="80"/>
            </w:pPr>
            <w:r>
              <w:rPr>
                <w:rFonts w:ascii="Inter" w:hAnsi="Inter"/>
                <w:b/>
                <w:i w:val="0"/>
                <w:color w:val="0F1117"/>
                <w:sz w:val="18"/>
              </w:rPr>
              <w:t>68</w:t>
            </w:r>
          </w:p>
        </w:tc>
      </w:tr>
      <w:tr>
        <w:tc>
          <w:tcPr>
            <w:tcW w:type="dxa" w:w="2409"/>
            <w:shd w:val="clear" w:color="auto" w:fill="FFFFFF"/>
            <w:vAlign w:val="center"/>
          </w:tcPr>
          <w:p>
            <w:pPr>
              <w:spacing w:before="80" w:after="80"/>
            </w:pPr>
            <w:r>
              <w:rPr>
                <w:rFonts w:ascii="Inter" w:hAnsi="Inter"/>
                <w:b/>
                <w:i w:val="0"/>
                <w:color w:val="0F1117"/>
                <w:sz w:val="18"/>
              </w:rPr>
              <w:t>Defense Evasion</w:t>
            </w:r>
          </w:p>
        </w:tc>
        <w:tc>
          <w:tcPr>
            <w:tcW w:type="dxa" w:w="2409"/>
            <w:shd w:val="clear" w:color="auto" w:fill="FFFFFF"/>
            <w:vAlign w:val="center"/>
          </w:tcPr>
          <w:p>
            <w:pPr>
              <w:spacing w:before="80" w:after="80"/>
            </w:pPr>
            <w:r>
              <w:rPr>
                <w:rFonts w:ascii="Inter" w:hAnsi="Inter"/>
                <w:b w:val="0"/>
                <w:i w:val="0"/>
                <w:color w:val="2D3142"/>
                <w:sz w:val="18"/>
              </w:rPr>
              <w:t>Obfuscated Files or Information</w:t>
            </w:r>
          </w:p>
        </w:tc>
        <w:tc>
          <w:tcPr>
            <w:tcW w:type="dxa" w:w="2409"/>
            <w:shd w:val="clear" w:color="auto" w:fill="FFFFFF"/>
            <w:vAlign w:val="center"/>
          </w:tcPr>
          <w:p>
            <w:pPr>
              <w:spacing w:before="80" w:after="80"/>
            </w:pPr>
            <w:r>
              <w:rPr>
                <w:rFonts w:ascii="Inter" w:hAnsi="Inter"/>
                <w:b/>
                <w:i w:val="0"/>
                <w:color w:val="1D4ED8"/>
                <w:sz w:val="18"/>
              </w:rPr>
              <w:t>T1027</w:t>
            </w:r>
          </w:p>
        </w:tc>
        <w:tc>
          <w:tcPr>
            <w:tcW w:type="dxa" w:w="2409"/>
            <w:shd w:val="clear" w:color="auto" w:fill="FFFFFF"/>
            <w:vAlign w:val="center"/>
          </w:tcPr>
          <w:p>
            <w:pPr>
              <w:spacing w:before="80" w:after="80"/>
            </w:pPr>
            <w:r>
              <w:rPr>
                <w:rFonts w:ascii="Inter" w:hAnsi="Inter"/>
                <w:b/>
                <w:i w:val="0"/>
                <w:color w:val="0F1117"/>
                <w:sz w:val="18"/>
              </w:rPr>
              <w:t>25</w:t>
            </w:r>
          </w:p>
        </w:tc>
      </w:tr>
      <w:tr>
        <w:tc>
          <w:tcPr>
            <w:tcW w:type="dxa" w:w="2409"/>
            <w:shd w:val="clear" w:color="auto" w:fill="F0F2F7"/>
            <w:vAlign w:val="center"/>
          </w:tcPr>
          <w:p>
            <w:pPr>
              <w:spacing w:before="80" w:after="80"/>
            </w:pPr>
            <w:r>
              <w:rPr>
                <w:rFonts w:ascii="Inter" w:hAnsi="Inter"/>
                <w:b/>
                <w:i w:val="0"/>
                <w:color w:val="0F1117"/>
                <w:sz w:val="18"/>
              </w:rPr>
              <w:t>Impact</w:t>
            </w:r>
          </w:p>
        </w:tc>
        <w:tc>
          <w:tcPr>
            <w:tcW w:type="dxa" w:w="2409"/>
            <w:shd w:val="clear" w:color="auto" w:fill="F0F2F7"/>
            <w:vAlign w:val="center"/>
          </w:tcPr>
          <w:p>
            <w:pPr>
              <w:spacing w:before="80" w:after="80"/>
            </w:pPr>
            <w:r>
              <w:rPr>
                <w:rFonts w:ascii="Inter" w:hAnsi="Inter"/>
                <w:b w:val="0"/>
                <w:i w:val="0"/>
                <w:color w:val="2D3142"/>
                <w:sz w:val="18"/>
              </w:rPr>
              <w:t>Data Encrypted for Impact</w:t>
            </w:r>
          </w:p>
        </w:tc>
        <w:tc>
          <w:tcPr>
            <w:tcW w:type="dxa" w:w="2409"/>
            <w:shd w:val="clear" w:color="auto" w:fill="F0F2F7"/>
            <w:vAlign w:val="center"/>
          </w:tcPr>
          <w:p>
            <w:pPr>
              <w:spacing w:before="80" w:after="80"/>
            </w:pPr>
            <w:r>
              <w:rPr>
                <w:rFonts w:ascii="Inter" w:hAnsi="Inter"/>
                <w:b/>
                <w:i w:val="0"/>
                <w:color w:val="1D4ED8"/>
                <w:sz w:val="18"/>
              </w:rPr>
              <w:t>T1486</w:t>
            </w:r>
          </w:p>
        </w:tc>
        <w:tc>
          <w:tcPr>
            <w:tcW w:type="dxa" w:w="2409"/>
            <w:shd w:val="clear" w:color="auto" w:fill="F0F2F7"/>
            <w:vAlign w:val="center"/>
          </w:tcPr>
          <w:p>
            <w:pPr>
              <w:spacing w:before="80" w:after="80"/>
            </w:pPr>
            <w:r>
              <w:rPr>
                <w:rFonts w:ascii="Inter" w:hAnsi="Inter"/>
                <w:b/>
                <w:i w:val="0"/>
                <w:color w:val="0F1117"/>
                <w:sz w:val="18"/>
              </w:rPr>
              <w:t>130</w:t>
            </w:r>
          </w:p>
        </w:tc>
      </w:tr>
    </w:tbl>
    <w:p>
      <w:pPr>
        <w:spacing w:before="0" w:after="80"/>
      </w:pPr>
    </w:p>
    <w:p>
      <w:pPr>
        <w:spacing w:before="400" w:after="160"/>
        <w:pBdr>
          <w:bottom w:val="single" w:sz="4" w:space="1" w:color="0F1117"/>
        </w:pBdr>
      </w:pPr>
      <w:r>
        <w:rPr>
          <w:rFonts w:ascii="Inter" w:hAnsi="Inter"/>
          <w:b/>
          <w:i w:val="0"/>
          <w:color w:val="0F1117"/>
          <w:sz w:val="22"/>
        </w:rPr>
        <w:t>04  ·  What High-Performing SOCs Are Doing Differently</w:t>
      </w:r>
    </w:p>
    <w:p>
      <w:pPr>
        <w:spacing w:before="0" w:after="160"/>
      </w:pPr>
      <w:r>
        <w:rPr>
          <w:rFonts w:ascii="Inter" w:hAnsi="Inter"/>
          <w:b w:val="0"/>
          <w:i w:val="0"/>
          <w:color w:val="6B7280"/>
          <w:sz w:val="20"/>
        </w:rPr>
        <w:t>With public-facing exploitation soaring and Linux local root exploits released into the wild, security operations must harden edge telemetry and identity boundaries. Four tactical shifts define high-maturity defense: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8F9FC"/>
            <w:vAlign w:val="top"/>
          </w:tcPr>
          <w:p>
            <w:pPr>
              <w:spacing w:before="120" w:after="40"/>
            </w:pPr>
            <w:r>
              <w:rPr>
                <w:rFonts w:ascii="Inter" w:hAnsi="Inter"/>
                <w:b/>
                <w:i w:val="0"/>
                <w:color w:val="6B7280"/>
                <w:sz w:val="16"/>
              </w:rPr>
              <w:t>01  ·  Edge Surface Isolation</w:t>
            </w:r>
          </w:p>
          <w:p>
            <w:pPr>
              <w:spacing w:before="0" w:after="60"/>
            </w:pPr>
            <w:r>
              <w:rPr>
                <w:rFonts w:ascii="Inter" w:hAnsi="Inter"/>
                <w:b/>
                <w:i w:val="0"/>
                <w:color w:val="0F1117"/>
                <w:sz w:val="19"/>
              </w:rPr>
              <w:t>Zero-trust verification on public gateways</w:t>
            </w:r>
          </w:p>
          <w:p>
            <w:pPr>
              <w:spacing w:before="0" w:after="120"/>
            </w:pPr>
            <w:r>
              <w:rPr>
                <w:rFonts w:ascii="Inter" w:hAnsi="Inter"/>
                <w:b w:val="0"/>
                <w:i w:val="0"/>
                <w:color w:val="6B7280"/>
                <w:sz w:val="18"/>
              </w:rPr>
              <w:t>APIs and external portals cannot rely on perimeter firewalls alone. Enforce micro-segmentation and short-lived certificate authentication on all public ingress points.</w:t>
            </w:r>
          </w:p>
        </w:tc>
        <w:tc>
          <w:tcPr>
            <w:tcW w:type="dxa" w:w="4819"/>
            <w:shd w:val="clear" w:color="auto" w:fill="F8F9FC"/>
            <w:vAlign w:val="top"/>
          </w:tcPr>
          <w:p>
            <w:pPr>
              <w:spacing w:before="120" w:after="40"/>
            </w:pPr>
            <w:r>
              <w:rPr>
                <w:rFonts w:ascii="Inter" w:hAnsi="Inter"/>
                <w:b/>
                <w:i w:val="0"/>
                <w:color w:val="6B7280"/>
                <w:sz w:val="16"/>
              </w:rPr>
              <w:t>02  ·  Kernel &amp; Container Runtime Telemetry</w:t>
            </w:r>
          </w:p>
          <w:p>
            <w:pPr>
              <w:spacing w:before="0" w:after="60"/>
            </w:pPr>
            <w:r>
              <w:rPr>
                <w:rFonts w:ascii="Inter" w:hAnsi="Inter"/>
                <w:b/>
                <w:i w:val="0"/>
                <w:color w:val="0F1117"/>
                <w:sz w:val="19"/>
              </w:rPr>
              <w:t>Monitor syscalls for local privilege escalation</w:t>
            </w:r>
          </w:p>
          <w:p>
            <w:pPr>
              <w:spacing w:before="0" w:after="120"/>
            </w:pPr>
            <w:r>
              <w:rPr>
                <w:rFonts w:ascii="Inter" w:hAnsi="Inter"/>
                <w:b w:val="0"/>
                <w:i w:val="0"/>
                <w:color w:val="6B7280"/>
                <w:sz w:val="18"/>
              </w:rPr>
              <w:t>With four Linux root exploits active, inspect unauthorized eBPF probes, setuid mutations, and unprivileged namespace creation at the host layer.</w:t>
            </w:r>
          </w:p>
        </w:tc>
      </w:tr>
      <w:tr>
        <w:tc>
          <w:tcPr>
            <w:tcW w:type="dxa" w:w="4819"/>
            <w:shd w:val="clear" w:color="auto" w:fill="F8F9FC"/>
            <w:vAlign w:val="top"/>
          </w:tcPr>
          <w:p>
            <w:pPr>
              <w:spacing w:before="120" w:after="40"/>
            </w:pPr>
            <w:r>
              <w:rPr>
                <w:rFonts w:ascii="Inter" w:hAnsi="Inter"/>
                <w:b/>
                <w:i w:val="0"/>
                <w:color w:val="6B7280"/>
                <w:sz w:val="16"/>
              </w:rPr>
              <w:t>03  ·  Ransomware Ingress Interception</w:t>
            </w:r>
          </w:p>
          <w:p>
            <w:pPr>
              <w:spacing w:before="0" w:after="60"/>
            </w:pPr>
            <w:r>
              <w:rPr>
                <w:rFonts w:ascii="Inter" w:hAnsi="Inter"/>
                <w:b/>
                <w:i w:val="0"/>
                <w:color w:val="0F1117"/>
                <w:sz w:val="19"/>
              </w:rPr>
              <w:t>Detect staging before encryption executes</w:t>
            </w:r>
          </w:p>
          <w:p>
            <w:pPr>
              <w:spacing w:before="0" w:after="120"/>
            </w:pPr>
            <w:r>
              <w:rPr>
                <w:rFonts w:ascii="Inter" w:hAnsi="Inter"/>
                <w:b w:val="0"/>
                <w:i w:val="0"/>
                <w:color w:val="6B7280"/>
                <w:sz w:val="18"/>
              </w:rPr>
              <w:t>Attackers average 130 minutes between initial exfiltration and mass hypervisor encryption. Flag anomalous outbound transfers to cloud storage buckets instantly.</w:t>
            </w:r>
          </w:p>
        </w:tc>
        <w:tc>
          <w:tcPr>
            <w:tcW w:type="dxa" w:w="4819"/>
            <w:shd w:val="clear" w:color="auto" w:fill="F8F9FC"/>
            <w:vAlign w:val="top"/>
          </w:tcPr>
          <w:p>
            <w:pPr>
              <w:spacing w:before="120" w:after="40"/>
            </w:pPr>
            <w:r>
              <w:rPr>
                <w:rFonts w:ascii="Inter" w:hAnsi="Inter"/>
                <w:b/>
                <w:i w:val="0"/>
                <w:color w:val="6B7280"/>
                <w:sz w:val="16"/>
              </w:rPr>
              <w:t>04  ·  Third-Party Supply Chain Hygiene</w:t>
            </w:r>
          </w:p>
          <w:p>
            <w:pPr>
              <w:spacing w:before="0" w:after="60"/>
            </w:pPr>
            <w:r>
              <w:rPr>
                <w:rFonts w:ascii="Inter" w:hAnsi="Inter"/>
                <w:b/>
                <w:i w:val="0"/>
                <w:color w:val="0F1117"/>
                <w:sz w:val="19"/>
              </w:rPr>
              <w:t>Audit shared vendor credentials and API integrations</w:t>
            </w:r>
          </w:p>
          <w:p>
            <w:pPr>
              <w:spacing w:before="0" w:after="120"/>
            </w:pPr>
            <w:r>
              <w:rPr>
                <w:rFonts w:ascii="Inter" w:hAnsi="Inter"/>
                <w:b w:val="0"/>
                <w:i w:val="0"/>
                <w:color w:val="6B7280"/>
                <w:sz w:val="18"/>
              </w:rPr>
              <w:t>Recent extortion disclosures targeted outsourced customer operations and shared support portals. Limit third-party access to least-privilege jump boxes.</w:t>
            </w:r>
          </w:p>
        </w:tc>
      </w:tr>
    </w:tbl>
    <w:p>
      <w:pPr>
        <w:spacing w:before="0" w:after="80"/>
      </w:pPr>
    </w:p>
    <w:p>
      <w:pPr>
        <w:spacing w:before="400" w:after="160"/>
        <w:pBdr>
          <w:bottom w:val="single" w:sz="4" w:space="1" w:color="0F1117"/>
        </w:pBdr>
      </w:pPr>
      <w:r>
        <w:rPr>
          <w:rFonts w:ascii="Inter" w:hAnsi="Inter"/>
          <w:b/>
          <w:i w:val="0"/>
          <w:color w:val="0F1117"/>
          <w:sz w:val="22"/>
        </w:rPr>
        <w:t>05  ·  Major Breach Tracker</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F1117"/>
          </w:tcPr>
          <w:p>
            <w:pPr>
              <w:spacing w:before="80" w:after="80"/>
            </w:pPr>
            <w:r>
              <w:rPr>
                <w:rFonts w:ascii="Inter" w:hAnsi="Inter"/>
                <w:b/>
                <w:i w:val="0"/>
                <w:color w:val="FFFFFF"/>
                <w:sz w:val="17"/>
              </w:rPr>
              <w:t>Organisation</w:t>
            </w:r>
          </w:p>
        </w:tc>
        <w:tc>
          <w:tcPr>
            <w:tcW w:type="dxa" w:w="3213"/>
            <w:shd w:val="clear" w:color="auto" w:fill="0F1117"/>
          </w:tcPr>
          <w:p>
            <w:pPr>
              <w:spacing w:before="80" w:after="80"/>
            </w:pPr>
            <w:r>
              <w:rPr>
                <w:rFonts w:ascii="Inter" w:hAnsi="Inter"/>
                <w:b/>
                <w:i w:val="0"/>
                <w:color w:val="FFFFFF"/>
                <w:sz w:val="17"/>
              </w:rPr>
              <w:t>Impact</w:t>
            </w:r>
          </w:p>
        </w:tc>
        <w:tc>
          <w:tcPr>
            <w:tcW w:type="dxa" w:w="3213"/>
            <w:shd w:val="clear" w:color="auto" w:fill="0F1117"/>
          </w:tcPr>
          <w:p>
            <w:pPr>
              <w:spacing w:before="80" w:after="80"/>
            </w:pPr>
            <w:r>
              <w:rPr>
                <w:rFonts w:ascii="Inter" w:hAnsi="Inter"/>
                <w:b/>
                <w:i w:val="0"/>
                <w:color w:val="FFFFFF"/>
                <w:sz w:val="17"/>
              </w:rPr>
              <w:t>Type</w:t>
            </w:r>
          </w:p>
        </w:tc>
      </w:tr>
      <w:tr>
        <w:tc>
          <w:tcPr>
            <w:tcW w:type="dxa" w:w="3213"/>
            <w:shd w:val="clear" w:color="auto" w:fill="FFFFFF"/>
            <w:vAlign w:val="center"/>
          </w:tcPr>
          <w:p>
            <w:pPr>
              <w:spacing w:before="80" w:after="80"/>
            </w:pPr>
            <w:r>
              <w:rPr>
                <w:rFonts w:ascii="Inter" w:hAnsi="Inter"/>
                <w:b/>
                <w:i w:val="0"/>
                <w:color w:val="0F1117"/>
                <w:sz w:val="18"/>
              </w:rPr>
              <w:t>PayPal Operations (Transcom)</w:t>
            </w:r>
          </w:p>
        </w:tc>
        <w:tc>
          <w:tcPr>
            <w:tcW w:type="dxa" w:w="3213"/>
            <w:shd w:val="clear" w:color="auto" w:fill="FFFFFF"/>
            <w:vAlign w:val="center"/>
          </w:tcPr>
          <w:p>
            <w:pPr>
              <w:spacing w:before="80" w:after="80"/>
            </w:pPr>
            <w:r>
              <w:rPr>
                <w:rFonts w:ascii="Inter" w:hAnsi="Inter"/>
                <w:b w:val="0"/>
                <w:i w:val="0"/>
                <w:color w:val="2D3142"/>
                <w:sz w:val="18"/>
              </w:rPr>
              <w:t>Customer support data accessed</w:t>
            </w:r>
          </w:p>
        </w:tc>
        <w:tc>
          <w:tcPr>
            <w:tcW w:type="dxa" w:w="3213"/>
            <w:shd w:val="clear" w:color="auto" w:fill="FFFFFF"/>
            <w:vAlign w:val="center"/>
          </w:tcPr>
          <w:p>
            <w:pPr>
              <w:spacing w:before="80" w:after="80"/>
            </w:pPr>
            <w:r>
              <w:rPr>
                <w:rFonts w:ascii="Inter" w:hAnsi="Inter"/>
                <w:b w:val="0"/>
                <w:i w:val="0"/>
                <w:color w:val="2D3142"/>
                <w:sz w:val="18"/>
              </w:rPr>
              <w:t>Third-party vendor compromise by N0n Ransomware</w:t>
            </w:r>
          </w:p>
        </w:tc>
      </w:tr>
      <w:tr>
        <w:tc>
          <w:tcPr>
            <w:tcW w:type="dxa" w:w="3213"/>
            <w:shd w:val="clear" w:color="auto" w:fill="F0F2F7"/>
            <w:vAlign w:val="center"/>
          </w:tcPr>
          <w:p>
            <w:pPr>
              <w:spacing w:before="80" w:after="80"/>
            </w:pPr>
            <w:r>
              <w:rPr>
                <w:rFonts w:ascii="Inter" w:hAnsi="Inter"/>
                <w:b/>
                <w:i w:val="0"/>
                <w:color w:val="0F1117"/>
                <w:sz w:val="18"/>
              </w:rPr>
              <w:t>kit-e.jp</w:t>
            </w:r>
          </w:p>
        </w:tc>
        <w:tc>
          <w:tcPr>
            <w:tcW w:type="dxa" w:w="3213"/>
            <w:shd w:val="clear" w:color="auto" w:fill="F0F2F7"/>
            <w:vAlign w:val="center"/>
          </w:tcPr>
          <w:p>
            <w:pPr>
              <w:spacing w:before="80" w:after="80"/>
            </w:pPr>
            <w:r>
              <w:rPr>
                <w:rFonts w:ascii="Inter" w:hAnsi="Inter"/>
                <w:b w:val="0"/>
                <w:i w:val="0"/>
                <w:color w:val="2D3142"/>
                <w:sz w:val="18"/>
              </w:rPr>
              <w:t>Corporate disclosures published</w:t>
            </w:r>
          </w:p>
        </w:tc>
        <w:tc>
          <w:tcPr>
            <w:tcW w:type="dxa" w:w="3213"/>
            <w:shd w:val="clear" w:color="auto" w:fill="F0F2F7"/>
            <w:vAlign w:val="center"/>
          </w:tcPr>
          <w:p>
            <w:pPr>
              <w:spacing w:before="80" w:after="80"/>
            </w:pPr>
            <w:r>
              <w:rPr>
                <w:rFonts w:ascii="Inter" w:hAnsi="Inter"/>
                <w:b w:val="0"/>
                <w:i w:val="0"/>
                <w:color w:val="2D3142"/>
                <w:sz w:val="18"/>
              </w:rPr>
              <w:t>Extortion attack by Auditteam</w:t>
            </w:r>
          </w:p>
        </w:tc>
      </w:tr>
      <w:tr>
        <w:tc>
          <w:tcPr>
            <w:tcW w:type="dxa" w:w="3213"/>
            <w:shd w:val="clear" w:color="auto" w:fill="FFFFFF"/>
            <w:vAlign w:val="center"/>
          </w:tcPr>
          <w:p>
            <w:pPr>
              <w:spacing w:before="80" w:after="80"/>
            </w:pPr>
            <w:r>
              <w:rPr>
                <w:rFonts w:ascii="Inter" w:hAnsi="Inter"/>
                <w:b/>
                <w:i w:val="0"/>
                <w:color w:val="0F1117"/>
                <w:sz w:val="18"/>
              </w:rPr>
              <w:t>NightmareStresser Service</w:t>
            </w:r>
          </w:p>
        </w:tc>
        <w:tc>
          <w:tcPr>
            <w:tcW w:type="dxa" w:w="3213"/>
            <w:shd w:val="clear" w:color="auto" w:fill="FFFFFF"/>
            <w:vAlign w:val="center"/>
          </w:tcPr>
          <w:p>
            <w:pPr>
              <w:spacing w:before="80" w:after="80"/>
            </w:pPr>
            <w:r>
              <w:rPr>
                <w:rFonts w:ascii="Inter" w:hAnsi="Inter"/>
                <w:b w:val="0"/>
                <w:i w:val="0"/>
                <w:color w:val="2D3142"/>
                <w:sz w:val="18"/>
              </w:rPr>
              <w:t>Global infrastructure seized by FBI</w:t>
            </w:r>
          </w:p>
        </w:tc>
        <w:tc>
          <w:tcPr>
            <w:tcW w:type="dxa" w:w="3213"/>
            <w:shd w:val="clear" w:color="auto" w:fill="FFFFFF"/>
            <w:vAlign w:val="center"/>
          </w:tcPr>
          <w:p>
            <w:pPr>
              <w:spacing w:before="80" w:after="80"/>
            </w:pPr>
            <w:r>
              <w:rPr>
                <w:rFonts w:ascii="Inter" w:hAnsi="Inter"/>
                <w:b w:val="0"/>
                <w:i w:val="0"/>
                <w:color w:val="2D3142"/>
                <w:sz w:val="18"/>
              </w:rPr>
              <w:t>DDoS-for-Hire illicit network takedown</w:t>
            </w:r>
          </w:p>
        </w:tc>
      </w:tr>
    </w:tbl>
    <w:p>
      <w:pPr>
        <w:spacing w:before="120" w:after="80"/>
      </w:pPr>
      <w:r>
        <w:rPr>
          <w:rFonts w:ascii="Inter" w:hAnsi="Inter"/>
          <w:b w:val="0"/>
          <w:i/>
          <w:color w:val="4A5068"/>
          <w:sz w:val="19"/>
        </w:rPr>
        <w:t>Supply-chain and outsourced support vendors continue to serve as the path of least resistance for threat actors seeking lateral enterprise compromise.</w:t>
      </w:r>
    </w:p>
    <w:p>
      <w:pPr>
        <w:spacing w:before="0" w:after="80"/>
      </w:pPr>
    </w:p>
    <w:p>
      <w:pPr>
        <w:spacing w:before="400" w:after="160"/>
        <w:pBdr>
          <w:bottom w:val="single" w:sz="4" w:space="1" w:color="0F1117"/>
        </w:pBdr>
      </w:pPr>
      <w:r>
        <w:rPr>
          <w:rFonts w:ascii="Inter" w:hAnsi="Inter"/>
          <w:b/>
          <w:i w:val="0"/>
          <w:color w:val="0F1117"/>
          <w:sz w:val="22"/>
        </w:rPr>
        <w:t>06  ·  This Weekend</w:t>
      </w:r>
    </w:p>
    <w:p>
      <w:pPr>
        <w:spacing w:before="60" w:after="60"/>
      </w:pPr>
      <w:r>
        <w:rPr>
          <w:rFonts w:ascii="Inter" w:hAnsi="Inter"/>
          <w:b/>
          <w:i w:val="0"/>
          <w:color w:val="0F1117"/>
          <w:sz w:val="20"/>
        </w:rPr>
        <w:t xml:space="preserve">1.  </w:t>
      </w:r>
      <w:r>
        <w:rPr>
          <w:rFonts w:ascii="Inter" w:hAnsi="Inter"/>
          <w:b/>
          <w:i w:val="0"/>
          <w:color w:val="0F1117"/>
          <w:sz w:val="20"/>
        </w:rPr>
        <w:t xml:space="preserve">Patch Linux kernel endpoints immediately.  </w:t>
      </w:r>
      <w:r>
        <w:rPr>
          <w:rFonts w:ascii="Inter" w:hAnsi="Inter"/>
          <w:b w:val="0"/>
          <w:i w:val="0"/>
          <w:color w:val="4A5068"/>
          <w:sz w:val="20"/>
        </w:rPr>
        <w:t>Apply latest distribution kernel updates to remediate weaponized local root escalation vulnerabilities.</w:t>
      </w:r>
    </w:p>
    <w:p>
      <w:pPr>
        <w:spacing w:before="60" w:after="60"/>
      </w:pPr>
      <w:r>
        <w:rPr>
          <w:rFonts w:ascii="Inter" w:hAnsi="Inter"/>
          <w:b/>
          <w:i w:val="0"/>
          <w:color w:val="0F1117"/>
          <w:sz w:val="20"/>
        </w:rPr>
        <w:t xml:space="preserve">2.  </w:t>
      </w:r>
      <w:r>
        <w:rPr>
          <w:rFonts w:ascii="Inter" w:hAnsi="Inter"/>
          <w:b/>
          <w:i w:val="0"/>
          <w:color w:val="0F1117"/>
          <w:sz w:val="20"/>
        </w:rPr>
        <w:t xml:space="preserve">Lock down public-facing application entry points (T1190).  </w:t>
      </w:r>
      <w:r>
        <w:rPr>
          <w:rFonts w:ascii="Inter" w:hAnsi="Inter"/>
          <w:b w:val="0"/>
          <w:i w:val="0"/>
          <w:color w:val="4A5068"/>
          <w:sz w:val="20"/>
        </w:rPr>
        <w:t>With 537 hits on T1190, audit external exposure, disable legacy protocols, and mandate MFA on all remote services.</w:t>
      </w:r>
    </w:p>
    <w:p>
      <w:pPr>
        <w:spacing w:before="60" w:after="60"/>
      </w:pPr>
      <w:r>
        <w:rPr>
          <w:rFonts w:ascii="Inter" w:hAnsi="Inter"/>
          <w:b/>
          <w:i w:val="0"/>
          <w:color w:val="0F1117"/>
          <w:sz w:val="20"/>
        </w:rPr>
        <w:t xml:space="preserve">3.  </w:t>
      </w:r>
      <w:r>
        <w:rPr>
          <w:rFonts w:ascii="Inter" w:hAnsi="Inter"/>
          <w:b/>
          <w:i w:val="0"/>
          <w:color w:val="0F1117"/>
          <w:sz w:val="20"/>
        </w:rPr>
        <w:t xml:space="preserve">Verify offline and immutable hypervisor backups.  </w:t>
      </w:r>
      <w:r>
        <w:rPr>
          <w:rFonts w:ascii="Inter" w:hAnsi="Inter"/>
          <w:b w:val="0"/>
          <w:i w:val="0"/>
          <w:color w:val="4A5068"/>
          <w:sz w:val="20"/>
        </w:rPr>
        <w:t>Ensure ESXi/vCenter storage arrays have immutable snapshots protected against ransomware kill chains.</w:t>
      </w:r>
    </w:p>
    <w:p>
      <w:pPr>
        <w:spacing w:before="60" w:after="60"/>
      </w:pPr>
      <w:r>
        <w:rPr>
          <w:rFonts w:ascii="Inter" w:hAnsi="Inter"/>
          <w:b/>
          <w:i w:val="0"/>
          <w:color w:val="0F1117"/>
          <w:sz w:val="20"/>
        </w:rPr>
        <w:t xml:space="preserve">4.  </w:t>
      </w:r>
      <w:r>
        <w:rPr>
          <w:rFonts w:ascii="Inter" w:hAnsi="Inter"/>
          <w:b/>
          <w:i w:val="0"/>
          <w:color w:val="0F1117"/>
          <w:sz w:val="20"/>
        </w:rPr>
        <w:t xml:space="preserve">Harden CMS and web applications against Click2Shell.  </w:t>
      </w:r>
      <w:r>
        <w:rPr>
          <w:rFonts w:ascii="Inter" w:hAnsi="Inter"/>
          <w:b w:val="0"/>
          <w:i w:val="0"/>
          <w:color w:val="4A5068"/>
          <w:sz w:val="20"/>
        </w:rPr>
        <w:t>Restrict theme and plugin installations on WordPress instances to authorized CI/CD deployment pipelines.</w:t>
      </w:r>
    </w:p>
    <w:p>
      <w:pPr>
        <w:spacing w:before="60" w:after="60"/>
      </w:pPr>
      <w:r>
        <w:rPr>
          <w:rFonts w:ascii="Inter" w:hAnsi="Inter"/>
          <w:b/>
          <w:i w:val="0"/>
          <w:color w:val="0F1117"/>
          <w:sz w:val="20"/>
        </w:rPr>
        <w:t xml:space="preserve">5.  </w:t>
      </w:r>
      <w:r>
        <w:rPr>
          <w:rFonts w:ascii="Inter" w:hAnsi="Inter"/>
          <w:b/>
          <w:i w:val="0"/>
          <w:color w:val="0F1117"/>
          <w:sz w:val="20"/>
        </w:rPr>
        <w:t xml:space="preserve">Hunt for command-line obfuscation (T1027).  </w:t>
      </w:r>
      <w:r>
        <w:rPr>
          <w:rFonts w:ascii="Inter" w:hAnsi="Inter"/>
          <w:b w:val="0"/>
          <w:i w:val="0"/>
          <w:color w:val="4A5068"/>
          <w:sz w:val="20"/>
        </w:rPr>
        <w:t>Query SIEM and EDR for encoded PowerShell, base64 bash executions, and anomalous curl/wget ingress activity.</w:t>
      </w:r>
    </w:p>
    <w:p>
      <w:pPr>
        <w:spacing w:before="0" w:after="160"/>
      </w:pPr>
    </w:p>
    <w:p>
      <w:pPr>
        <w:spacing w:before="80" w:after="0"/>
        <w:pBdr>
          <w:bottom w:val="single" w:sz="12" w:space="1" w:color="0F1117"/>
        </w:pBdr>
      </w:pPr>
    </w:p>
    <w:p>
      <w:pPr>
        <w:spacing w:before="120" w:after="0"/>
      </w:pPr>
      <w:r>
        <w:rPr>
          <w:rFonts w:ascii="Inter" w:hAnsi="Inter"/>
          <w:b w:val="0"/>
          <w:i w:val="0"/>
          <w:color w:val="9CA3AF"/>
          <w:sz w:val="16"/>
        </w:rPr>
        <w:t>Resources: CISA KEV Catalog  |  MITRE ATT&amp;CK Framework  |  Microsoft Security Response Center  |  NO ENTRY SOC Platform</w:t>
        <w:br/>
        <w:t>Data: NO ENTRY SOC Platform  |  Week of September 12-18, 2026  |  Mapped to MITRE ATT&amp;CK Enterprise v15  |  SOC-INTEL / WK37  |  Sujampathi Rathnayaka</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