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20"/>
      </w:pPr>
      <w:r>
        <w:rPr>
          <w:rFonts w:ascii="Calibri" w:hAnsi="Calibri"/>
          <w:b/>
          <w:color w:val="0F172A"/>
          <w:sz w:val="56"/>
        </w:rPr>
        <w:t>NO ENTRY (SOC-AI)</w:t>
      </w:r>
    </w:p>
    <w:p>
      <w:pPr>
        <w:spacing w:after="480"/>
      </w:pPr>
      <w:r>
        <w:rPr>
          <w:rFonts w:ascii="Calibri" w:hAnsi="Calibri"/>
          <w:color w:val="64748B"/>
          <w:sz w:val="26"/>
        </w:rPr>
        <w:t>Complete System Architecture, Engineering Reference, and Function Specification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</w:tcPr>
          <w:p>
            <w:r>
              <w:rPr>
                <w:b/>
                <w:sz w:val="19"/>
              </w:rPr>
              <w:t>Platform Name:</w:t>
            </w:r>
          </w:p>
        </w:tc>
        <w:tc>
          <w:tcPr>
            <w:tcW w:type="dxa" w:w="6192"/>
          </w:tcPr>
          <w:p>
            <w:r>
              <w:rPr>
                <w:sz w:val="19"/>
              </w:rPr>
              <w:t>NO ENTRY (SOC-AI) Threat Intelligence Platform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Production URL:</w:t>
            </w:r>
          </w:p>
        </w:tc>
        <w:tc>
          <w:tcPr>
            <w:tcW w:type="dxa" w:w="6192"/>
          </w:tcPr>
          <w:p>
            <w:r>
              <w:rPr>
                <w:sz w:val="19"/>
              </w:rPr>
              <w:t>https://soc-ai-six.vercel.app/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Repository:</w:t>
            </w:r>
          </w:p>
        </w:tc>
        <w:tc>
          <w:tcPr>
            <w:tcW w:type="dxa" w:w="6192"/>
          </w:tcPr>
          <w:p>
            <w:r>
              <w:rPr>
                <w:sz w:val="19"/>
              </w:rPr>
              <w:t>ceylonroameryt-bit/SOC-AI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Current Branch:</w:t>
            </w:r>
          </w:p>
        </w:tc>
        <w:tc>
          <w:tcPr>
            <w:tcW w:type="dxa" w:w="6192"/>
          </w:tcPr>
          <w:p>
            <w:r>
              <w:rPr>
                <w:sz w:val="19"/>
              </w:rPr>
              <w:t>fix/feed-reliability-and-health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Date of Publication:</w:t>
            </w:r>
          </w:p>
        </w:tc>
        <w:tc>
          <w:tcPr>
            <w:tcW w:type="dxa" w:w="6192"/>
          </w:tcPr>
          <w:p>
            <w:r>
              <w:rPr>
                <w:sz w:val="19"/>
              </w:rPr>
              <w:t>September 26, 2026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Verification State:</w:t>
            </w:r>
          </w:p>
        </w:tc>
        <w:tc>
          <w:tcPr>
            <w:tcW w:type="dxa" w:w="6192"/>
          </w:tcPr>
          <w:p>
            <w:r>
              <w:rPr>
                <w:sz w:val="19"/>
              </w:rPr>
              <w:t>100% Verified (98/98 Tests Passing, Production Build Passing)</w:t>
            </w:r>
          </w:p>
        </w:tc>
      </w:tr>
    </w:tbl>
    <w:p>
      <w:r>
        <w:br w:type="page"/>
      </w:r>
    </w:p>
    <w:p>
      <w:pPr>
        <w:spacing w:before="400" w:after="160"/>
      </w:pPr>
      <w:r>
        <w:rPr>
          <w:rFonts w:ascii="Calibri" w:hAnsi="Calibri"/>
          <w:b/>
          <w:color w:val="0F172A"/>
          <w:sz w:val="40"/>
        </w:rPr>
        <w:t>1. Executive Summary &amp; Non-Technical Overview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1"/>
        </w:rPr>
        <w:t>NO ENTRY (also engineered as SOC-AI) is an enterprise cybersecurity threat intelligence platform designed for Security Operations Centers (SOCs), incident response teams, threat intelligence researchers, and CISOs.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1"/>
        </w:rPr>
        <w:t>In modern security environments, analysts face an overwhelming volume of disconnected threat feeds, vendor marketing disguised as critical alerts, and tedious manual effort cross-referencing CVEs and MITRE ATT&amp;CK techniques. NO ENTRY automates this complete pipeline: ingesting 1,000+ threat endpoints, de-hyping non-operational noise, correlating against the CISA Known Exploited Vulnerabilities (KEV) catalog, mapping TTPs across 14 MITRE tactics, and enforcing strict legal fair-use compliance.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before="120" w:after="40"/>
            </w:pPr>
            <w:r>
              <w:rPr>
                <w:rFonts w:ascii="Calibri" w:hAnsi="Calibri"/>
                <w:b/>
                <w:color w:val="1E3A8A"/>
                <w:sz w:val="20"/>
              </w:rPr>
              <w:t>NOTE: Key Platform Innovation</w:t>
              <w:br/>
            </w:r>
            <w:r>
              <w:rPr>
                <w:rFonts w:ascii="Calibri" w:hAnsi="Calibri"/>
                <w:color w:val="1E293B"/>
                <w:sz w:val="19"/>
              </w:rPr>
              <w:t>NO ENTRY replaces naive keyword matching with multi-factor evidence scoring. Marketing webinars and funding posts are penalized by -50 points, while active exploitation signals and CISA KEV entries receive substantial bonuses.</w:t>
            </w:r>
          </w:p>
        </w:tc>
      </w:tr>
    </w:tbl>
    <w:p/>
    <w:p>
      <w:pPr>
        <w:spacing w:before="400" w:after="160"/>
      </w:pPr>
      <w:r>
        <w:rPr>
          <w:rFonts w:ascii="Calibri" w:hAnsi="Calibri"/>
          <w:b/>
          <w:color w:val="0F172A"/>
          <w:sz w:val="40"/>
        </w:rPr>
        <w:t>2. System Architecture &amp; Data Pipeline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1"/>
        </w:rPr>
        <w:t>The platform is engineered around a reliable, decoupled ingestion pipeline with dual persistence and serverless compatibility: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1"/>
        </w:rPr>
        <w:t>1. Ingestion Gateway: Protects against Server-Side Request Forgery (SSRF) using urlUtils.js, validates redirects, serializes per-host requests, and enforces a 32MB payload ceiling.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1"/>
        </w:rPr>
        <w:t>2. Processing Pipeline: Derives stable SHA-256 article IDs, strictly parses publication dates without current-time fabrication, calculates multi-factor severity scores, categorizes content into 11 taxonomy categories, tags MITRE ATT&amp;CK techniques, and caps snippets at 280-500 characters for legal compliance.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1"/>
        </w:rPr>
        <w:t>3. Dual Persistence Layer: Persists data to PostgreSQL/Supabase and an atomic JSON archive (news.json) equipped with disk-to-memory mtime cache synchronization.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1"/>
        </w:rPr>
        <w:t>4. API Layer: Bridges local Express 5 routes to Vercel Serverless via api/index.js, providing /api/explore, /api/sources, /api/news, and /api/health with 100% parity.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1"/>
        </w:rPr>
        <w:t>5. Frontend Workspaces: React 19 + TypeScript + Vite user interfaces including the Intelligence Workspace, Explore Archive, and Sources Hub.</w:t>
      </w:r>
    </w:p>
    <w:p>
      <w:pPr>
        <w:spacing w:before="400" w:after="160"/>
      </w:pPr>
      <w:r>
        <w:rPr>
          <w:rFonts w:ascii="Calibri" w:hAnsi="Calibri"/>
          <w:b/>
          <w:color w:val="0F172A"/>
          <w:sz w:val="40"/>
        </w:rPr>
        <w:t>3. Technical Functions &amp; Module Breakdown</w:t>
      </w:r>
    </w:p>
    <w:p>
      <w:pPr>
        <w:spacing w:before="280" w:after="120"/>
      </w:pPr>
      <w:r>
        <w:rPr>
          <w:rFonts w:ascii="Calibri" w:hAnsi="Calibri"/>
          <w:b/>
          <w:color w:val="1E3A8A"/>
          <w:sz w:val="28"/>
        </w:rPr>
        <w:t>3.1 SSRF &amp; Network Boundary Protection (server/utils/urlUtils.js)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1"/>
        </w:rPr>
        <w:t>isPrivateOrInternalUrl(rawUrl): Inspects hostnames and IP addresses. Blocks loopback (127.0.0.1), RFC1918 private subnets (10.x, 172.16-31.x, 192.168.x), link-local addresses, and cloud metadata APIs (169.254.169.254).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1"/>
        </w:rPr>
        <w:t>validateRedirectUrl(originalUrl, target): Ensures HTTP 301/302 redirects cannot bounce a connection into an internal subnet or administrative port.</w:t>
      </w:r>
    </w:p>
    <w:p>
      <w:pPr>
        <w:spacing w:before="280" w:after="120"/>
      </w:pPr>
      <w:r>
        <w:rPr>
          <w:rFonts w:ascii="Calibri" w:hAnsi="Calibri"/>
          <w:b/>
          <w:color w:val="1E3A8A"/>
          <w:sz w:val="28"/>
        </w:rPr>
        <w:t>3.2 Ingestion Engine (server/services/collectorEngine.js)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1"/>
        </w:rPr>
        <w:t>safeFetchWithRedirects(url): Enforces a 32MB maximum body buffer (MAX_BODY_BYTES) to accommodate massive XML security archives such as CISA US-CERT bulletins.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1"/>
        </w:rPr>
        <w:t>withHostLock(host, task): Serializes requests directed to the same apex domain to prevent rate-limiting bans.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1"/>
        </w:rPr>
        <w:t>parseRetryAfter(header): Parses HTTP 429 Retry-After headers in both integer seconds and HTTP-date formats.</w:t>
      </w:r>
    </w:p>
    <w:p>
      <w:pPr>
        <w:spacing w:before="280" w:after="120"/>
      </w:pPr>
      <w:r>
        <w:rPr>
          <w:rFonts w:ascii="Calibri" w:hAnsi="Calibri"/>
          <w:b/>
          <w:color w:val="1E3A8A"/>
          <w:sz w:val="28"/>
        </w:rPr>
        <w:t>3.3 Multi-Factor Severity Scoring (server/services/severityEngine.js)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1"/>
        </w:rPr>
        <w:t>assessSeverity(article): Evaluates articles against the CISA KEV catalog (+35 pts), active in-the-wild exploitation (+30 pts), unauthenticated RCE (+25 pts), and ransomware leak portals (+20 pts). Automatically applies a -50 pt penalty to promotional content containing keywords such as 'webinar', 'whitepaper', 'seed funding', or 'gartner'.</w:t>
      </w:r>
    </w:p>
    <w:p>
      <w:pPr>
        <w:spacing w:before="280" w:after="120"/>
      </w:pPr>
      <w:r>
        <w:rPr>
          <w:rFonts w:ascii="Calibri" w:hAnsi="Calibri"/>
          <w:b/>
          <w:color w:val="1E3A8A"/>
          <w:sz w:val="28"/>
        </w:rPr>
        <w:t>3.4 MITRE ATT&amp;CK Mapping (server/services/mitreService.js)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1"/>
        </w:rPr>
        <w:t>enrichArticleWithMitre(article): Maps content against 14 enterprise tactics (Reconnaissance through Impact) and 52 discrete techniques (e.g., T1566 Phishing, T1059 Command and Scripting Interpreter). Generates structured tactic arrays and links to attack.mitre.org.</w:t>
      </w:r>
    </w:p>
    <w:p>
      <w:pPr>
        <w:spacing w:before="280" w:after="120"/>
      </w:pPr>
      <w:r>
        <w:rPr>
          <w:rFonts w:ascii="Calibri" w:hAnsi="Calibri"/>
          <w:b/>
          <w:color w:val="1E3A8A"/>
          <w:sz w:val="28"/>
        </w:rPr>
        <w:t>3.5 Timezone-Aware Explorer (server/routes/explore.js)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1"/>
        </w:rPr>
        <w:t>getLocalMidnightUTC(dateStr, timeZone): Converts local calendar day boundaries in any IANA timezone (e.g., America/New_York) into exact UTC ISO timestamps [dateFrom, dateTo). Ensures articles published on a calendar day match the user's selected timezone without leaking undated reports.</w:t>
      </w:r>
    </w:p>
    <w:p>
      <w:pPr>
        <w:spacing w:before="280" w:after="120"/>
      </w:pPr>
      <w:r>
        <w:rPr>
          <w:rFonts w:ascii="Calibri" w:hAnsi="Calibri"/>
          <w:b/>
          <w:color w:val="1E3A8A"/>
          <w:sz w:val="28"/>
        </w:rPr>
        <w:t>3.6 Vercel Serverless Parity Bridge (api/index.js)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1"/>
        </w:rPr>
        <w:t>Replaces an outdated 989-line duplicate file with a clean Express handler delegate: export default function handler(req, res) { return app(req, res); }. Guarantees identical API behavior across local Express and production Vercel.</w:t>
      </w:r>
    </w:p>
    <w:p>
      <w:pPr>
        <w:spacing w:before="400" w:after="160"/>
      </w:pPr>
      <w:r>
        <w:rPr>
          <w:rFonts w:ascii="Calibri" w:hAnsi="Calibri"/>
          <w:b/>
          <w:color w:val="0F172A"/>
          <w:sz w:val="40"/>
        </w:rPr>
        <w:t>4. Frontend Workspaces &amp; Navigation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1"/>
        </w:rPr>
        <w:t>The frontend application in src/App.tsx provides responsive, dark-mode cybersecurity workspaces built with React 19, TypeScript, and Vite 7: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1"/>
        </w:rPr>
        <w:t>• Intelligence Workspace (/): Unified analyst triage feed with real-time severity badges, category selectors, and analyst action progression (New -&gt; Investigating -&gt; Closed).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1"/>
        </w:rPr>
        <w:t>• Explore Archive (/explore): Date preset filters (Today, Yesterday, Last 7d, Last 30d), timezone selector, keyword search, and a slide-over detail drawer displaying full MITRE TTPs.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1"/>
        </w:rPr>
        <w:t>• Sources Hub (/sources): Reconciled 1,000-source target meter (147 qualified / 1,000 target), operational health scorecard (145/147 healthy), latency badges, and legal permission statuses.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1"/>
        </w:rPr>
        <w:t>• Vulnerabilities View (/vulnerabilities): Active CVEs correlated with CISA KEV exploitation flags.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1"/>
        </w:rPr>
        <w:t>• MITRE Heatmap (/mitre): Interactive 14-tactic Enterprise ATT&amp;CK matrix color-coded by observed threat intensity.</w:t>
      </w:r>
    </w:p>
    <w:p>
      <w:pPr>
        <w:spacing w:before="400" w:after="160"/>
      </w:pPr>
      <w:r>
        <w:rPr>
          <w:rFonts w:ascii="Calibri" w:hAnsi="Calibri"/>
          <w:b/>
          <w:color w:val="0F172A"/>
          <w:sz w:val="40"/>
        </w:rPr>
        <w:t>5. Development, Testing, and Deployment Guide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1"/>
        </w:rPr>
        <w:t>Local Development Workflow: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1"/>
        </w:rPr>
        <w:t>1. npm install - Installs dependencies.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1"/>
        </w:rPr>
        <w:t>2. npm run dev - Starts Vite frontend on port 5173.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1"/>
        </w:rPr>
        <w:t>3. npm run server - Starts Express backend on port 3000.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1"/>
        </w:rPr>
        <w:t>4. npm test - Executes the 98-test automated test suite across 18 test suites and validates the production bundle.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1"/>
        </w:rPr>
        <w:t>5. npm run collector - Triggers a manual background crawl of active threat intelligence feeds.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1"/>
        </w:rPr>
        <w:t>Deployment to Production: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1"/>
        </w:rPr>
        <w:t>Pushing branch fix/feed-reliability-and-health to GitHub triggers automated Vercel deployment. Vercel compiles the frontend and routes /api/* to the repaired api/index.js bridge.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