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D53D2" w14:textId="77777777" w:rsidR="008F1EDC" w:rsidRDefault="00000000">
      <w:pPr>
        <w:spacing w:after="80"/>
        <w:rPr>
          <w:rFonts w:hint="eastAsia"/>
        </w:rPr>
      </w:pPr>
      <w:r>
        <w:rPr>
          <w:b/>
          <w:color w:val="6B7280"/>
          <w:sz w:val="16"/>
        </w:rPr>
        <w:t>SOC-INTEL  /  WK36  ·  September 8–10, 2026</w:t>
      </w:r>
    </w:p>
    <w:p w14:paraId="4E656067" w14:textId="77777777" w:rsidR="008F1EDC" w:rsidRDefault="00000000">
      <w:pPr>
        <w:spacing w:after="120"/>
        <w:rPr>
          <w:rFonts w:hint="eastAsia"/>
        </w:rPr>
      </w:pPr>
      <w:r>
        <w:rPr>
          <w:b/>
          <w:color w:val="0F1117"/>
          <w:sz w:val="44"/>
        </w:rPr>
        <w:t>The week the threat landscape got louder</w:t>
      </w:r>
    </w:p>
    <w:p w14:paraId="22302357" w14:textId="77777777" w:rsidR="008F1EDC" w:rsidRDefault="00000000">
      <w:pPr>
        <w:spacing w:after="80"/>
        <w:rPr>
          <w:rFonts w:hint="eastAsia"/>
        </w:rPr>
      </w:pPr>
      <w:r>
        <w:rPr>
          <w:color w:val="6B7280"/>
        </w:rPr>
        <w:t>Weekly cyber threat intelligence briefing — September 8–10, 2026. 819 ingested reports, 403 MITRE-categorized events, full ATT&amp;CK tactic coverage.</w:t>
      </w:r>
    </w:p>
    <w:p w14:paraId="2BC884DE" w14:textId="77777777" w:rsidR="008F1EDC" w:rsidRDefault="00000000">
      <w:pPr>
        <w:pBdr>
          <w:bottom w:val="single" w:sz="12" w:space="1" w:color="0F1117"/>
        </w:pBdr>
        <w:spacing w:after="40"/>
        <w:rPr>
          <w:rFonts w:hint="eastAsia"/>
        </w:rPr>
      </w:pPr>
      <w:r>
        <w:rPr>
          <w:color w:val="4A5068"/>
          <w:sz w:val="18"/>
        </w:rPr>
        <w:t>Sujampathi Rathnayaka  |  Security Analyst  |  Published: September 10, 2026  |  NO ENTRY SOC Platform</w:t>
      </w:r>
    </w:p>
    <w:p w14:paraId="469DFE55" w14:textId="77777777" w:rsidR="008F1EDC" w:rsidRDefault="008F1EDC">
      <w:pPr>
        <w:spacing w:after="40"/>
        <w:rPr>
          <w:rFonts w:hint="eastAsia"/>
        </w:rPr>
      </w:pPr>
    </w:p>
    <w:tbl>
      <w:tblPr>
        <w:tblStyle w:val="TableGrid"/>
        <w:tblW w:w="0" w:type="auto"/>
        <w:jc w:val="center"/>
        <w:tblLook w:val="04A0" w:firstRow="1" w:lastRow="0" w:firstColumn="1" w:lastColumn="0" w:noHBand="0" w:noVBand="1"/>
      </w:tblPr>
      <w:tblGrid>
        <w:gridCol w:w="2409"/>
        <w:gridCol w:w="2409"/>
        <w:gridCol w:w="2409"/>
        <w:gridCol w:w="2409"/>
      </w:tblGrid>
      <w:tr w:rsidR="008F1EDC" w14:paraId="5470B7D3" w14:textId="77777777">
        <w:trPr>
          <w:jc w:val="center"/>
        </w:trPr>
        <w:tc>
          <w:tcPr>
            <w:tcW w:w="2409" w:type="dxa"/>
            <w:shd w:val="clear" w:color="auto" w:fill="F0F2F7"/>
            <w:vAlign w:val="center"/>
          </w:tcPr>
          <w:p w14:paraId="3632D9DF" w14:textId="77777777" w:rsidR="008F1EDC" w:rsidRDefault="00000000">
            <w:pPr>
              <w:spacing w:before="160" w:after="40"/>
              <w:rPr>
                <w:rFonts w:hint="eastAsia"/>
              </w:rPr>
            </w:pPr>
            <w:r>
              <w:rPr>
                <w:b/>
                <w:color w:val="0F1117"/>
                <w:sz w:val="40"/>
              </w:rPr>
              <w:t>819</w:t>
            </w:r>
          </w:p>
          <w:p w14:paraId="57DD156E" w14:textId="77777777" w:rsidR="008F1EDC" w:rsidRDefault="00000000">
            <w:pPr>
              <w:spacing w:after="160"/>
              <w:rPr>
                <w:rFonts w:hint="eastAsia"/>
              </w:rPr>
            </w:pPr>
            <w:r>
              <w:rPr>
                <w:color w:val="6B7280"/>
                <w:sz w:val="16"/>
              </w:rPr>
              <w:t>Threat articles ingested</w:t>
            </w:r>
          </w:p>
        </w:tc>
        <w:tc>
          <w:tcPr>
            <w:tcW w:w="2409" w:type="dxa"/>
            <w:shd w:val="clear" w:color="auto" w:fill="F0F2F7"/>
            <w:vAlign w:val="center"/>
          </w:tcPr>
          <w:p w14:paraId="578BF97F" w14:textId="77777777" w:rsidR="008F1EDC" w:rsidRDefault="00000000">
            <w:pPr>
              <w:spacing w:before="160" w:after="40"/>
              <w:rPr>
                <w:rFonts w:hint="eastAsia"/>
              </w:rPr>
            </w:pPr>
            <w:r>
              <w:rPr>
                <w:b/>
                <w:color w:val="1D4ED8"/>
                <w:sz w:val="40"/>
              </w:rPr>
              <w:t>403</w:t>
            </w:r>
          </w:p>
          <w:p w14:paraId="2FEF637D" w14:textId="77777777" w:rsidR="008F1EDC" w:rsidRDefault="00000000">
            <w:pPr>
              <w:spacing w:after="160"/>
              <w:rPr>
                <w:rFonts w:hint="eastAsia"/>
              </w:rPr>
            </w:pPr>
            <w:r>
              <w:rPr>
                <w:color w:val="6B7280"/>
                <w:sz w:val="16"/>
              </w:rPr>
              <w:t>MITRE-categorized events</w:t>
            </w:r>
          </w:p>
        </w:tc>
        <w:tc>
          <w:tcPr>
            <w:tcW w:w="2409" w:type="dxa"/>
            <w:shd w:val="clear" w:color="auto" w:fill="F0F2F7"/>
            <w:vAlign w:val="center"/>
          </w:tcPr>
          <w:p w14:paraId="0DC890E6" w14:textId="77777777" w:rsidR="008F1EDC" w:rsidRDefault="00000000">
            <w:pPr>
              <w:spacing w:before="160" w:after="40"/>
              <w:rPr>
                <w:rFonts w:hint="eastAsia"/>
              </w:rPr>
            </w:pPr>
            <w:r>
              <w:rPr>
                <w:b/>
                <w:color w:val="0F1117"/>
                <w:sz w:val="40"/>
              </w:rPr>
              <w:t>14/14</w:t>
            </w:r>
          </w:p>
          <w:p w14:paraId="626B7CE7" w14:textId="77777777" w:rsidR="008F1EDC" w:rsidRDefault="00000000">
            <w:pPr>
              <w:spacing w:after="160"/>
              <w:rPr>
                <w:rFonts w:hint="eastAsia"/>
              </w:rPr>
            </w:pPr>
            <w:r>
              <w:rPr>
                <w:color w:val="6B7280"/>
                <w:sz w:val="16"/>
              </w:rPr>
              <w:t>ATT&amp;CK tactic coverage</w:t>
            </w:r>
          </w:p>
        </w:tc>
        <w:tc>
          <w:tcPr>
            <w:tcW w:w="2409" w:type="dxa"/>
            <w:shd w:val="clear" w:color="auto" w:fill="F0F2F7"/>
            <w:vAlign w:val="center"/>
          </w:tcPr>
          <w:p w14:paraId="50A39058" w14:textId="77777777" w:rsidR="008F1EDC" w:rsidRDefault="00000000">
            <w:pPr>
              <w:spacing w:before="160" w:after="40"/>
              <w:rPr>
                <w:rFonts w:hint="eastAsia"/>
              </w:rPr>
            </w:pPr>
            <w:r>
              <w:rPr>
                <w:b/>
                <w:color w:val="C0392B"/>
                <w:sz w:val="40"/>
              </w:rPr>
              <w:t>2</w:t>
            </w:r>
          </w:p>
          <w:p w14:paraId="2DE5656C" w14:textId="77777777" w:rsidR="008F1EDC" w:rsidRDefault="00000000">
            <w:pPr>
              <w:spacing w:after="160"/>
              <w:rPr>
                <w:rFonts w:hint="eastAsia"/>
              </w:rPr>
            </w:pPr>
            <w:r>
              <w:rPr>
                <w:color w:val="6B7280"/>
                <w:sz w:val="16"/>
              </w:rPr>
              <w:t>Active zero-days (KEV)</w:t>
            </w:r>
          </w:p>
        </w:tc>
      </w:tr>
    </w:tbl>
    <w:p w14:paraId="03490075" w14:textId="77777777" w:rsidR="008F1EDC" w:rsidRDefault="008F1EDC">
      <w:pPr>
        <w:spacing w:after="120"/>
        <w:rPr>
          <w:rFonts w:hint="eastAsia"/>
        </w:rPr>
      </w:pPr>
    </w:p>
    <w:p w14:paraId="22A34413" w14:textId="77777777" w:rsidR="008F1EDC" w:rsidRDefault="00000000">
      <w:pPr>
        <w:pBdr>
          <w:bottom w:val="single" w:sz="4" w:space="1" w:color="E2E5EC"/>
        </w:pBdr>
        <w:spacing w:before="360" w:after="120"/>
        <w:rPr>
          <w:rFonts w:hint="eastAsia"/>
        </w:rPr>
      </w:pPr>
      <w:r>
        <w:rPr>
          <w:b/>
          <w:color w:val="0F1117"/>
          <w:sz w:val="22"/>
        </w:rPr>
        <w:t>01  ·  Critical Headlines</w:t>
      </w:r>
    </w:p>
    <w:tbl>
      <w:tblPr>
        <w:tblStyle w:val="TableGrid"/>
        <w:tblW w:w="0" w:type="auto"/>
        <w:jc w:val="center"/>
        <w:tblLook w:val="04A0" w:firstRow="1" w:lastRow="0" w:firstColumn="1" w:lastColumn="0" w:noHBand="0" w:noVBand="1"/>
      </w:tblPr>
      <w:tblGrid>
        <w:gridCol w:w="4792"/>
        <w:gridCol w:w="4786"/>
        <w:gridCol w:w="276"/>
      </w:tblGrid>
      <w:tr w:rsidR="008F1EDC" w14:paraId="25BECDB3" w14:textId="77777777">
        <w:trPr>
          <w:gridAfter w:val="1"/>
          <w:wAfter w:w="278" w:type="dxa"/>
          <w:jc w:val="center"/>
        </w:trPr>
        <w:tc>
          <w:tcPr>
            <w:tcW w:w="4819" w:type="dxa"/>
            <w:shd w:val="clear" w:color="auto" w:fill="F0F2F7"/>
          </w:tcPr>
          <w:p w14:paraId="6C774FE3" w14:textId="77777777" w:rsidR="008F1EDC" w:rsidRDefault="00000000">
            <w:pPr>
              <w:spacing w:before="100" w:after="100"/>
              <w:rPr>
                <w:rFonts w:hint="eastAsia"/>
              </w:rPr>
            </w:pPr>
            <w:r>
              <w:rPr>
                <w:b/>
                <w:color w:val="0F1117"/>
              </w:rPr>
              <w:t>Patch Tuesday, record edition — 974 vulnerabilities, two under active exploitation</w:t>
            </w:r>
          </w:p>
        </w:tc>
        <w:tc>
          <w:tcPr>
            <w:tcW w:w="4819" w:type="dxa"/>
            <w:shd w:val="clear" w:color="auto" w:fill="F0F2F7"/>
            <w:vAlign w:val="center"/>
          </w:tcPr>
          <w:p w14:paraId="3840B725" w14:textId="77777777" w:rsidR="008F1EDC" w:rsidRDefault="00000000">
            <w:pPr>
              <w:spacing w:before="100" w:after="100"/>
              <w:jc w:val="center"/>
              <w:rPr>
                <w:rFonts w:hint="eastAsia"/>
              </w:rPr>
            </w:pPr>
            <w:r>
              <w:rPr>
                <w:b/>
                <w:color w:val="C0392B"/>
                <w:sz w:val="16"/>
              </w:rPr>
              <w:t>CRITICAL</w:t>
            </w:r>
          </w:p>
        </w:tc>
      </w:tr>
      <w:tr w:rsidR="008F1EDC" w14:paraId="4DC93885" w14:textId="77777777">
        <w:trPr>
          <w:jc w:val="center"/>
        </w:trPr>
        <w:tc>
          <w:tcPr>
            <w:tcW w:w="9638" w:type="dxa"/>
            <w:gridSpan w:val="3"/>
          </w:tcPr>
          <w:p w14:paraId="23E61BE7" w14:textId="77777777" w:rsidR="008F1EDC" w:rsidRDefault="00000000">
            <w:pPr>
              <w:spacing w:before="120" w:after="120"/>
              <w:rPr>
                <w:rFonts w:hint="eastAsia"/>
              </w:rPr>
            </w:pPr>
            <w:r>
              <w:rPr>
                <w:color w:val="2D3142"/>
                <w:sz w:val="19"/>
              </w:rPr>
              <w:t>Microsoft's September 2026 Patch Tuesday is the largest in company history, with 113 rated Critical. Two elevation-of-privilege flaws are already being weaponised in the wild, both now in CISA's Known Exploited Vulnerabilities catalog.</w:t>
            </w:r>
            <w:r>
              <w:rPr>
                <w:color w:val="2D3142"/>
                <w:sz w:val="19"/>
              </w:rPr>
              <w:br/>
            </w:r>
            <w:r>
              <w:rPr>
                <w:color w:val="2D3142"/>
                <w:sz w:val="19"/>
              </w:rPr>
              <w:br/>
              <w:t xml:space="preserve">  ▸  CVE-2026-85880  —  Windows ALPC EoP: escapes AppContainer sandbox to SYSTEM</w:t>
            </w:r>
            <w:r>
              <w:rPr>
                <w:color w:val="2D3142"/>
                <w:sz w:val="19"/>
              </w:rPr>
              <w:br/>
              <w:t xml:space="preserve">  ▸  CVE-2026-81963  —  Windows Update Stack link-following EoP to SYSTEM</w:t>
            </w:r>
            <w:r>
              <w:rPr>
                <w:color w:val="2D3142"/>
                <w:sz w:val="19"/>
              </w:rPr>
              <w:br/>
            </w:r>
            <w:r>
              <w:rPr>
                <w:color w:val="2D3142"/>
                <w:sz w:val="19"/>
              </w:rPr>
              <w:br/>
              <w:t>Android took 180 patches this cycle, including a no-interaction RCE in the System component.</w:t>
            </w:r>
            <w:r>
              <w:rPr>
                <w:color w:val="2D3142"/>
                <w:sz w:val="19"/>
              </w:rPr>
              <w:br/>
            </w:r>
            <w:r>
              <w:rPr>
                <w:color w:val="2D3142"/>
                <w:sz w:val="19"/>
              </w:rPr>
              <w:br/>
              <w:t>→  Federal remediation deadline: September 22, 2026. Patch Windows endpoints this week, no exceptions.</w:t>
            </w:r>
          </w:p>
        </w:tc>
      </w:tr>
    </w:tbl>
    <w:p w14:paraId="3B8A2AB9" w14:textId="77777777" w:rsidR="008F1EDC" w:rsidRDefault="008F1EDC">
      <w:pPr>
        <w:spacing w:after="80"/>
        <w:rPr>
          <w:rFonts w:hint="eastAsia"/>
        </w:rPr>
      </w:pPr>
    </w:p>
    <w:tbl>
      <w:tblPr>
        <w:tblStyle w:val="TableGrid"/>
        <w:tblW w:w="0" w:type="auto"/>
        <w:jc w:val="center"/>
        <w:tblLook w:val="04A0" w:firstRow="1" w:lastRow="0" w:firstColumn="1" w:lastColumn="0" w:noHBand="0" w:noVBand="1"/>
      </w:tblPr>
      <w:tblGrid>
        <w:gridCol w:w="4791"/>
        <w:gridCol w:w="4787"/>
        <w:gridCol w:w="276"/>
      </w:tblGrid>
      <w:tr w:rsidR="008F1EDC" w14:paraId="1AFF48F9" w14:textId="77777777">
        <w:trPr>
          <w:gridAfter w:val="1"/>
          <w:wAfter w:w="278" w:type="dxa"/>
          <w:jc w:val="center"/>
        </w:trPr>
        <w:tc>
          <w:tcPr>
            <w:tcW w:w="4819" w:type="dxa"/>
            <w:shd w:val="clear" w:color="auto" w:fill="F0F2F7"/>
          </w:tcPr>
          <w:p w14:paraId="3E95BDF8" w14:textId="77777777" w:rsidR="008F1EDC" w:rsidRDefault="00000000">
            <w:pPr>
              <w:spacing w:before="100" w:after="100"/>
              <w:rPr>
                <w:rFonts w:hint="eastAsia"/>
              </w:rPr>
            </w:pPr>
            <w:r>
              <w:rPr>
                <w:b/>
                <w:color w:val="0F1117"/>
              </w:rPr>
              <w:t>AI is compressing the ransomware kill chain to under 30 minutes</w:t>
            </w:r>
          </w:p>
        </w:tc>
        <w:tc>
          <w:tcPr>
            <w:tcW w:w="4819" w:type="dxa"/>
            <w:shd w:val="clear" w:color="auto" w:fill="F0F2F7"/>
            <w:vAlign w:val="center"/>
          </w:tcPr>
          <w:p w14:paraId="11A5A6DE" w14:textId="77777777" w:rsidR="008F1EDC" w:rsidRDefault="00000000">
            <w:pPr>
              <w:spacing w:before="100" w:after="100"/>
              <w:jc w:val="center"/>
              <w:rPr>
                <w:rFonts w:hint="eastAsia"/>
              </w:rPr>
            </w:pPr>
            <w:r>
              <w:rPr>
                <w:b/>
                <w:color w:val="C0392B"/>
                <w:sz w:val="16"/>
              </w:rPr>
              <w:t>CRITICAL</w:t>
            </w:r>
          </w:p>
        </w:tc>
      </w:tr>
      <w:tr w:rsidR="008F1EDC" w14:paraId="4F5BF3D8" w14:textId="77777777">
        <w:trPr>
          <w:jc w:val="center"/>
        </w:trPr>
        <w:tc>
          <w:tcPr>
            <w:tcW w:w="9638" w:type="dxa"/>
            <w:gridSpan w:val="3"/>
          </w:tcPr>
          <w:p w14:paraId="4E9F4662" w14:textId="77777777" w:rsidR="008F1EDC" w:rsidRDefault="00000000">
            <w:pPr>
              <w:spacing w:before="120" w:after="120"/>
              <w:rPr>
                <w:rFonts w:hint="eastAsia"/>
              </w:rPr>
            </w:pPr>
            <w:r>
              <w:rPr>
                <w:color w:val="2D3142"/>
                <w:sz w:val="19"/>
              </w:rPr>
              <w:t>Check Point research and our own heatmap data agree: some intrusions now go from initial access to full domain compromise in as little as 30 minutes, with 10 hours as the new upper bound. Two groups drove this week's volume — "The Gentlemen" against Air Canada and pharma targets, and "Fiasco Group" running double-extortion across sectors.</w:t>
            </w:r>
            <w:r>
              <w:rPr>
                <w:color w:val="2D3142"/>
                <w:sz w:val="19"/>
              </w:rPr>
              <w:br/>
            </w:r>
            <w:r>
              <w:rPr>
                <w:color w:val="2D3142"/>
                <w:sz w:val="19"/>
              </w:rPr>
              <w:br/>
              <w:t>Ransom payment rate sits at a multi-year low of 23%, but overall attack volume is still up 24.9% year-over-year. Fewer payouts is not the same as fewer incidents.</w:t>
            </w:r>
          </w:p>
        </w:tc>
      </w:tr>
    </w:tbl>
    <w:p w14:paraId="15A681EF" w14:textId="77777777" w:rsidR="008F1EDC" w:rsidRDefault="008F1EDC">
      <w:pPr>
        <w:spacing w:after="80"/>
        <w:rPr>
          <w:rFonts w:hint="eastAsia"/>
        </w:rPr>
      </w:pPr>
    </w:p>
    <w:tbl>
      <w:tblPr>
        <w:tblStyle w:val="TableGrid"/>
        <w:tblW w:w="0" w:type="auto"/>
        <w:jc w:val="center"/>
        <w:tblLook w:val="04A0" w:firstRow="1" w:lastRow="0" w:firstColumn="1" w:lastColumn="0" w:noHBand="0" w:noVBand="1"/>
      </w:tblPr>
      <w:tblGrid>
        <w:gridCol w:w="4791"/>
        <w:gridCol w:w="4787"/>
        <w:gridCol w:w="276"/>
      </w:tblGrid>
      <w:tr w:rsidR="008F1EDC" w14:paraId="6B6F673D" w14:textId="77777777">
        <w:trPr>
          <w:gridAfter w:val="1"/>
          <w:wAfter w:w="278" w:type="dxa"/>
          <w:jc w:val="center"/>
        </w:trPr>
        <w:tc>
          <w:tcPr>
            <w:tcW w:w="4819" w:type="dxa"/>
            <w:shd w:val="clear" w:color="auto" w:fill="F0F2F7"/>
          </w:tcPr>
          <w:p w14:paraId="2FD366D9" w14:textId="77777777" w:rsidR="008F1EDC" w:rsidRDefault="00000000">
            <w:pPr>
              <w:spacing w:before="100" w:after="100"/>
              <w:rPr>
                <w:rFonts w:hint="eastAsia"/>
              </w:rPr>
            </w:pPr>
            <w:r>
              <w:rPr>
                <w:b/>
                <w:color w:val="0F1117"/>
              </w:rPr>
              <w:t>GTA VI "leaks" are a malware delivery vector, not a gaming story</w:t>
            </w:r>
          </w:p>
        </w:tc>
        <w:tc>
          <w:tcPr>
            <w:tcW w:w="4819" w:type="dxa"/>
            <w:shd w:val="clear" w:color="auto" w:fill="F0F2F7"/>
            <w:vAlign w:val="center"/>
          </w:tcPr>
          <w:p w14:paraId="5C1D4F13" w14:textId="77777777" w:rsidR="008F1EDC" w:rsidRDefault="00000000">
            <w:pPr>
              <w:spacing w:before="100" w:after="100"/>
              <w:jc w:val="center"/>
              <w:rPr>
                <w:rFonts w:hint="eastAsia"/>
              </w:rPr>
            </w:pPr>
            <w:r>
              <w:rPr>
                <w:b/>
                <w:color w:val="B45309"/>
                <w:sz w:val="16"/>
              </w:rPr>
              <w:t>USER RISK</w:t>
            </w:r>
          </w:p>
        </w:tc>
      </w:tr>
      <w:tr w:rsidR="008F1EDC" w14:paraId="2AAAFB05" w14:textId="77777777">
        <w:trPr>
          <w:jc w:val="center"/>
        </w:trPr>
        <w:tc>
          <w:tcPr>
            <w:tcW w:w="9638" w:type="dxa"/>
            <w:gridSpan w:val="3"/>
          </w:tcPr>
          <w:p w14:paraId="2BD8791C" w14:textId="77777777" w:rsidR="008F1EDC" w:rsidRDefault="00000000">
            <w:pPr>
              <w:spacing w:before="120" w:after="120"/>
              <w:rPr>
                <w:rFonts w:hint="eastAsia"/>
              </w:rPr>
            </w:pPr>
            <w:r>
              <w:rPr>
                <w:color w:val="2D3142"/>
                <w:sz w:val="19"/>
              </w:rPr>
              <w:t>A large campaign is distributing ransomware, infostealers, and RATs disguised as early-access or leaked builds of Grand Theft Auto VI. Wherever personal downloads on corporate devices go unmanaged, this is a live insider-risk vector worth a five-minute reminder to staff.</w:t>
            </w:r>
          </w:p>
        </w:tc>
      </w:tr>
    </w:tbl>
    <w:p w14:paraId="7C6CAC1B" w14:textId="77777777" w:rsidR="008F1EDC" w:rsidRDefault="008F1EDC">
      <w:pPr>
        <w:spacing w:after="80"/>
        <w:rPr>
          <w:rFonts w:hint="eastAsia"/>
        </w:rPr>
      </w:pPr>
    </w:p>
    <w:p w14:paraId="701377F9" w14:textId="77777777" w:rsidR="008F1EDC" w:rsidRDefault="00000000">
      <w:pPr>
        <w:pBdr>
          <w:bottom w:val="single" w:sz="4" w:space="1" w:color="E2E5EC"/>
        </w:pBdr>
        <w:spacing w:before="360" w:after="120"/>
        <w:rPr>
          <w:rFonts w:hint="eastAsia"/>
        </w:rPr>
      </w:pPr>
      <w:r>
        <w:rPr>
          <w:b/>
          <w:color w:val="0F1117"/>
          <w:sz w:val="22"/>
        </w:rPr>
        <w:t>02  ·  Where the Volume Is</w:t>
      </w:r>
    </w:p>
    <w:p w14:paraId="35EE8883" w14:textId="77777777" w:rsidR="008F1EDC" w:rsidRDefault="00000000">
      <w:pPr>
        <w:spacing w:after="120"/>
        <w:rPr>
          <w:rFonts w:hint="eastAsia"/>
        </w:rPr>
      </w:pPr>
      <w:r>
        <w:rPr>
          <w:color w:val="6B7280"/>
        </w:rPr>
        <w:t>Across 403 categorized events, three tactics account for the overwhelming majority of observed activity — the front door, the endgame, and the foothold.</w:t>
      </w:r>
    </w:p>
    <w:tbl>
      <w:tblPr>
        <w:tblStyle w:val="TableGrid"/>
        <w:tblW w:w="0" w:type="auto"/>
        <w:jc w:val="center"/>
        <w:tblLook w:val="04A0" w:firstRow="1" w:lastRow="0" w:firstColumn="1" w:lastColumn="0" w:noHBand="0" w:noVBand="1"/>
      </w:tblPr>
      <w:tblGrid>
        <w:gridCol w:w="3213"/>
        <w:gridCol w:w="3213"/>
        <w:gridCol w:w="3213"/>
      </w:tblGrid>
      <w:tr w:rsidR="008F1EDC" w14:paraId="739D2AA7" w14:textId="77777777">
        <w:trPr>
          <w:jc w:val="center"/>
        </w:trPr>
        <w:tc>
          <w:tcPr>
            <w:tcW w:w="3213" w:type="dxa"/>
            <w:shd w:val="clear" w:color="auto" w:fill="F8F9FC"/>
            <w:vAlign w:val="center"/>
          </w:tcPr>
          <w:p w14:paraId="1AF7E993" w14:textId="77777777" w:rsidR="008F1EDC" w:rsidRDefault="00000000">
            <w:pPr>
              <w:spacing w:before="160"/>
              <w:rPr>
                <w:rFonts w:hint="eastAsia"/>
              </w:rPr>
            </w:pPr>
            <w:r>
              <w:rPr>
                <w:b/>
                <w:color w:val="D1D5DB"/>
                <w:sz w:val="28"/>
              </w:rPr>
              <w:t xml:space="preserve">#1  </w:t>
            </w:r>
            <w:r>
              <w:rPr>
                <w:b/>
                <w:color w:val="0F1117"/>
                <w:sz w:val="40"/>
              </w:rPr>
              <w:t>340</w:t>
            </w:r>
          </w:p>
          <w:p w14:paraId="33C87A07" w14:textId="77777777" w:rsidR="008F1EDC" w:rsidRDefault="00000000">
            <w:pPr>
              <w:spacing w:before="40" w:after="160"/>
              <w:rPr>
                <w:rFonts w:hint="eastAsia"/>
              </w:rPr>
            </w:pPr>
            <w:r>
              <w:rPr>
                <w:color w:val="6B7280"/>
                <w:sz w:val="18"/>
              </w:rPr>
              <w:lastRenderedPageBreak/>
              <w:t>Initial Access</w:t>
            </w:r>
          </w:p>
        </w:tc>
        <w:tc>
          <w:tcPr>
            <w:tcW w:w="3213" w:type="dxa"/>
            <w:shd w:val="clear" w:color="auto" w:fill="F8F9FC"/>
            <w:vAlign w:val="center"/>
          </w:tcPr>
          <w:p w14:paraId="2CFE3F47" w14:textId="77777777" w:rsidR="008F1EDC" w:rsidRDefault="00000000">
            <w:pPr>
              <w:spacing w:before="160"/>
              <w:rPr>
                <w:rFonts w:hint="eastAsia"/>
              </w:rPr>
            </w:pPr>
            <w:r>
              <w:rPr>
                <w:b/>
                <w:color w:val="D1D5DB"/>
                <w:sz w:val="28"/>
              </w:rPr>
              <w:lastRenderedPageBreak/>
              <w:t xml:space="preserve">#2  </w:t>
            </w:r>
            <w:r>
              <w:rPr>
                <w:b/>
                <w:color w:val="0F1117"/>
                <w:sz w:val="40"/>
              </w:rPr>
              <w:t>95</w:t>
            </w:r>
          </w:p>
          <w:p w14:paraId="30CE4D60" w14:textId="77777777" w:rsidR="008F1EDC" w:rsidRDefault="00000000">
            <w:pPr>
              <w:spacing w:before="40" w:after="160"/>
              <w:rPr>
                <w:rFonts w:hint="eastAsia"/>
              </w:rPr>
            </w:pPr>
            <w:r>
              <w:rPr>
                <w:color w:val="6B7280"/>
                <w:sz w:val="18"/>
              </w:rPr>
              <w:lastRenderedPageBreak/>
              <w:t>Impact</w:t>
            </w:r>
          </w:p>
        </w:tc>
        <w:tc>
          <w:tcPr>
            <w:tcW w:w="3213" w:type="dxa"/>
            <w:shd w:val="clear" w:color="auto" w:fill="F8F9FC"/>
            <w:vAlign w:val="center"/>
          </w:tcPr>
          <w:p w14:paraId="757B39C2" w14:textId="77777777" w:rsidR="008F1EDC" w:rsidRDefault="00000000">
            <w:pPr>
              <w:spacing w:before="160"/>
              <w:rPr>
                <w:rFonts w:hint="eastAsia"/>
              </w:rPr>
            </w:pPr>
            <w:r>
              <w:rPr>
                <w:b/>
                <w:color w:val="D1D5DB"/>
                <w:sz w:val="28"/>
              </w:rPr>
              <w:lastRenderedPageBreak/>
              <w:t xml:space="preserve">#3  </w:t>
            </w:r>
            <w:r>
              <w:rPr>
                <w:b/>
                <w:color w:val="0F1117"/>
                <w:sz w:val="40"/>
              </w:rPr>
              <w:t>50</w:t>
            </w:r>
          </w:p>
          <w:p w14:paraId="1363B82C" w14:textId="77777777" w:rsidR="008F1EDC" w:rsidRDefault="00000000">
            <w:pPr>
              <w:spacing w:before="40" w:after="160"/>
              <w:rPr>
                <w:rFonts w:hint="eastAsia"/>
              </w:rPr>
            </w:pPr>
            <w:r>
              <w:rPr>
                <w:color w:val="6B7280"/>
                <w:sz w:val="18"/>
              </w:rPr>
              <w:lastRenderedPageBreak/>
              <w:t>Command &amp; Control</w:t>
            </w:r>
          </w:p>
        </w:tc>
      </w:tr>
    </w:tbl>
    <w:p w14:paraId="6F7A2B1F" w14:textId="77777777" w:rsidR="008F1EDC" w:rsidRDefault="00000000">
      <w:pPr>
        <w:spacing w:before="120" w:after="80"/>
        <w:rPr>
          <w:rFonts w:hint="eastAsia"/>
        </w:rPr>
      </w:pPr>
      <w:r>
        <w:rPr>
          <w:i/>
          <w:color w:val="4A5068"/>
          <w:sz w:val="19"/>
        </w:rPr>
        <w:lastRenderedPageBreak/>
        <w:t>Reading the shape of it: adversaries are spending the most energy on public-facing exploitation to get in, and on impairing defences to stay in unnoticed. Get in quietly. Stay a while.</w:t>
      </w:r>
    </w:p>
    <w:p w14:paraId="3CD5382D" w14:textId="77777777" w:rsidR="008F1EDC" w:rsidRDefault="008F1EDC">
      <w:pPr>
        <w:spacing w:after="40"/>
        <w:rPr>
          <w:rFonts w:hint="eastAsia"/>
        </w:rPr>
      </w:pPr>
    </w:p>
    <w:p w14:paraId="5AD8F02F" w14:textId="77777777" w:rsidR="008F1EDC" w:rsidRDefault="00000000">
      <w:pPr>
        <w:pBdr>
          <w:bottom w:val="single" w:sz="4" w:space="1" w:color="E2E5EC"/>
        </w:pBdr>
        <w:spacing w:before="360" w:after="120"/>
        <w:rPr>
          <w:rFonts w:hint="eastAsia"/>
        </w:rPr>
      </w:pPr>
      <w:r>
        <w:rPr>
          <w:b/>
          <w:color w:val="0F1117"/>
          <w:sz w:val="22"/>
        </w:rPr>
        <w:t>03  ·  Hottest Technique per Tactic</w:t>
      </w:r>
    </w:p>
    <w:tbl>
      <w:tblPr>
        <w:tblStyle w:val="TableGrid"/>
        <w:tblW w:w="0" w:type="auto"/>
        <w:jc w:val="center"/>
        <w:tblLook w:val="04A0" w:firstRow="1" w:lastRow="0" w:firstColumn="1" w:lastColumn="0" w:noHBand="0" w:noVBand="1"/>
      </w:tblPr>
      <w:tblGrid>
        <w:gridCol w:w="2409"/>
        <w:gridCol w:w="2409"/>
        <w:gridCol w:w="2409"/>
        <w:gridCol w:w="2409"/>
      </w:tblGrid>
      <w:tr w:rsidR="008F1EDC" w14:paraId="39359171" w14:textId="77777777">
        <w:trPr>
          <w:jc w:val="center"/>
        </w:trPr>
        <w:tc>
          <w:tcPr>
            <w:tcW w:w="2409" w:type="dxa"/>
            <w:shd w:val="clear" w:color="auto" w:fill="0F1117"/>
          </w:tcPr>
          <w:p w14:paraId="4F83331C" w14:textId="77777777" w:rsidR="008F1EDC" w:rsidRDefault="00000000">
            <w:pPr>
              <w:spacing w:before="80" w:after="80"/>
              <w:rPr>
                <w:rFonts w:hint="eastAsia"/>
              </w:rPr>
            </w:pPr>
            <w:r>
              <w:rPr>
                <w:b/>
                <w:color w:val="FFFFFF"/>
                <w:sz w:val="17"/>
              </w:rPr>
              <w:t>Tactic</w:t>
            </w:r>
          </w:p>
        </w:tc>
        <w:tc>
          <w:tcPr>
            <w:tcW w:w="2409" w:type="dxa"/>
            <w:shd w:val="clear" w:color="auto" w:fill="0F1117"/>
          </w:tcPr>
          <w:p w14:paraId="774C928F" w14:textId="77777777" w:rsidR="008F1EDC" w:rsidRDefault="00000000">
            <w:pPr>
              <w:spacing w:before="80" w:after="80"/>
              <w:rPr>
                <w:rFonts w:hint="eastAsia"/>
              </w:rPr>
            </w:pPr>
            <w:r>
              <w:rPr>
                <w:b/>
                <w:color w:val="FFFFFF"/>
                <w:sz w:val="17"/>
              </w:rPr>
              <w:t>Technique</w:t>
            </w:r>
          </w:p>
        </w:tc>
        <w:tc>
          <w:tcPr>
            <w:tcW w:w="2409" w:type="dxa"/>
            <w:shd w:val="clear" w:color="auto" w:fill="0F1117"/>
          </w:tcPr>
          <w:p w14:paraId="4F9F6C89" w14:textId="77777777" w:rsidR="008F1EDC" w:rsidRDefault="00000000">
            <w:pPr>
              <w:spacing w:before="80" w:after="80"/>
              <w:rPr>
                <w:rFonts w:hint="eastAsia"/>
              </w:rPr>
            </w:pPr>
            <w:r>
              <w:rPr>
                <w:b/>
                <w:color w:val="FFFFFF"/>
                <w:sz w:val="17"/>
              </w:rPr>
              <w:t>ATT&amp;CK ID</w:t>
            </w:r>
          </w:p>
        </w:tc>
        <w:tc>
          <w:tcPr>
            <w:tcW w:w="2409" w:type="dxa"/>
            <w:shd w:val="clear" w:color="auto" w:fill="0F1117"/>
          </w:tcPr>
          <w:p w14:paraId="3213B5E3" w14:textId="77777777" w:rsidR="008F1EDC" w:rsidRDefault="00000000">
            <w:pPr>
              <w:spacing w:before="80" w:after="80"/>
              <w:rPr>
                <w:rFonts w:hint="eastAsia"/>
              </w:rPr>
            </w:pPr>
            <w:r>
              <w:rPr>
                <w:b/>
                <w:color w:val="FFFFFF"/>
                <w:sz w:val="17"/>
              </w:rPr>
              <w:t>Hits</w:t>
            </w:r>
          </w:p>
        </w:tc>
      </w:tr>
      <w:tr w:rsidR="008F1EDC" w14:paraId="781B5EAC" w14:textId="77777777">
        <w:trPr>
          <w:jc w:val="center"/>
        </w:trPr>
        <w:tc>
          <w:tcPr>
            <w:tcW w:w="2409" w:type="dxa"/>
            <w:shd w:val="clear" w:color="auto" w:fill="FFFFFF"/>
            <w:vAlign w:val="center"/>
          </w:tcPr>
          <w:p w14:paraId="57197CEF" w14:textId="77777777" w:rsidR="008F1EDC" w:rsidRDefault="00000000">
            <w:pPr>
              <w:spacing w:before="80" w:after="80"/>
              <w:rPr>
                <w:rFonts w:hint="eastAsia"/>
              </w:rPr>
            </w:pPr>
            <w:r>
              <w:rPr>
                <w:b/>
                <w:color w:val="0F1117"/>
                <w:sz w:val="18"/>
              </w:rPr>
              <w:t>Reconnaissance</w:t>
            </w:r>
          </w:p>
        </w:tc>
        <w:tc>
          <w:tcPr>
            <w:tcW w:w="2409" w:type="dxa"/>
            <w:shd w:val="clear" w:color="auto" w:fill="FFFFFF"/>
            <w:vAlign w:val="center"/>
          </w:tcPr>
          <w:p w14:paraId="07DAB159" w14:textId="77777777" w:rsidR="008F1EDC" w:rsidRDefault="00000000">
            <w:pPr>
              <w:spacing w:before="80" w:after="80"/>
              <w:rPr>
                <w:rFonts w:hint="eastAsia"/>
              </w:rPr>
            </w:pPr>
            <w:r>
              <w:rPr>
                <w:color w:val="2D3142"/>
                <w:sz w:val="18"/>
              </w:rPr>
              <w:t>Active Scanning</w:t>
            </w:r>
          </w:p>
        </w:tc>
        <w:tc>
          <w:tcPr>
            <w:tcW w:w="2409" w:type="dxa"/>
            <w:shd w:val="clear" w:color="auto" w:fill="FFFFFF"/>
            <w:vAlign w:val="center"/>
          </w:tcPr>
          <w:p w14:paraId="6BD2529C" w14:textId="77777777" w:rsidR="008F1EDC" w:rsidRDefault="00000000">
            <w:pPr>
              <w:spacing w:before="80" w:after="80"/>
              <w:rPr>
                <w:rFonts w:hint="eastAsia"/>
              </w:rPr>
            </w:pPr>
            <w:r>
              <w:rPr>
                <w:b/>
                <w:color w:val="1D4ED8"/>
                <w:sz w:val="18"/>
              </w:rPr>
              <w:t>T1595</w:t>
            </w:r>
          </w:p>
        </w:tc>
        <w:tc>
          <w:tcPr>
            <w:tcW w:w="2409" w:type="dxa"/>
            <w:shd w:val="clear" w:color="auto" w:fill="FFFFFF"/>
            <w:vAlign w:val="center"/>
          </w:tcPr>
          <w:p w14:paraId="7EB81C1C" w14:textId="77777777" w:rsidR="008F1EDC" w:rsidRDefault="00000000">
            <w:pPr>
              <w:spacing w:before="80" w:after="80"/>
              <w:rPr>
                <w:rFonts w:hint="eastAsia"/>
              </w:rPr>
            </w:pPr>
            <w:r>
              <w:rPr>
                <w:b/>
                <w:color w:val="0F1117"/>
                <w:sz w:val="18"/>
              </w:rPr>
              <w:t>16</w:t>
            </w:r>
          </w:p>
        </w:tc>
      </w:tr>
      <w:tr w:rsidR="008F1EDC" w14:paraId="58C70713" w14:textId="77777777">
        <w:trPr>
          <w:jc w:val="center"/>
        </w:trPr>
        <w:tc>
          <w:tcPr>
            <w:tcW w:w="2409" w:type="dxa"/>
            <w:shd w:val="clear" w:color="auto" w:fill="F0F2F7"/>
            <w:vAlign w:val="center"/>
          </w:tcPr>
          <w:p w14:paraId="4D0BDA1B" w14:textId="77777777" w:rsidR="008F1EDC" w:rsidRDefault="00000000">
            <w:pPr>
              <w:spacing w:before="80" w:after="80"/>
              <w:rPr>
                <w:rFonts w:hint="eastAsia"/>
              </w:rPr>
            </w:pPr>
            <w:r>
              <w:rPr>
                <w:b/>
                <w:color w:val="0F1117"/>
                <w:sz w:val="18"/>
              </w:rPr>
              <w:t>Resource Development</w:t>
            </w:r>
          </w:p>
        </w:tc>
        <w:tc>
          <w:tcPr>
            <w:tcW w:w="2409" w:type="dxa"/>
            <w:shd w:val="clear" w:color="auto" w:fill="F0F2F7"/>
            <w:vAlign w:val="center"/>
          </w:tcPr>
          <w:p w14:paraId="5ABB0DC1" w14:textId="77777777" w:rsidR="008F1EDC" w:rsidRDefault="00000000">
            <w:pPr>
              <w:spacing w:before="80" w:after="80"/>
              <w:rPr>
                <w:rFonts w:hint="eastAsia"/>
              </w:rPr>
            </w:pPr>
            <w:r>
              <w:rPr>
                <w:color w:val="2D3142"/>
                <w:sz w:val="18"/>
              </w:rPr>
              <w:t>Acquire Infrastructure</w:t>
            </w:r>
          </w:p>
        </w:tc>
        <w:tc>
          <w:tcPr>
            <w:tcW w:w="2409" w:type="dxa"/>
            <w:shd w:val="clear" w:color="auto" w:fill="F0F2F7"/>
            <w:vAlign w:val="center"/>
          </w:tcPr>
          <w:p w14:paraId="550B9E0C" w14:textId="77777777" w:rsidR="008F1EDC" w:rsidRDefault="00000000">
            <w:pPr>
              <w:spacing w:before="80" w:after="80"/>
              <w:rPr>
                <w:rFonts w:hint="eastAsia"/>
              </w:rPr>
            </w:pPr>
            <w:r>
              <w:rPr>
                <w:b/>
                <w:color w:val="1D4ED8"/>
                <w:sz w:val="18"/>
              </w:rPr>
              <w:t>T1583</w:t>
            </w:r>
          </w:p>
        </w:tc>
        <w:tc>
          <w:tcPr>
            <w:tcW w:w="2409" w:type="dxa"/>
            <w:shd w:val="clear" w:color="auto" w:fill="F0F2F7"/>
            <w:vAlign w:val="center"/>
          </w:tcPr>
          <w:p w14:paraId="39BB12A5" w14:textId="77777777" w:rsidR="008F1EDC" w:rsidRDefault="00000000">
            <w:pPr>
              <w:spacing w:before="80" w:after="80"/>
              <w:rPr>
                <w:rFonts w:hint="eastAsia"/>
              </w:rPr>
            </w:pPr>
            <w:r>
              <w:rPr>
                <w:b/>
                <w:color w:val="0F1117"/>
                <w:sz w:val="18"/>
              </w:rPr>
              <w:t>19</w:t>
            </w:r>
          </w:p>
        </w:tc>
      </w:tr>
      <w:tr w:rsidR="008F1EDC" w14:paraId="1C783683" w14:textId="77777777">
        <w:trPr>
          <w:jc w:val="center"/>
        </w:trPr>
        <w:tc>
          <w:tcPr>
            <w:tcW w:w="2409" w:type="dxa"/>
            <w:shd w:val="clear" w:color="auto" w:fill="FFFFFF"/>
            <w:vAlign w:val="center"/>
          </w:tcPr>
          <w:p w14:paraId="66675A83" w14:textId="77777777" w:rsidR="008F1EDC" w:rsidRDefault="00000000">
            <w:pPr>
              <w:spacing w:before="80" w:after="80"/>
              <w:rPr>
                <w:rFonts w:hint="eastAsia"/>
              </w:rPr>
            </w:pPr>
            <w:r>
              <w:rPr>
                <w:b/>
                <w:color w:val="0F1117"/>
                <w:sz w:val="18"/>
              </w:rPr>
              <w:t>Initial Access</w:t>
            </w:r>
          </w:p>
        </w:tc>
        <w:tc>
          <w:tcPr>
            <w:tcW w:w="2409" w:type="dxa"/>
            <w:shd w:val="clear" w:color="auto" w:fill="FFFFFF"/>
            <w:vAlign w:val="center"/>
          </w:tcPr>
          <w:p w14:paraId="26084209" w14:textId="77777777" w:rsidR="008F1EDC" w:rsidRDefault="00000000">
            <w:pPr>
              <w:spacing w:before="80" w:after="80"/>
              <w:rPr>
                <w:rFonts w:hint="eastAsia"/>
              </w:rPr>
            </w:pPr>
            <w:r>
              <w:rPr>
                <w:color w:val="2D3142"/>
                <w:sz w:val="18"/>
              </w:rPr>
              <w:t>Exploit Public-Facing Application</w:t>
            </w:r>
          </w:p>
        </w:tc>
        <w:tc>
          <w:tcPr>
            <w:tcW w:w="2409" w:type="dxa"/>
            <w:shd w:val="clear" w:color="auto" w:fill="FFFFFF"/>
            <w:vAlign w:val="center"/>
          </w:tcPr>
          <w:p w14:paraId="25DA2312" w14:textId="77777777" w:rsidR="008F1EDC" w:rsidRDefault="00000000">
            <w:pPr>
              <w:spacing w:before="80" w:after="80"/>
              <w:rPr>
                <w:rFonts w:hint="eastAsia"/>
              </w:rPr>
            </w:pPr>
            <w:r>
              <w:rPr>
                <w:b/>
                <w:color w:val="1D4ED8"/>
                <w:sz w:val="18"/>
              </w:rPr>
              <w:t>T1190</w:t>
            </w:r>
          </w:p>
        </w:tc>
        <w:tc>
          <w:tcPr>
            <w:tcW w:w="2409" w:type="dxa"/>
            <w:shd w:val="clear" w:color="auto" w:fill="FFFFFF"/>
            <w:vAlign w:val="center"/>
          </w:tcPr>
          <w:p w14:paraId="3C802E2D" w14:textId="77777777" w:rsidR="008F1EDC" w:rsidRDefault="00000000">
            <w:pPr>
              <w:spacing w:before="80" w:after="80"/>
              <w:rPr>
                <w:rFonts w:hint="eastAsia"/>
              </w:rPr>
            </w:pPr>
            <w:r>
              <w:rPr>
                <w:b/>
                <w:color w:val="0F1117"/>
                <w:sz w:val="18"/>
              </w:rPr>
              <w:t>17</w:t>
            </w:r>
          </w:p>
        </w:tc>
      </w:tr>
      <w:tr w:rsidR="008F1EDC" w14:paraId="088D0103" w14:textId="77777777">
        <w:trPr>
          <w:jc w:val="center"/>
        </w:trPr>
        <w:tc>
          <w:tcPr>
            <w:tcW w:w="2409" w:type="dxa"/>
            <w:shd w:val="clear" w:color="auto" w:fill="F0F2F7"/>
            <w:vAlign w:val="center"/>
          </w:tcPr>
          <w:p w14:paraId="4AD001FA" w14:textId="77777777" w:rsidR="008F1EDC" w:rsidRDefault="00000000">
            <w:pPr>
              <w:spacing w:before="80" w:after="80"/>
              <w:rPr>
                <w:rFonts w:hint="eastAsia"/>
              </w:rPr>
            </w:pPr>
            <w:r>
              <w:rPr>
                <w:b/>
                <w:color w:val="0F1117"/>
                <w:sz w:val="18"/>
              </w:rPr>
              <w:t>Execution</w:t>
            </w:r>
          </w:p>
        </w:tc>
        <w:tc>
          <w:tcPr>
            <w:tcW w:w="2409" w:type="dxa"/>
            <w:shd w:val="clear" w:color="auto" w:fill="F0F2F7"/>
            <w:vAlign w:val="center"/>
          </w:tcPr>
          <w:p w14:paraId="28E8AB1D" w14:textId="77777777" w:rsidR="008F1EDC" w:rsidRDefault="00000000">
            <w:pPr>
              <w:spacing w:before="80" w:after="80"/>
              <w:rPr>
                <w:rFonts w:hint="eastAsia"/>
              </w:rPr>
            </w:pPr>
            <w:r>
              <w:rPr>
                <w:color w:val="2D3142"/>
                <w:sz w:val="18"/>
              </w:rPr>
              <w:t>Command &amp; Scripting Interpreter</w:t>
            </w:r>
          </w:p>
        </w:tc>
        <w:tc>
          <w:tcPr>
            <w:tcW w:w="2409" w:type="dxa"/>
            <w:shd w:val="clear" w:color="auto" w:fill="F0F2F7"/>
            <w:vAlign w:val="center"/>
          </w:tcPr>
          <w:p w14:paraId="00F94278" w14:textId="77777777" w:rsidR="008F1EDC" w:rsidRDefault="00000000">
            <w:pPr>
              <w:spacing w:before="80" w:after="80"/>
              <w:rPr>
                <w:rFonts w:hint="eastAsia"/>
              </w:rPr>
            </w:pPr>
            <w:r>
              <w:rPr>
                <w:b/>
                <w:color w:val="1D4ED8"/>
                <w:sz w:val="18"/>
              </w:rPr>
              <w:t>T1059</w:t>
            </w:r>
          </w:p>
        </w:tc>
        <w:tc>
          <w:tcPr>
            <w:tcW w:w="2409" w:type="dxa"/>
            <w:shd w:val="clear" w:color="auto" w:fill="F0F2F7"/>
            <w:vAlign w:val="center"/>
          </w:tcPr>
          <w:p w14:paraId="75779B48" w14:textId="77777777" w:rsidR="008F1EDC" w:rsidRDefault="00000000">
            <w:pPr>
              <w:spacing w:before="80" w:after="80"/>
              <w:rPr>
                <w:rFonts w:hint="eastAsia"/>
              </w:rPr>
            </w:pPr>
            <w:r>
              <w:rPr>
                <w:b/>
                <w:color w:val="0F1117"/>
                <w:sz w:val="18"/>
              </w:rPr>
              <w:t>19</w:t>
            </w:r>
          </w:p>
        </w:tc>
      </w:tr>
      <w:tr w:rsidR="008F1EDC" w14:paraId="12157D48" w14:textId="77777777">
        <w:trPr>
          <w:jc w:val="center"/>
        </w:trPr>
        <w:tc>
          <w:tcPr>
            <w:tcW w:w="2409" w:type="dxa"/>
            <w:shd w:val="clear" w:color="auto" w:fill="FFFFFF"/>
            <w:vAlign w:val="center"/>
          </w:tcPr>
          <w:p w14:paraId="246C85AA" w14:textId="77777777" w:rsidR="008F1EDC" w:rsidRDefault="00000000">
            <w:pPr>
              <w:spacing w:before="80" w:after="80"/>
              <w:rPr>
                <w:rFonts w:hint="eastAsia"/>
              </w:rPr>
            </w:pPr>
            <w:r>
              <w:rPr>
                <w:b/>
                <w:color w:val="0F1117"/>
                <w:sz w:val="18"/>
              </w:rPr>
              <w:t>Persistence</w:t>
            </w:r>
          </w:p>
        </w:tc>
        <w:tc>
          <w:tcPr>
            <w:tcW w:w="2409" w:type="dxa"/>
            <w:shd w:val="clear" w:color="auto" w:fill="FFFFFF"/>
            <w:vAlign w:val="center"/>
          </w:tcPr>
          <w:p w14:paraId="72509FB9" w14:textId="77777777" w:rsidR="008F1EDC" w:rsidRDefault="00000000">
            <w:pPr>
              <w:spacing w:before="80" w:after="80"/>
              <w:rPr>
                <w:rFonts w:hint="eastAsia"/>
              </w:rPr>
            </w:pPr>
            <w:r>
              <w:rPr>
                <w:color w:val="2D3142"/>
                <w:sz w:val="18"/>
              </w:rPr>
              <w:t>Scheduled Task / Job</w:t>
            </w:r>
          </w:p>
        </w:tc>
        <w:tc>
          <w:tcPr>
            <w:tcW w:w="2409" w:type="dxa"/>
            <w:shd w:val="clear" w:color="auto" w:fill="FFFFFF"/>
            <w:vAlign w:val="center"/>
          </w:tcPr>
          <w:p w14:paraId="1A0C7BAA" w14:textId="77777777" w:rsidR="008F1EDC" w:rsidRDefault="00000000">
            <w:pPr>
              <w:spacing w:before="80" w:after="80"/>
              <w:rPr>
                <w:rFonts w:hint="eastAsia"/>
              </w:rPr>
            </w:pPr>
            <w:r>
              <w:rPr>
                <w:b/>
                <w:color w:val="1D4ED8"/>
                <w:sz w:val="18"/>
              </w:rPr>
              <w:t>T1053</w:t>
            </w:r>
          </w:p>
        </w:tc>
        <w:tc>
          <w:tcPr>
            <w:tcW w:w="2409" w:type="dxa"/>
            <w:shd w:val="clear" w:color="auto" w:fill="FFFFFF"/>
            <w:vAlign w:val="center"/>
          </w:tcPr>
          <w:p w14:paraId="6BF0DB2F" w14:textId="77777777" w:rsidR="008F1EDC" w:rsidRDefault="00000000">
            <w:pPr>
              <w:spacing w:before="80" w:after="80"/>
              <w:rPr>
                <w:rFonts w:hint="eastAsia"/>
              </w:rPr>
            </w:pPr>
            <w:r>
              <w:rPr>
                <w:b/>
                <w:color w:val="0F1117"/>
                <w:sz w:val="18"/>
              </w:rPr>
              <w:t>14</w:t>
            </w:r>
          </w:p>
        </w:tc>
      </w:tr>
      <w:tr w:rsidR="008F1EDC" w14:paraId="6952C7F1" w14:textId="77777777">
        <w:trPr>
          <w:jc w:val="center"/>
        </w:trPr>
        <w:tc>
          <w:tcPr>
            <w:tcW w:w="2409" w:type="dxa"/>
            <w:shd w:val="clear" w:color="auto" w:fill="F0F2F7"/>
            <w:vAlign w:val="center"/>
          </w:tcPr>
          <w:p w14:paraId="5D73F983" w14:textId="77777777" w:rsidR="008F1EDC" w:rsidRDefault="00000000">
            <w:pPr>
              <w:spacing w:before="80" w:after="80"/>
              <w:rPr>
                <w:rFonts w:hint="eastAsia"/>
              </w:rPr>
            </w:pPr>
            <w:r>
              <w:rPr>
                <w:b/>
                <w:color w:val="0F1117"/>
                <w:sz w:val="18"/>
              </w:rPr>
              <w:t>Privilege Escalation</w:t>
            </w:r>
          </w:p>
        </w:tc>
        <w:tc>
          <w:tcPr>
            <w:tcW w:w="2409" w:type="dxa"/>
            <w:shd w:val="clear" w:color="auto" w:fill="F0F2F7"/>
            <w:vAlign w:val="center"/>
          </w:tcPr>
          <w:p w14:paraId="453805EF" w14:textId="77777777" w:rsidR="008F1EDC" w:rsidRDefault="00000000">
            <w:pPr>
              <w:spacing w:before="80" w:after="80"/>
              <w:rPr>
                <w:rFonts w:hint="eastAsia"/>
              </w:rPr>
            </w:pPr>
            <w:r>
              <w:rPr>
                <w:color w:val="2D3142"/>
                <w:sz w:val="18"/>
              </w:rPr>
              <w:t>Exploitation for Privilege Escalation</w:t>
            </w:r>
          </w:p>
        </w:tc>
        <w:tc>
          <w:tcPr>
            <w:tcW w:w="2409" w:type="dxa"/>
            <w:shd w:val="clear" w:color="auto" w:fill="F0F2F7"/>
            <w:vAlign w:val="center"/>
          </w:tcPr>
          <w:p w14:paraId="11487885" w14:textId="77777777" w:rsidR="008F1EDC" w:rsidRDefault="00000000">
            <w:pPr>
              <w:spacing w:before="80" w:after="80"/>
              <w:rPr>
                <w:rFonts w:hint="eastAsia"/>
              </w:rPr>
            </w:pPr>
            <w:r>
              <w:rPr>
                <w:b/>
                <w:color w:val="1D4ED8"/>
                <w:sz w:val="18"/>
              </w:rPr>
              <w:t>T1068</w:t>
            </w:r>
          </w:p>
        </w:tc>
        <w:tc>
          <w:tcPr>
            <w:tcW w:w="2409" w:type="dxa"/>
            <w:shd w:val="clear" w:color="auto" w:fill="F0F2F7"/>
            <w:vAlign w:val="center"/>
          </w:tcPr>
          <w:p w14:paraId="24443FDD" w14:textId="77777777" w:rsidR="008F1EDC" w:rsidRDefault="00000000">
            <w:pPr>
              <w:spacing w:before="80" w:after="80"/>
              <w:rPr>
                <w:rFonts w:hint="eastAsia"/>
              </w:rPr>
            </w:pPr>
            <w:r>
              <w:rPr>
                <w:b/>
                <w:color w:val="0F1117"/>
                <w:sz w:val="18"/>
              </w:rPr>
              <w:t>9</w:t>
            </w:r>
          </w:p>
        </w:tc>
      </w:tr>
      <w:tr w:rsidR="008F1EDC" w14:paraId="617969A7" w14:textId="77777777">
        <w:trPr>
          <w:jc w:val="center"/>
        </w:trPr>
        <w:tc>
          <w:tcPr>
            <w:tcW w:w="2409" w:type="dxa"/>
            <w:shd w:val="clear" w:color="auto" w:fill="FFFFFF"/>
            <w:vAlign w:val="center"/>
          </w:tcPr>
          <w:p w14:paraId="27CD4D68" w14:textId="77777777" w:rsidR="008F1EDC" w:rsidRDefault="00000000">
            <w:pPr>
              <w:spacing w:before="80" w:after="80"/>
              <w:rPr>
                <w:rFonts w:hint="eastAsia"/>
              </w:rPr>
            </w:pPr>
            <w:r>
              <w:rPr>
                <w:b/>
                <w:color w:val="0F1117"/>
                <w:sz w:val="18"/>
              </w:rPr>
              <w:t>Defense Evasion</w:t>
            </w:r>
          </w:p>
        </w:tc>
        <w:tc>
          <w:tcPr>
            <w:tcW w:w="2409" w:type="dxa"/>
            <w:shd w:val="clear" w:color="auto" w:fill="FFFFFF"/>
            <w:vAlign w:val="center"/>
          </w:tcPr>
          <w:p w14:paraId="0A1F54FE" w14:textId="77777777" w:rsidR="008F1EDC" w:rsidRDefault="00000000">
            <w:pPr>
              <w:spacing w:before="80" w:after="80"/>
              <w:rPr>
                <w:rFonts w:hint="eastAsia"/>
              </w:rPr>
            </w:pPr>
            <w:r>
              <w:rPr>
                <w:color w:val="2D3142"/>
                <w:sz w:val="18"/>
              </w:rPr>
              <w:t>Impair Defenses</w:t>
            </w:r>
          </w:p>
        </w:tc>
        <w:tc>
          <w:tcPr>
            <w:tcW w:w="2409" w:type="dxa"/>
            <w:shd w:val="clear" w:color="auto" w:fill="FFFFFF"/>
            <w:vAlign w:val="center"/>
          </w:tcPr>
          <w:p w14:paraId="6F0C4F50" w14:textId="77777777" w:rsidR="008F1EDC" w:rsidRDefault="00000000">
            <w:pPr>
              <w:spacing w:before="80" w:after="80"/>
              <w:rPr>
                <w:rFonts w:hint="eastAsia"/>
              </w:rPr>
            </w:pPr>
            <w:r>
              <w:rPr>
                <w:b/>
                <w:color w:val="1D4ED8"/>
                <w:sz w:val="18"/>
              </w:rPr>
              <w:t>T1562</w:t>
            </w:r>
          </w:p>
        </w:tc>
        <w:tc>
          <w:tcPr>
            <w:tcW w:w="2409" w:type="dxa"/>
            <w:shd w:val="clear" w:color="auto" w:fill="FFFFFF"/>
            <w:vAlign w:val="center"/>
          </w:tcPr>
          <w:p w14:paraId="464BB55C" w14:textId="77777777" w:rsidR="008F1EDC" w:rsidRDefault="00000000">
            <w:pPr>
              <w:spacing w:before="80" w:after="80"/>
              <w:rPr>
                <w:rFonts w:hint="eastAsia"/>
              </w:rPr>
            </w:pPr>
            <w:r>
              <w:rPr>
                <w:b/>
                <w:color w:val="0F1117"/>
                <w:sz w:val="18"/>
              </w:rPr>
              <w:t>17</w:t>
            </w:r>
          </w:p>
        </w:tc>
      </w:tr>
    </w:tbl>
    <w:p w14:paraId="09D726B4" w14:textId="77777777" w:rsidR="008F1EDC" w:rsidRDefault="008F1EDC">
      <w:pPr>
        <w:spacing w:after="40"/>
        <w:rPr>
          <w:rFonts w:hint="eastAsia"/>
        </w:rPr>
      </w:pPr>
    </w:p>
    <w:p w14:paraId="1DF4849C" w14:textId="77777777" w:rsidR="008F1EDC" w:rsidRDefault="00000000">
      <w:pPr>
        <w:pBdr>
          <w:bottom w:val="single" w:sz="4" w:space="1" w:color="E2E5EC"/>
        </w:pBdr>
        <w:spacing w:before="360" w:after="120"/>
        <w:rPr>
          <w:rFonts w:hint="eastAsia"/>
        </w:rPr>
      </w:pPr>
      <w:r>
        <w:rPr>
          <w:b/>
          <w:color w:val="0F1117"/>
          <w:sz w:val="22"/>
        </w:rPr>
        <w:t>04  ·  What High-Performing SOCs Are Doing Differently</w:t>
      </w:r>
    </w:p>
    <w:p w14:paraId="48901782" w14:textId="77777777" w:rsidR="008F1EDC" w:rsidRDefault="00000000">
      <w:pPr>
        <w:spacing w:after="120"/>
        <w:rPr>
          <w:rFonts w:hint="eastAsia"/>
        </w:rPr>
      </w:pPr>
      <w:r>
        <w:rPr>
          <w:color w:val="6B7280"/>
        </w:rPr>
        <w:t>The dominant 2026 attacker profile isn't smash-and-grab, it's burrow-and-persist — Process Injection has held the #1 technique spot for a third straight year. Four shifts separate the teams keeping pace:</w:t>
      </w:r>
    </w:p>
    <w:tbl>
      <w:tblPr>
        <w:tblStyle w:val="TableGrid"/>
        <w:tblW w:w="0" w:type="auto"/>
        <w:jc w:val="center"/>
        <w:tblLook w:val="04A0" w:firstRow="1" w:lastRow="0" w:firstColumn="1" w:lastColumn="0" w:noHBand="0" w:noVBand="1"/>
      </w:tblPr>
      <w:tblGrid>
        <w:gridCol w:w="4819"/>
        <w:gridCol w:w="4819"/>
      </w:tblGrid>
      <w:tr w:rsidR="008F1EDC" w14:paraId="04D20BEA" w14:textId="77777777">
        <w:trPr>
          <w:jc w:val="center"/>
        </w:trPr>
        <w:tc>
          <w:tcPr>
            <w:tcW w:w="4819" w:type="dxa"/>
            <w:shd w:val="clear" w:color="auto" w:fill="F8F9FC"/>
          </w:tcPr>
          <w:p w14:paraId="5AE2B0F7" w14:textId="77777777" w:rsidR="008F1EDC" w:rsidRDefault="00000000">
            <w:pPr>
              <w:spacing w:before="120" w:after="40"/>
              <w:rPr>
                <w:rFonts w:hint="eastAsia"/>
              </w:rPr>
            </w:pPr>
            <w:r>
              <w:rPr>
                <w:b/>
                <w:color w:val="6B7280"/>
                <w:sz w:val="16"/>
              </w:rPr>
              <w:t>01  Coverage to Relevance</w:t>
            </w:r>
          </w:p>
          <w:p w14:paraId="45ABCC4C" w14:textId="77777777" w:rsidR="008F1EDC" w:rsidRDefault="00000000">
            <w:pPr>
              <w:spacing w:after="60"/>
              <w:rPr>
                <w:rFonts w:hint="eastAsia"/>
              </w:rPr>
            </w:pPr>
            <w:r>
              <w:rPr>
                <w:b/>
                <w:color w:val="0F1117"/>
                <w:sz w:val="19"/>
              </w:rPr>
              <w:t>Deep detection over broad coverage</w:t>
            </w:r>
          </w:p>
          <w:p w14:paraId="6AC94DE8" w14:textId="77777777" w:rsidR="008F1EDC" w:rsidRDefault="00000000">
            <w:pPr>
              <w:spacing w:after="120"/>
              <w:rPr>
                <w:rFonts w:hint="eastAsia"/>
              </w:rPr>
            </w:pPr>
            <w:r>
              <w:rPr>
                <w:color w:val="6B7280"/>
                <w:sz w:val="18"/>
              </w:rPr>
              <w:t>100% ATT&amp;CK matrix coverage is a vanity metric. What matters is deep, validated detection on the 15–20 techniques your actual adversaries use.</w:t>
            </w:r>
          </w:p>
        </w:tc>
        <w:tc>
          <w:tcPr>
            <w:tcW w:w="4819" w:type="dxa"/>
            <w:shd w:val="clear" w:color="auto" w:fill="F8F9FC"/>
          </w:tcPr>
          <w:p w14:paraId="47BEB65D" w14:textId="77777777" w:rsidR="008F1EDC" w:rsidRDefault="00000000">
            <w:pPr>
              <w:spacing w:before="120" w:after="40"/>
              <w:rPr>
                <w:rFonts w:hint="eastAsia"/>
              </w:rPr>
            </w:pPr>
            <w:r>
              <w:rPr>
                <w:b/>
                <w:color w:val="6B7280"/>
                <w:sz w:val="16"/>
              </w:rPr>
              <w:t>02  Identity-First Detection</w:t>
            </w:r>
          </w:p>
          <w:p w14:paraId="7A66FC00" w14:textId="77777777" w:rsidR="008F1EDC" w:rsidRDefault="00000000">
            <w:pPr>
              <w:spacing w:after="60"/>
              <w:rPr>
                <w:rFonts w:hint="eastAsia"/>
              </w:rPr>
            </w:pPr>
            <w:r>
              <w:rPr>
                <w:b/>
                <w:color w:val="0F1117"/>
                <w:sz w:val="19"/>
              </w:rPr>
              <w:t>Monitor before attackers touch your systems</w:t>
            </w:r>
          </w:p>
          <w:p w14:paraId="5BDE939E" w14:textId="77777777" w:rsidR="008F1EDC" w:rsidRDefault="00000000">
            <w:pPr>
              <w:spacing w:after="120"/>
              <w:rPr>
                <w:rFonts w:hint="eastAsia"/>
              </w:rPr>
            </w:pPr>
            <w:r>
              <w:rPr>
                <w:color w:val="6B7280"/>
                <w:sz w:val="18"/>
              </w:rPr>
              <w:t>Infostealer logs, stolen session cookies, and dark-web credential monitoring are becoming primary detection vectors — before attackers ever touch the environment.</w:t>
            </w:r>
          </w:p>
        </w:tc>
      </w:tr>
      <w:tr w:rsidR="008F1EDC" w14:paraId="076D08F6" w14:textId="77777777">
        <w:trPr>
          <w:jc w:val="center"/>
        </w:trPr>
        <w:tc>
          <w:tcPr>
            <w:tcW w:w="4819" w:type="dxa"/>
            <w:shd w:val="clear" w:color="auto" w:fill="F8F9FC"/>
          </w:tcPr>
          <w:p w14:paraId="091FB89F" w14:textId="77777777" w:rsidR="008F1EDC" w:rsidRDefault="00000000">
            <w:pPr>
              <w:spacing w:before="120" w:after="40"/>
              <w:rPr>
                <w:rFonts w:hint="eastAsia"/>
              </w:rPr>
            </w:pPr>
            <w:r>
              <w:rPr>
                <w:b/>
                <w:color w:val="6B7280"/>
                <w:sz w:val="16"/>
              </w:rPr>
              <w:t>03  Continuous Validation</w:t>
            </w:r>
          </w:p>
          <w:p w14:paraId="20FA7079" w14:textId="77777777" w:rsidR="008F1EDC" w:rsidRDefault="00000000">
            <w:pPr>
              <w:spacing w:after="60"/>
              <w:rPr>
                <w:rFonts w:hint="eastAsia"/>
              </w:rPr>
            </w:pPr>
            <w:r>
              <w:rPr>
                <w:b/>
                <w:color w:val="0F1117"/>
                <w:sz w:val="19"/>
              </w:rPr>
              <w:t>Weekly automated checks, not quarterly audits</w:t>
            </w:r>
          </w:p>
          <w:p w14:paraId="42B99B16" w14:textId="77777777" w:rsidR="008F1EDC" w:rsidRDefault="00000000">
            <w:pPr>
              <w:spacing w:after="120"/>
              <w:rPr>
                <w:rFonts w:hint="eastAsia"/>
              </w:rPr>
            </w:pPr>
            <w:r>
              <w:rPr>
                <w:color w:val="6B7280"/>
                <w:sz w:val="18"/>
              </w:rPr>
              <w:t>Purple teaming and breach-and-attack simulation are moving from quarterly exercises to weekly automated checks.</w:t>
            </w:r>
          </w:p>
        </w:tc>
        <w:tc>
          <w:tcPr>
            <w:tcW w:w="4819" w:type="dxa"/>
            <w:shd w:val="clear" w:color="auto" w:fill="F8F9FC"/>
          </w:tcPr>
          <w:p w14:paraId="657F7F9E" w14:textId="77777777" w:rsidR="008F1EDC" w:rsidRDefault="00000000">
            <w:pPr>
              <w:spacing w:before="120" w:after="40"/>
              <w:rPr>
                <w:rFonts w:hint="eastAsia"/>
              </w:rPr>
            </w:pPr>
            <w:r>
              <w:rPr>
                <w:b/>
                <w:color w:val="6B7280"/>
                <w:sz w:val="16"/>
              </w:rPr>
              <w:t>04  Finished Intelligence</w:t>
            </w:r>
          </w:p>
          <w:p w14:paraId="674FCE6D" w14:textId="77777777" w:rsidR="008F1EDC" w:rsidRDefault="00000000">
            <w:pPr>
              <w:spacing w:after="60"/>
              <w:rPr>
                <w:rFonts w:hint="eastAsia"/>
              </w:rPr>
            </w:pPr>
            <w:r>
              <w:rPr>
                <w:b/>
                <w:color w:val="0F1117"/>
                <w:sz w:val="19"/>
              </w:rPr>
              <w:t>TTPs over raw IOC feeds</w:t>
            </w:r>
          </w:p>
          <w:p w14:paraId="7BAF195D" w14:textId="77777777" w:rsidR="008F1EDC" w:rsidRDefault="00000000">
            <w:pPr>
              <w:spacing w:after="120"/>
              <w:rPr>
                <w:rFonts w:hint="eastAsia"/>
              </w:rPr>
            </w:pPr>
            <w:r>
              <w:rPr>
                <w:color w:val="6B7280"/>
                <w:sz w:val="18"/>
              </w:rPr>
              <w:t>Raw IOC feeds generate noise. TTP-mapped, finished intelligence drives focused, actionable investigations that cut through alert fatigue.</w:t>
            </w:r>
          </w:p>
        </w:tc>
      </w:tr>
    </w:tbl>
    <w:p w14:paraId="7CFD88B9" w14:textId="77777777" w:rsidR="008F1EDC" w:rsidRDefault="008F1EDC">
      <w:pPr>
        <w:spacing w:after="40"/>
        <w:rPr>
          <w:rFonts w:hint="eastAsia"/>
        </w:rPr>
      </w:pPr>
    </w:p>
    <w:p w14:paraId="25732CBA" w14:textId="77777777" w:rsidR="008F1EDC" w:rsidRDefault="00000000">
      <w:pPr>
        <w:pBdr>
          <w:bottom w:val="single" w:sz="4" w:space="1" w:color="E2E5EC"/>
        </w:pBdr>
        <w:spacing w:before="360" w:after="120"/>
        <w:rPr>
          <w:rFonts w:hint="eastAsia"/>
        </w:rPr>
      </w:pPr>
      <w:r>
        <w:rPr>
          <w:b/>
          <w:color w:val="0F1117"/>
          <w:sz w:val="22"/>
        </w:rPr>
        <w:t>05  ·  Major Breach Tracker</w:t>
      </w:r>
    </w:p>
    <w:tbl>
      <w:tblPr>
        <w:tblStyle w:val="TableGrid"/>
        <w:tblW w:w="0" w:type="auto"/>
        <w:jc w:val="center"/>
        <w:tblLook w:val="04A0" w:firstRow="1" w:lastRow="0" w:firstColumn="1" w:lastColumn="0" w:noHBand="0" w:noVBand="1"/>
      </w:tblPr>
      <w:tblGrid>
        <w:gridCol w:w="3213"/>
        <w:gridCol w:w="3213"/>
        <w:gridCol w:w="3213"/>
      </w:tblGrid>
      <w:tr w:rsidR="008F1EDC" w14:paraId="2EDB7D8C" w14:textId="77777777">
        <w:trPr>
          <w:jc w:val="center"/>
        </w:trPr>
        <w:tc>
          <w:tcPr>
            <w:tcW w:w="3213" w:type="dxa"/>
            <w:shd w:val="clear" w:color="auto" w:fill="0F1117"/>
          </w:tcPr>
          <w:p w14:paraId="4E879770" w14:textId="77777777" w:rsidR="008F1EDC" w:rsidRDefault="00000000">
            <w:pPr>
              <w:spacing w:before="80" w:after="80"/>
              <w:rPr>
                <w:rFonts w:hint="eastAsia"/>
              </w:rPr>
            </w:pPr>
            <w:r>
              <w:rPr>
                <w:b/>
                <w:color w:val="FFFFFF"/>
                <w:sz w:val="17"/>
              </w:rPr>
              <w:t>Organisation</w:t>
            </w:r>
          </w:p>
        </w:tc>
        <w:tc>
          <w:tcPr>
            <w:tcW w:w="3213" w:type="dxa"/>
            <w:shd w:val="clear" w:color="auto" w:fill="0F1117"/>
          </w:tcPr>
          <w:p w14:paraId="42C9828C" w14:textId="77777777" w:rsidR="008F1EDC" w:rsidRDefault="00000000">
            <w:pPr>
              <w:spacing w:before="80" w:after="80"/>
              <w:rPr>
                <w:rFonts w:hint="eastAsia"/>
              </w:rPr>
            </w:pPr>
            <w:r>
              <w:rPr>
                <w:b/>
                <w:color w:val="FFFFFF"/>
                <w:sz w:val="17"/>
              </w:rPr>
              <w:t>Impact</w:t>
            </w:r>
          </w:p>
        </w:tc>
        <w:tc>
          <w:tcPr>
            <w:tcW w:w="3213" w:type="dxa"/>
            <w:shd w:val="clear" w:color="auto" w:fill="0F1117"/>
          </w:tcPr>
          <w:p w14:paraId="47A20D0D" w14:textId="77777777" w:rsidR="008F1EDC" w:rsidRDefault="00000000">
            <w:pPr>
              <w:spacing w:before="80" w:after="80"/>
              <w:rPr>
                <w:rFonts w:hint="eastAsia"/>
              </w:rPr>
            </w:pPr>
            <w:r>
              <w:rPr>
                <w:b/>
                <w:color w:val="FFFFFF"/>
                <w:sz w:val="17"/>
              </w:rPr>
              <w:t>Type</w:t>
            </w:r>
          </w:p>
        </w:tc>
      </w:tr>
      <w:tr w:rsidR="008F1EDC" w14:paraId="690F44C7" w14:textId="77777777">
        <w:trPr>
          <w:jc w:val="center"/>
        </w:trPr>
        <w:tc>
          <w:tcPr>
            <w:tcW w:w="3213" w:type="dxa"/>
            <w:shd w:val="clear" w:color="auto" w:fill="FFFFFF"/>
            <w:vAlign w:val="center"/>
          </w:tcPr>
          <w:p w14:paraId="356C24D3" w14:textId="77777777" w:rsidR="008F1EDC" w:rsidRDefault="00000000">
            <w:pPr>
              <w:spacing w:before="80" w:after="80"/>
              <w:rPr>
                <w:rFonts w:hint="eastAsia"/>
              </w:rPr>
            </w:pPr>
            <w:r>
              <w:rPr>
                <w:b/>
                <w:color w:val="0F1117"/>
                <w:sz w:val="18"/>
              </w:rPr>
              <w:t>AdaptHealth</w:t>
            </w:r>
          </w:p>
        </w:tc>
        <w:tc>
          <w:tcPr>
            <w:tcW w:w="3213" w:type="dxa"/>
            <w:shd w:val="clear" w:color="auto" w:fill="FFFFFF"/>
            <w:vAlign w:val="center"/>
          </w:tcPr>
          <w:p w14:paraId="10CD78A3" w14:textId="77777777" w:rsidR="008F1EDC" w:rsidRDefault="00000000">
            <w:pPr>
              <w:spacing w:before="80" w:after="80"/>
              <w:rPr>
                <w:rFonts w:hint="eastAsia"/>
              </w:rPr>
            </w:pPr>
            <w:r>
              <w:rPr>
                <w:color w:val="2D3142"/>
                <w:sz w:val="18"/>
              </w:rPr>
              <w:t>4.1 million individuals affected</w:t>
            </w:r>
          </w:p>
        </w:tc>
        <w:tc>
          <w:tcPr>
            <w:tcW w:w="3213" w:type="dxa"/>
            <w:shd w:val="clear" w:color="auto" w:fill="FFFFFF"/>
            <w:vAlign w:val="center"/>
          </w:tcPr>
          <w:p w14:paraId="3599D1B8" w14:textId="77777777" w:rsidR="008F1EDC" w:rsidRDefault="00000000">
            <w:pPr>
              <w:spacing w:before="80" w:after="80"/>
              <w:rPr>
                <w:rFonts w:hint="eastAsia"/>
              </w:rPr>
            </w:pPr>
            <w:r>
              <w:rPr>
                <w:color w:val="2D3142"/>
                <w:sz w:val="18"/>
              </w:rPr>
              <w:t>Data breach, disclosed Sept (occurred June 2026)</w:t>
            </w:r>
          </w:p>
        </w:tc>
      </w:tr>
      <w:tr w:rsidR="008F1EDC" w14:paraId="4F07379E" w14:textId="77777777">
        <w:trPr>
          <w:jc w:val="center"/>
        </w:trPr>
        <w:tc>
          <w:tcPr>
            <w:tcW w:w="3213" w:type="dxa"/>
            <w:shd w:val="clear" w:color="auto" w:fill="F0F2F7"/>
            <w:vAlign w:val="center"/>
          </w:tcPr>
          <w:p w14:paraId="09CE6455" w14:textId="77777777" w:rsidR="008F1EDC" w:rsidRDefault="00000000">
            <w:pPr>
              <w:spacing w:before="80" w:after="80"/>
              <w:rPr>
                <w:rFonts w:hint="eastAsia"/>
              </w:rPr>
            </w:pPr>
            <w:r>
              <w:rPr>
                <w:b/>
                <w:color w:val="0F1117"/>
                <w:sz w:val="18"/>
              </w:rPr>
              <w:t>Veradigm</w:t>
            </w:r>
          </w:p>
        </w:tc>
        <w:tc>
          <w:tcPr>
            <w:tcW w:w="3213" w:type="dxa"/>
            <w:shd w:val="clear" w:color="auto" w:fill="F0F2F7"/>
            <w:vAlign w:val="center"/>
          </w:tcPr>
          <w:p w14:paraId="4DEBC2C8" w14:textId="77777777" w:rsidR="008F1EDC" w:rsidRDefault="00000000">
            <w:pPr>
              <w:spacing w:before="80" w:after="80"/>
              <w:rPr>
                <w:rFonts w:hint="eastAsia"/>
              </w:rPr>
            </w:pPr>
            <w:r>
              <w:rPr>
                <w:color w:val="2D3142"/>
                <w:sz w:val="18"/>
              </w:rPr>
              <w:t>Patient personal data stolen</w:t>
            </w:r>
          </w:p>
        </w:tc>
        <w:tc>
          <w:tcPr>
            <w:tcW w:w="3213" w:type="dxa"/>
            <w:shd w:val="clear" w:color="auto" w:fill="F0F2F7"/>
            <w:vAlign w:val="center"/>
          </w:tcPr>
          <w:p w14:paraId="689C4B72" w14:textId="77777777" w:rsidR="008F1EDC" w:rsidRDefault="00000000">
            <w:pPr>
              <w:spacing w:before="80" w:after="80"/>
              <w:rPr>
                <w:rFonts w:hint="eastAsia"/>
              </w:rPr>
            </w:pPr>
            <w:r>
              <w:rPr>
                <w:color w:val="2D3142"/>
                <w:sz w:val="18"/>
              </w:rPr>
              <w:t>Third-party breach via API exploitation</w:t>
            </w:r>
          </w:p>
        </w:tc>
      </w:tr>
      <w:tr w:rsidR="008F1EDC" w14:paraId="45F661E3" w14:textId="77777777">
        <w:trPr>
          <w:jc w:val="center"/>
        </w:trPr>
        <w:tc>
          <w:tcPr>
            <w:tcW w:w="3213" w:type="dxa"/>
            <w:shd w:val="clear" w:color="auto" w:fill="FFFFFF"/>
            <w:vAlign w:val="center"/>
          </w:tcPr>
          <w:p w14:paraId="62ED951E" w14:textId="77777777" w:rsidR="008F1EDC" w:rsidRDefault="00000000">
            <w:pPr>
              <w:spacing w:before="80" w:after="80"/>
              <w:rPr>
                <w:rFonts w:hint="eastAsia"/>
              </w:rPr>
            </w:pPr>
            <w:r>
              <w:rPr>
                <w:b/>
                <w:color w:val="0F1117"/>
                <w:sz w:val="18"/>
              </w:rPr>
              <w:t>Boston Scientific</w:t>
            </w:r>
          </w:p>
        </w:tc>
        <w:tc>
          <w:tcPr>
            <w:tcW w:w="3213" w:type="dxa"/>
            <w:shd w:val="clear" w:color="auto" w:fill="FFFFFF"/>
            <w:vAlign w:val="center"/>
          </w:tcPr>
          <w:p w14:paraId="4F7E8F3E" w14:textId="77777777" w:rsidR="008F1EDC" w:rsidRDefault="00000000">
            <w:pPr>
              <w:spacing w:before="80" w:after="80"/>
              <w:rPr>
                <w:rFonts w:hint="eastAsia"/>
              </w:rPr>
            </w:pPr>
            <w:r>
              <w:rPr>
                <w:color w:val="2D3142"/>
                <w:sz w:val="18"/>
              </w:rPr>
              <w:t>Global shipping &amp; operations disrupted</w:t>
            </w:r>
          </w:p>
        </w:tc>
        <w:tc>
          <w:tcPr>
            <w:tcW w:w="3213" w:type="dxa"/>
            <w:shd w:val="clear" w:color="auto" w:fill="FFFFFF"/>
            <w:vAlign w:val="center"/>
          </w:tcPr>
          <w:p w14:paraId="454A1437" w14:textId="77777777" w:rsidR="008F1EDC" w:rsidRDefault="00000000">
            <w:pPr>
              <w:spacing w:before="80" w:after="80"/>
              <w:rPr>
                <w:rFonts w:hint="eastAsia"/>
              </w:rPr>
            </w:pPr>
            <w:r>
              <w:rPr>
                <w:color w:val="2D3142"/>
                <w:sz w:val="18"/>
              </w:rPr>
              <w:t>Cybersecurity incident</w:t>
            </w:r>
          </w:p>
        </w:tc>
      </w:tr>
    </w:tbl>
    <w:p w14:paraId="18162E7D" w14:textId="77777777" w:rsidR="008F1EDC" w:rsidRDefault="00000000">
      <w:pPr>
        <w:spacing w:before="120" w:after="80"/>
        <w:rPr>
          <w:rFonts w:hint="eastAsia"/>
        </w:rPr>
      </w:pPr>
      <w:r>
        <w:rPr>
          <w:i/>
          <w:color w:val="4A5068"/>
          <w:sz w:val="19"/>
        </w:rPr>
        <w:t>Healthcare ties run through all three of this week's major incidents. HIPAA notification obligations are being triggered at scale.</w:t>
      </w:r>
    </w:p>
    <w:p w14:paraId="26022FE7" w14:textId="77777777" w:rsidR="008F1EDC" w:rsidRDefault="008F1EDC">
      <w:pPr>
        <w:spacing w:after="40"/>
      </w:pPr>
    </w:p>
    <w:p w14:paraId="7FFD503C" w14:textId="77777777" w:rsidR="0027117B" w:rsidRDefault="0027117B">
      <w:pPr>
        <w:spacing w:after="40"/>
        <w:rPr>
          <w:rFonts w:hint="eastAsia"/>
        </w:rPr>
      </w:pPr>
    </w:p>
    <w:p w14:paraId="3CF47720" w14:textId="77777777" w:rsidR="008F1EDC" w:rsidRDefault="00000000">
      <w:pPr>
        <w:pBdr>
          <w:bottom w:val="single" w:sz="4" w:space="1" w:color="E2E5EC"/>
        </w:pBdr>
        <w:spacing w:before="360" w:after="120"/>
        <w:rPr>
          <w:rFonts w:hint="eastAsia"/>
        </w:rPr>
      </w:pPr>
      <w:r>
        <w:rPr>
          <w:b/>
          <w:color w:val="0F1117"/>
          <w:sz w:val="22"/>
        </w:rPr>
        <w:t>06  ·  This Weekend</w:t>
      </w:r>
    </w:p>
    <w:p w14:paraId="098AE809" w14:textId="77777777" w:rsidR="008F1EDC" w:rsidRDefault="00000000">
      <w:pPr>
        <w:spacing w:before="60" w:after="60"/>
        <w:rPr>
          <w:rFonts w:hint="eastAsia"/>
        </w:rPr>
      </w:pPr>
      <w:r>
        <w:rPr>
          <w:b/>
          <w:color w:val="0F1117"/>
        </w:rPr>
        <w:t xml:space="preserve">1.  Patch now.  </w:t>
      </w:r>
      <w:r>
        <w:rPr>
          <w:color w:val="4A5068"/>
        </w:rPr>
        <w:t>CVE-2026-85880 and CVE-2026-81963 are being exploited in the wild — no strategic reason to delay.</w:t>
      </w:r>
    </w:p>
    <w:p w14:paraId="30F459D7" w14:textId="77777777" w:rsidR="008F1EDC" w:rsidRDefault="00000000">
      <w:pPr>
        <w:spacing w:before="60" w:after="60"/>
        <w:rPr>
          <w:rFonts w:hint="eastAsia"/>
        </w:rPr>
      </w:pPr>
      <w:r>
        <w:rPr>
          <w:b/>
          <w:color w:val="0F1117"/>
        </w:rPr>
        <w:t xml:space="preserve">2.  Hunt supply chain &amp; valid-account abuse.  </w:t>
      </w:r>
      <w:r>
        <w:rPr>
          <w:color w:val="4A5068"/>
        </w:rPr>
        <w:t>Supply Chain Compromise (T1195, 14 hits) and Valid Accounts (T1078, 9 hits) are under-attended soft spots.</w:t>
      </w:r>
    </w:p>
    <w:p w14:paraId="29276C44" w14:textId="77777777" w:rsidR="008F1EDC" w:rsidRDefault="00000000">
      <w:pPr>
        <w:spacing w:before="60" w:after="60"/>
        <w:rPr>
          <w:rFonts w:hint="eastAsia"/>
        </w:rPr>
      </w:pPr>
      <w:r>
        <w:rPr>
          <w:b/>
          <w:color w:val="0F1117"/>
        </w:rPr>
        <w:t xml:space="preserve">3.  Brief your users on GTA VI.  </w:t>
      </w:r>
      <w:r>
        <w:rPr>
          <w:color w:val="4A5068"/>
        </w:rPr>
        <w:t>Social engineering through gaming feels unrelated to work, which is exactly why it lands.</w:t>
      </w:r>
    </w:p>
    <w:p w14:paraId="68713A67" w14:textId="77777777" w:rsidR="008F1EDC" w:rsidRDefault="00000000">
      <w:pPr>
        <w:spacing w:before="60" w:after="60"/>
        <w:rPr>
          <w:rFonts w:hint="eastAsia"/>
        </w:rPr>
      </w:pPr>
      <w:r>
        <w:rPr>
          <w:b/>
          <w:color w:val="0F1117"/>
        </w:rPr>
        <w:t xml:space="preserve">4.  Validate privilege-escalation detection.  </w:t>
      </w:r>
      <w:r>
        <w:rPr>
          <w:color w:val="4A5068"/>
        </w:rPr>
        <w:t>Given two active Windows zero-days, confirm EDR and SIEM are firing reliably on T1068 activity.</w:t>
      </w:r>
    </w:p>
    <w:p w14:paraId="5ADA691E" w14:textId="77777777" w:rsidR="008F1EDC" w:rsidRDefault="00000000">
      <w:pPr>
        <w:spacing w:before="60" w:after="60"/>
        <w:rPr>
          <w:rFonts w:hint="eastAsia"/>
        </w:rPr>
      </w:pPr>
      <w:r>
        <w:rPr>
          <w:b/>
          <w:color w:val="0F1117"/>
        </w:rPr>
        <w:t xml:space="preserve">5.  Measure detection-to-response speed, not alerts closed.  </w:t>
      </w:r>
      <w:r>
        <w:rPr>
          <w:color w:val="4A5068"/>
        </w:rPr>
        <w:t>The modern breach cycle runs sub-30-minutes; your detection needs to match it.</w:t>
      </w:r>
    </w:p>
    <w:p w14:paraId="07FF8CBA" w14:textId="77777777" w:rsidR="008F1EDC" w:rsidRDefault="008F1EDC">
      <w:pPr>
        <w:rPr>
          <w:rFonts w:hint="eastAsia"/>
        </w:rPr>
      </w:pPr>
    </w:p>
    <w:p w14:paraId="71C67377" w14:textId="77777777" w:rsidR="008F1EDC" w:rsidRDefault="008F1EDC">
      <w:pPr>
        <w:pBdr>
          <w:bottom w:val="single" w:sz="12" w:space="1" w:color="0F1117"/>
        </w:pBdr>
        <w:spacing w:before="240"/>
        <w:rPr>
          <w:rFonts w:hint="eastAsia"/>
        </w:rPr>
      </w:pPr>
    </w:p>
    <w:sectPr w:rsidR="008F1EDC" w:rsidSect="00034616">
      <w:footerReference w:type="default" r:id="rId8"/>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58123" w14:textId="77777777" w:rsidR="00715664" w:rsidRDefault="00715664" w:rsidP="0027117B">
      <w:pPr>
        <w:spacing w:after="0" w:line="240" w:lineRule="auto"/>
        <w:rPr>
          <w:rFonts w:hint="eastAsia"/>
        </w:rPr>
      </w:pPr>
      <w:r>
        <w:separator/>
      </w:r>
    </w:p>
  </w:endnote>
  <w:endnote w:type="continuationSeparator" w:id="0">
    <w:p w14:paraId="6EA1344F" w14:textId="77777777" w:rsidR="00715664" w:rsidRDefault="00715664" w:rsidP="0027117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18224" w14:textId="46F2D722" w:rsidR="0027117B" w:rsidRDefault="0027117B" w:rsidP="0027117B">
    <w:pPr>
      <w:spacing w:before="120" w:after="0"/>
      <w:rPr>
        <w:rFonts w:hint="eastAsia"/>
      </w:rPr>
    </w:pPr>
    <w:r>
      <w:rPr>
        <w:color w:val="9CA3AF"/>
        <w:sz w:val="16"/>
      </w:rPr>
      <w:t xml:space="preserve">Resources: CISA KEV </w:t>
    </w:r>
    <w:proofErr w:type="gramStart"/>
    <w:r>
      <w:rPr>
        <w:color w:val="9CA3AF"/>
        <w:sz w:val="16"/>
      </w:rPr>
      <w:t>Catalog  ·</w:t>
    </w:r>
    <w:proofErr w:type="gramEnd"/>
    <w:r>
      <w:rPr>
        <w:color w:val="9CA3AF"/>
        <w:sz w:val="16"/>
      </w:rPr>
      <w:t xml:space="preserve">  MITRE ATT&amp;CK </w:t>
    </w:r>
    <w:proofErr w:type="gramStart"/>
    <w:r>
      <w:rPr>
        <w:color w:val="9CA3AF"/>
        <w:sz w:val="16"/>
      </w:rPr>
      <w:t>Framework  ·</w:t>
    </w:r>
    <w:proofErr w:type="gramEnd"/>
    <w:r>
      <w:rPr>
        <w:color w:val="9CA3AF"/>
        <w:sz w:val="16"/>
      </w:rPr>
      <w:t xml:space="preserve">  Microsoft Security Response </w:t>
    </w:r>
    <w:proofErr w:type="gramStart"/>
    <w:r>
      <w:rPr>
        <w:color w:val="9CA3AF"/>
        <w:sz w:val="16"/>
      </w:rPr>
      <w:t>Center  ·</w:t>
    </w:r>
    <w:proofErr w:type="gramEnd"/>
    <w:r>
      <w:rPr>
        <w:color w:val="9CA3AF"/>
        <w:sz w:val="16"/>
      </w:rPr>
      <w:t xml:space="preserve">  NO ENTRY SOC Platform</w:t>
    </w:r>
    <w:r>
      <w:rPr>
        <w:color w:val="9CA3AF"/>
        <w:sz w:val="16"/>
      </w:rPr>
      <w:br/>
      <w:t xml:space="preserve">Data: NO ENTRY SOC </w:t>
    </w:r>
    <w:proofErr w:type="gramStart"/>
    <w:r>
      <w:rPr>
        <w:color w:val="9CA3AF"/>
        <w:sz w:val="16"/>
      </w:rPr>
      <w:t>Platform  ·</w:t>
    </w:r>
    <w:proofErr w:type="gramEnd"/>
    <w:r>
      <w:rPr>
        <w:color w:val="9CA3AF"/>
        <w:sz w:val="16"/>
      </w:rPr>
      <w:t xml:space="preserve">  Week of Sept 8–10, </w:t>
    </w:r>
    <w:proofErr w:type="gramStart"/>
    <w:r>
      <w:rPr>
        <w:color w:val="9CA3AF"/>
        <w:sz w:val="16"/>
      </w:rPr>
      <w:t>2026  ·</w:t>
    </w:r>
    <w:proofErr w:type="gramEnd"/>
    <w:r>
      <w:rPr>
        <w:color w:val="9CA3AF"/>
        <w:sz w:val="16"/>
      </w:rPr>
      <w:t xml:space="preserve">  Mapped to MITRE ATT&amp;CK Enterprise v</w:t>
    </w:r>
    <w:proofErr w:type="gramStart"/>
    <w:r>
      <w:rPr>
        <w:color w:val="9CA3AF"/>
        <w:sz w:val="16"/>
      </w:rPr>
      <w:t>15  ·</w:t>
    </w:r>
    <w:proofErr w:type="gramEnd"/>
    <w:r>
      <w:rPr>
        <w:color w:val="9CA3AF"/>
        <w:sz w:val="16"/>
      </w:rPr>
      <w:t xml:space="preserve">  SOC-INTEL / WK</w:t>
    </w:r>
    <w:proofErr w:type="gramStart"/>
    <w:r>
      <w:rPr>
        <w:color w:val="9CA3AF"/>
        <w:sz w:val="16"/>
      </w:rPr>
      <w:t>36  ·</w:t>
    </w:r>
    <w:proofErr w:type="gramEnd"/>
    <w:r>
      <w:rPr>
        <w:color w:val="9CA3AF"/>
        <w:sz w:val="16"/>
      </w:rPr>
      <w:t xml:space="preserve">  Sujampathi Rathnayaka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2B1E6" w14:textId="77777777" w:rsidR="00715664" w:rsidRDefault="00715664" w:rsidP="0027117B">
      <w:pPr>
        <w:spacing w:after="0" w:line="240" w:lineRule="auto"/>
        <w:rPr>
          <w:rFonts w:hint="eastAsia"/>
        </w:rPr>
      </w:pPr>
      <w:r>
        <w:separator/>
      </w:r>
    </w:p>
  </w:footnote>
  <w:footnote w:type="continuationSeparator" w:id="0">
    <w:p w14:paraId="1C3A540C" w14:textId="77777777" w:rsidR="00715664" w:rsidRDefault="00715664" w:rsidP="0027117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556895">
    <w:abstractNumId w:val="8"/>
  </w:num>
  <w:num w:numId="2" w16cid:durableId="1959678695">
    <w:abstractNumId w:val="6"/>
  </w:num>
  <w:num w:numId="3" w16cid:durableId="602224041">
    <w:abstractNumId w:val="5"/>
  </w:num>
  <w:num w:numId="4" w16cid:durableId="906452288">
    <w:abstractNumId w:val="4"/>
  </w:num>
  <w:num w:numId="5" w16cid:durableId="76709372">
    <w:abstractNumId w:val="7"/>
  </w:num>
  <w:num w:numId="6" w16cid:durableId="1475679725">
    <w:abstractNumId w:val="3"/>
  </w:num>
  <w:num w:numId="7" w16cid:durableId="1788693097">
    <w:abstractNumId w:val="2"/>
  </w:num>
  <w:num w:numId="8" w16cid:durableId="396323856">
    <w:abstractNumId w:val="1"/>
  </w:num>
  <w:num w:numId="9" w16cid:durableId="597367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17B"/>
    <w:rsid w:val="0029639D"/>
    <w:rsid w:val="00326F90"/>
    <w:rsid w:val="00715664"/>
    <w:rsid w:val="008F1EDC"/>
    <w:rsid w:val="00AA1D8D"/>
    <w:rsid w:val="00B47730"/>
    <w:rsid w:val="00BC120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584A6"/>
  <w14:defaultImageDpi w14:val="300"/>
  <w15:docId w15:val="{B88003BD-BBEB-40F0-AF74-8A1B82EFE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nter" w:hAnsi="Inte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770</Words>
  <Characters>4390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Sujampathi Rathnayaka</cp:lastModifiedBy>
  <cp:revision>3</cp:revision>
  <cp:lastPrinted>2026-09-10T18:32:00Z</cp:lastPrinted>
  <dcterms:created xsi:type="dcterms:W3CDTF">2013-12-23T23:15:00Z</dcterms:created>
  <dcterms:modified xsi:type="dcterms:W3CDTF">2026-09-10T18:32:00Z</dcterms:modified>
  <cp:category/>
</cp:coreProperties>
</file>