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8"/>
        </w:rPr>
        <w:t>两阶段推荐系统</w:t>
        <w:br/>
        <w:t>最终研究报告</w:t>
      </w:r>
    </w:p>
    <w:p>
      <w:pPr>
        <w:spacing w:after="320"/>
      </w:pPr>
      <w:r>
        <w:rPr>
          <w:color w:val="555555"/>
        </w:rPr>
        <w:t>Amazon Video Games · 离线研究原型与可观测 Serving Demo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2500"/>
        <w:gridCol w:w="2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r>
              <w:rPr>
                <w:b/>
              </w:rPr>
              <w:t>项目状态</w:t>
            </w:r>
          </w:p>
        </w:tc>
        <w:tc>
          <w:tcPr>
            <w:tcW w:type="dxa" w:w="2500"/>
            <w:vAlign w:val="center"/>
            <w:shd w:fill="E8EEF5"/>
          </w:tcPr>
          <w:p>
            <w:r>
              <w:rPr>
                <w:b/>
              </w:rPr>
              <w:t>数据规模</w:t>
            </w:r>
          </w:p>
        </w:tc>
        <w:tc>
          <w:tcPr>
            <w:tcW w:type="dxa" w:w="2500"/>
            <w:vAlign w:val="center"/>
            <w:shd w:fill="E8EEF5"/>
          </w:tcPr>
          <w:p>
            <w:r>
              <w:rPr>
                <w:b/>
              </w:rPr>
              <w:t>评估口径</w:t>
            </w:r>
          </w:p>
        </w:tc>
        <w:tc>
          <w:tcPr>
            <w:tcW w:type="dxa" w:w="2260"/>
            <w:vAlign w:val="center"/>
            <w:shd w:fill="E8EEF5"/>
          </w:tcPr>
          <w:p>
            <w:r>
              <w:rPr>
                <w:b/>
              </w:rPr>
              <w:t>报告日期</w:t>
            </w:r>
          </w:p>
        </w:tc>
      </w:tr>
      <w:tr>
        <w:tc>
          <w:tcPr>
            <w:tcW w:type="dxa" w:w="2100"/>
          </w:tcPr>
          <w:p>
            <w:r>
              <w:t>Phase 1–6 完成</w:t>
            </w:r>
          </w:p>
        </w:tc>
        <w:tc>
          <w:tcPr>
            <w:tcW w:type="dxa" w:w="2500"/>
          </w:tcPr>
          <w:p>
            <w:r>
              <w:t>197,597 交互 / 19,621 用户</w:t>
            </w:r>
          </w:p>
        </w:tc>
        <w:tc>
          <w:tcPr>
            <w:tcW w:type="dxa" w:w="2500"/>
          </w:tcPr>
          <w:p>
            <w:r>
              <w:t>完整目录 + 时间稳健性</w:t>
            </w:r>
          </w:p>
        </w:tc>
        <w:tc>
          <w:tcPr>
            <w:tcW w:type="dxa" w:w="2260"/>
          </w:tcPr>
          <w:p>
            <w:r>
              <w:t>2026-09-01</w:t>
            </w:r>
          </w:p>
        </w:tc>
      </w:tr>
    </w:tbl>
    <w:p>
      <w:pPr>
        <w:spacing w:after="40"/>
      </w:pPr>
    </w:p>
    <w:p>
      <w:pPr>
        <w:pStyle w:val="Heading1"/>
      </w:pPr>
      <w:r>
        <w:t>执行摘要</w:t>
      </w:r>
    </w:p>
    <w:p>
      <w:r>
        <w:t>本项目已经完成一个可复现的两阶段推荐系统研究原型，并进一步封装为可部署、可监控的本地 Serving Demo。系统先用 Popularity、ItemCF 和修复后的 Two-Tower 生成候选，再用 FAISS、RRF 和 LightGBM LambdaRank 完成排序。Phase 6 增加 title、brand、细粒度类目内容召回，并完成冷启动、全局 cutoff、三随机种子和并发实验。所有最终数字来自真实运行产物；项目没有使用线上曝光日志，因此不宣称真实商业收益。</w:t>
      </w:r>
    </w:p>
    <w:p>
      <w:pPr>
        <w:pStyle w:val="Heading2"/>
      </w:pPr>
      <w:r>
        <w:t>关键结论</w:t>
      </w:r>
    </w:p>
    <w:p>
      <w:pPr>
        <w:pStyle w:val="ListBullet"/>
      </w:pPr>
      <w:r>
        <w:t>Two-Tower 的测试 Recall@100 为 9.51%，超过 Popularity 的 6.41%，但仍低于 ItemCF 的 15.70%。</w:t>
      </w:r>
    </w:p>
    <w:p>
      <w:pPr>
        <w:pStyle w:val="ListBullet"/>
      </w:pPr>
      <w:r>
        <w:t>多路候选测试 Recall@200 为 21.00%；LambdaRank 将测试 NDCG@10 从 RRF 的 1.78% 提升到 2.99%。</w:t>
      </w:r>
    </w:p>
    <w:p>
      <w:pPr>
        <w:pStyle w:val="ListBullet"/>
      </w:pPr>
      <w:r>
        <w:t>在候选预算仍为 200 的条件下，加入内容通道后测试 Candidate Recall@200 从 20.65% 提升到 24.20%；721 位严格冷用户的 Content Recall@100 为 14.29%，Two-Tower 为 0%。</w:t>
      </w:r>
    </w:p>
    <w:p>
      <w:pPr>
        <w:pStyle w:val="ListBullet"/>
      </w:pPr>
      <w:r>
        <w:t>三随机种子都支持 logQ 的准确率收益，但 Coverage@10 从约 99.10% 降到 68.31%，热门偏置比从 0.40 升到 2.09，必须作为权衡披露。</w:t>
      </w:r>
    </w:p>
    <w:p>
      <w:pPr>
        <w:pStyle w:val="ListBullet"/>
      </w:pPr>
      <w:r>
        <w:t>FAISS IndexFlatIP 在 100 位用户上的 Top-100 与 NumPy 精确点积 100% 一致，单用户 P95 为 2.15 ms。</w:t>
      </w:r>
    </w:p>
    <w:p>
      <w:pPr>
        <w:pStyle w:val="ListBullet"/>
      </w:pPr>
      <w:r>
        <w:t>顺序 Serving 微基准 P50/P95 为 26.59/30.48 ms，但并发压测显示单进程仅约 11–15 QPS，不能把顺序请求速率当作容量。分阶段测量显示特征构造是最大耗时项，占平均总耗时 57.64%。</w:t>
      </w:r>
    </w:p>
    <w:p>
      <w:pPr>
        <w:pStyle w:val="Heading1"/>
      </w:pPr>
      <w:r>
        <w:t>1. 数据与评估设计</w:t>
      </w:r>
    </w:p>
    <w:p>
      <w:r>
        <w:t>正式数据来自 UCSD McAuley Lab 的 Amazon Reviews 2018 Video_Games 5-core。原始评论按用户、商品和日期整理，只保留正向隐式反馈，并为每位用户按不同日期构造 retrieval_train、rank_train、validation 和 test。主召回指标使用完整 13,923 商品训练目录，而不是 sampled-negative 评估。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800"/>
        <w:gridCol w:w="5160"/>
      </w:tblGrid>
      <w:tr>
        <w:trPr>
          <w:tblHeader w:val="true"/>
        </w:trPr>
        <w:tc>
          <w:tcPr>
            <w:tcW w:type="dxa" w:w="2400"/>
            <w:vAlign w:val="center"/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1800"/>
            <w:vAlign w:val="center"/>
            <w:shd w:fill="E8EEF5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5160"/>
            <w:vAlign w:val="center"/>
            <w:shd w:fill="E8EEF5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400"/>
          </w:tcPr>
          <w:p>
            <w:r>
              <w:t>原始评论</w:t>
            </w:r>
          </w:p>
        </w:tc>
        <w:tc>
          <w:tcPr>
            <w:tcW w:type="dxa" w:w="1800"/>
          </w:tcPr>
          <w:p>
            <w:r>
              <w:t>497,577</w:t>
            </w:r>
          </w:p>
        </w:tc>
        <w:tc>
          <w:tcPr>
            <w:tcW w:type="dxa" w:w="5160"/>
          </w:tcPr>
          <w:p>
            <w:r>
              <w:t>数据下载与审计</w:t>
            </w:r>
          </w:p>
        </w:tc>
      </w:tr>
      <w:tr>
        <w:tc>
          <w:tcPr>
            <w:tcW w:type="dxa" w:w="2400"/>
          </w:tcPr>
          <w:p>
            <w:r>
              <w:t>正式交互</w:t>
            </w:r>
          </w:p>
        </w:tc>
        <w:tc>
          <w:tcPr>
            <w:tcW w:type="dxa" w:w="1800"/>
          </w:tcPr>
          <w:p>
            <w:r>
              <w:t>197,597</w:t>
            </w:r>
          </w:p>
        </w:tc>
        <w:tc>
          <w:tcPr>
            <w:tcW w:type="dxa" w:w="5160"/>
          </w:tcPr>
          <w:p>
            <w:r>
              <w:t>清洗、切分与训练</w:t>
            </w:r>
          </w:p>
        </w:tc>
      </w:tr>
      <w:tr>
        <w:tc>
          <w:tcPr>
            <w:tcW w:type="dxa" w:w="2400"/>
          </w:tcPr>
          <w:p>
            <w:r>
              <w:t>可评估用户</w:t>
            </w:r>
          </w:p>
        </w:tc>
        <w:tc>
          <w:tcPr>
            <w:tcW w:type="dxa" w:w="1800"/>
          </w:tcPr>
          <w:p>
            <w:r>
              <w:t>19,621</w:t>
            </w:r>
          </w:p>
        </w:tc>
        <w:tc>
          <w:tcPr>
            <w:tcW w:type="dxa" w:w="5160"/>
          </w:tcPr>
          <w:p>
            <w:r>
              <w:t>每人一个 validation/test 目标</w:t>
            </w:r>
          </w:p>
        </w:tc>
      </w:tr>
      <w:tr>
        <w:tc>
          <w:tcPr>
            <w:tcW w:type="dxa" w:w="2400"/>
          </w:tcPr>
          <w:p>
            <w:r>
              <w:t>商品总数</w:t>
            </w:r>
          </w:p>
        </w:tc>
        <w:tc>
          <w:tcPr>
            <w:tcW w:type="dxa" w:w="1800"/>
          </w:tcPr>
          <w:p>
            <w:r>
              <w:t>14,391</w:t>
            </w:r>
          </w:p>
        </w:tc>
        <w:tc>
          <w:tcPr>
            <w:tcW w:type="dxa" w:w="5160"/>
          </w:tcPr>
          <w:p>
            <w:r>
              <w:t>清洗后商品实体</w:t>
            </w:r>
          </w:p>
        </w:tc>
      </w:tr>
      <w:tr>
        <w:tc>
          <w:tcPr>
            <w:tcW w:type="dxa" w:w="2400"/>
          </w:tcPr>
          <w:p>
            <w:r>
              <w:t>训练召回目录</w:t>
            </w:r>
          </w:p>
        </w:tc>
        <w:tc>
          <w:tcPr>
            <w:tcW w:type="dxa" w:w="1800"/>
          </w:tcPr>
          <w:p>
            <w:r>
              <w:t>13,923</w:t>
            </w:r>
          </w:p>
        </w:tc>
        <w:tc>
          <w:tcPr>
            <w:tcW w:type="dxa" w:w="5160"/>
          </w:tcPr>
          <w:p>
            <w:r>
              <w:t>双塔、ItemCF、FAISS 共同目录</w:t>
            </w:r>
          </w:p>
        </w:tc>
      </w:tr>
    </w:tbl>
    <w:p>
      <w:pPr>
        <w:spacing w:after="40"/>
      </w:pPr>
    </w:p>
    <w:p>
      <w:pPr>
        <w:pStyle w:val="Heading1"/>
      </w:pPr>
      <w:r>
        <w:t>2. 失败诊断与模型修复</w:t>
      </w:r>
    </w:p>
    <w:p>
      <w:r>
        <w:t>第一版双塔在测试集只有 Recall@100=3.02%，低于 Popularity。代码检查证明 checkpoint、向量归一化、全目录检索和已见过滤均正常。继续训练到 30 轮后验证集也只有 4.88%，因此问题不是简单欠训练。</w:t>
      </w:r>
    </w:p>
    <w:p>
      <w:r>
        <w:t>进一步分析发现，批内负样本按出现频率被抽取，热门商品更容易成为负例，未校正模型推荐商品平均热度只有真实目标的 39%。加入 logQ 采样校正后，双塔验证 Recall@100 达到 11.48%，冻结测试为 9.51%。这项修复在未参与调参的测试集上仍有效。</w:t>
      </w:r>
    </w:p>
    <w:p>
      <w:pPr>
        <w:pStyle w:val="Heading1"/>
      </w:pPr>
      <w:r>
        <w:t>3. 最终离线结果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300"/>
        <w:gridCol w:w="1500"/>
        <w:gridCol w:w="1300"/>
        <w:gridCol w:w="2660"/>
      </w:tblGrid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r>
              <w:rPr>
                <w:b/>
              </w:rPr>
              <w:t>模型/阶段</w:t>
            </w:r>
          </w:p>
        </w:tc>
        <w:tc>
          <w:tcPr>
            <w:tcW w:type="dxa" w:w="1300"/>
            <w:vAlign w:val="center"/>
            <w:shd w:fill="E8EEF5"/>
          </w:tcPr>
          <w:p>
            <w:r>
              <w:rPr>
                <w:b/>
              </w:rPr>
              <w:t>Recall@10</w:t>
            </w:r>
          </w:p>
        </w:tc>
        <w:tc>
          <w:tcPr>
            <w:tcW w:type="dxa" w:w="1500"/>
            <w:vAlign w:val="center"/>
            <w:shd w:fill="E8EEF5"/>
          </w:tcPr>
          <w:p>
            <w:r>
              <w:rPr>
                <w:b/>
              </w:rPr>
              <w:t>Recall@100</w:t>
            </w:r>
          </w:p>
        </w:tc>
        <w:tc>
          <w:tcPr>
            <w:tcW w:type="dxa" w:w="1300"/>
            <w:vAlign w:val="center"/>
            <w:shd w:fill="E8EEF5"/>
          </w:tcPr>
          <w:p>
            <w:r>
              <w:rPr>
                <w:b/>
              </w:rPr>
              <w:t>NDCG@10</w:t>
            </w:r>
          </w:p>
        </w:tc>
        <w:tc>
          <w:tcPr>
            <w:tcW w:type="dxa" w:w="2660"/>
            <w:vAlign w:val="center"/>
            <w:shd w:fill="E8EEF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600"/>
          </w:tcPr>
          <w:p>
            <w:r>
              <w:t>Popularity</w:t>
            </w:r>
          </w:p>
        </w:tc>
        <w:tc>
          <w:tcPr>
            <w:tcW w:type="dxa" w:w="1300"/>
          </w:tcPr>
          <w:p>
            <w:r>
              <w:t>—</w:t>
            </w:r>
          </w:p>
        </w:tc>
        <w:tc>
          <w:tcPr>
            <w:tcW w:type="dxa" w:w="1500"/>
          </w:tcPr>
          <w:p>
            <w:r>
              <w:t>6.41%</w:t>
            </w:r>
          </w:p>
        </w:tc>
        <w:tc>
          <w:tcPr>
            <w:tcW w:type="dxa" w:w="1300"/>
          </w:tcPr>
          <w:p>
            <w:r>
              <w:t>—</w:t>
            </w:r>
          </w:p>
        </w:tc>
        <w:tc>
          <w:tcPr>
            <w:tcW w:type="dxa" w:w="2660"/>
          </w:tcPr>
          <w:p>
            <w:r>
              <w:t>最简单基线</w:t>
            </w:r>
          </w:p>
        </w:tc>
      </w:tr>
      <w:tr>
        <w:tc>
          <w:tcPr>
            <w:tcW w:type="dxa" w:w="2600"/>
          </w:tcPr>
          <w:p>
            <w:r>
              <w:t>ItemCF</w:t>
            </w:r>
          </w:p>
        </w:tc>
        <w:tc>
          <w:tcPr>
            <w:tcW w:type="dxa" w:w="1300"/>
          </w:tcPr>
          <w:p>
            <w:r>
              <w:t>—</w:t>
            </w:r>
          </w:p>
        </w:tc>
        <w:tc>
          <w:tcPr>
            <w:tcW w:type="dxa" w:w="1500"/>
          </w:tcPr>
          <w:p>
            <w:r>
              <w:t>15.70%</w:t>
            </w:r>
          </w:p>
        </w:tc>
        <w:tc>
          <w:tcPr>
            <w:tcW w:type="dxa" w:w="1300"/>
          </w:tcPr>
          <w:p>
            <w:r>
              <w:t>—</w:t>
            </w:r>
          </w:p>
        </w:tc>
        <w:tc>
          <w:tcPr>
            <w:tcW w:type="dxa" w:w="2660"/>
          </w:tcPr>
          <w:p>
            <w:r>
              <w:t>最强单路召回基线</w:t>
            </w:r>
          </w:p>
        </w:tc>
      </w:tr>
      <w:tr>
        <w:tc>
          <w:tcPr>
            <w:tcW w:type="dxa" w:w="2600"/>
          </w:tcPr>
          <w:p>
            <w:r>
              <w:t>Two-Tower + logQ</w:t>
            </w:r>
          </w:p>
        </w:tc>
        <w:tc>
          <w:tcPr>
            <w:tcW w:type="dxa" w:w="1300"/>
          </w:tcPr>
          <w:p>
            <w:r>
              <w:t>1.81%</w:t>
            </w:r>
          </w:p>
        </w:tc>
        <w:tc>
          <w:tcPr>
            <w:tcW w:type="dxa" w:w="1500"/>
          </w:tcPr>
          <w:p>
            <w:r>
              <w:t>9.51%</w:t>
            </w:r>
          </w:p>
        </w:tc>
        <w:tc>
          <w:tcPr>
            <w:tcW w:type="dxa" w:w="1300"/>
          </w:tcPr>
          <w:p>
            <w:r>
              <w:t>0.88%</w:t>
            </w:r>
          </w:p>
        </w:tc>
        <w:tc>
          <w:tcPr>
            <w:tcW w:type="dxa" w:w="2660"/>
          </w:tcPr>
          <w:p>
            <w:r>
              <w:t>完整目录测试</w:t>
            </w:r>
          </w:p>
        </w:tc>
      </w:tr>
      <w:tr>
        <w:tc>
          <w:tcPr>
            <w:tcW w:type="dxa" w:w="2600"/>
          </w:tcPr>
          <w:p>
            <w:r>
              <w:t>多路 RRF</w:t>
            </w:r>
          </w:p>
        </w:tc>
        <w:tc>
          <w:tcPr>
            <w:tcW w:type="dxa" w:w="1300"/>
          </w:tcPr>
          <w:p>
            <w:r>
              <w:t>3.60%</w:t>
            </w:r>
          </w:p>
        </w:tc>
        <w:tc>
          <w:tcPr>
            <w:tcW w:type="dxa" w:w="1500"/>
          </w:tcPr>
          <w:p>
            <w:r>
              <w:t>21.00%候选召回</w:t>
            </w:r>
          </w:p>
        </w:tc>
        <w:tc>
          <w:tcPr>
            <w:tcW w:type="dxa" w:w="1300"/>
          </w:tcPr>
          <w:p>
            <w:r>
              <w:t>1.78%</w:t>
            </w:r>
          </w:p>
        </w:tc>
        <w:tc>
          <w:tcPr>
            <w:tcW w:type="dxa" w:w="2660"/>
          </w:tcPr>
          <w:p>
            <w:r>
              <w:t>200 候选</w:t>
            </w:r>
          </w:p>
        </w:tc>
      </w:tr>
      <w:tr>
        <w:tc>
          <w:tcPr>
            <w:tcW w:type="dxa" w:w="2600"/>
          </w:tcPr>
          <w:p>
            <w:r>
              <w:t>多路 + LambdaRank</w:t>
            </w:r>
          </w:p>
        </w:tc>
        <w:tc>
          <w:tcPr>
            <w:tcW w:type="dxa" w:w="1300"/>
          </w:tcPr>
          <w:p>
            <w:r>
              <w:t>5.66%</w:t>
            </w:r>
          </w:p>
        </w:tc>
        <w:tc>
          <w:tcPr>
            <w:tcW w:type="dxa" w:w="1500"/>
          </w:tcPr>
          <w:p>
            <w:r>
              <w:t>21.00%候选召回</w:t>
            </w:r>
          </w:p>
        </w:tc>
        <w:tc>
          <w:tcPr>
            <w:tcW w:type="dxa" w:w="1300"/>
          </w:tcPr>
          <w:p>
            <w:r>
              <w:t>2.99%</w:t>
            </w:r>
          </w:p>
        </w:tc>
        <w:tc>
          <w:tcPr>
            <w:tcW w:type="dxa" w:w="2660"/>
          </w:tcPr>
          <w:p>
            <w:r>
              <w:t>冻结测试</w:t>
            </w:r>
          </w:p>
        </w:tc>
      </w:tr>
    </w:tbl>
    <w:p>
      <w:pPr>
        <w:spacing w:after="40"/>
      </w:pPr>
    </w:p>
    <w:p>
      <w:r>
        <w:t>LambdaRank 的测试 Recall@10 绝对提升 2.06 个百分点，95% 成对 bootstrap 区间为 [1.77, 2.34]；NDCG@10 绝对提升 1.21 个百分点，区间为 [1.04, 1.37]。新增命中 623 人、损失 219 人，McNemar 精确检验 p≈1.3×10^-45。</w:t>
      </w:r>
    </w:p>
    <w:p>
      <w:pPr>
        <w:pStyle w:val="Heading1"/>
      </w:pPr>
      <w:r>
        <w:t>4. 工程化 Serving</w:t>
      </w:r>
    </w:p>
    <w:p>
      <w:r>
        <w:t>ServingPipeline 在启动时一次性加载冻结模型、FAISS、ItemCF、Popularity、Content 和 LambdaRank。known user 使用完整流程；unknown user 使用稳定的 Popularity fallback。API 只暴露 /health、/recommend/{user_id} 和 /metrics，k 限制为 1–50。Redis 使用 rec:v1:{user_id}:{k}、TTL 300 秒，连接失败在 50 ms 后自动绕过。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6760"/>
            <w:vAlign w:val="center"/>
            <w:shd w:fill="E8EEF5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600"/>
          </w:tcPr>
          <w:p>
            <w:r>
              <w:t>离线 parity</w:t>
            </w:r>
          </w:p>
        </w:tc>
        <w:tc>
          <w:tcPr>
            <w:tcW w:type="dxa" w:w="6760"/>
          </w:tcPr>
          <w:p>
            <w:r>
              <w:t>20/20 固定用户 top-10 完全一致</w:t>
            </w:r>
          </w:p>
        </w:tc>
      </w:tr>
      <w:tr>
        <w:tc>
          <w:tcPr>
            <w:tcW w:type="dxa" w:w="2600"/>
          </w:tcPr>
          <w:p>
            <w:r>
              <w:t>FAISS 正确性</w:t>
            </w:r>
          </w:p>
        </w:tc>
        <w:tc>
          <w:tcPr>
            <w:tcW w:type="dxa" w:w="6760"/>
          </w:tcPr>
          <w:p>
            <w:r>
              <w:t>100 位用户逐行 100% 匹配 NumPy</w:t>
            </w:r>
          </w:p>
        </w:tc>
      </w:tr>
      <w:tr>
        <w:tc>
          <w:tcPr>
            <w:tcW w:type="dxa" w:w="2600"/>
          </w:tcPr>
          <w:p>
            <w:r>
              <w:t>重复请求</w:t>
            </w:r>
          </w:p>
        </w:tc>
        <w:tc>
          <w:tcPr>
            <w:tcW w:type="dxa" w:w="6760"/>
          </w:tcPr>
          <w:p>
            <w:r>
              <w:t>结果确定性一致；无重复、无已见商品</w:t>
            </w:r>
          </w:p>
        </w:tc>
      </w:tr>
      <w:tr>
        <w:tc>
          <w:tcPr>
            <w:tcW w:type="dxa" w:w="2600"/>
          </w:tcPr>
          <w:p>
            <w:r>
              <w:t>Pipeline profiling</w:t>
            </w:r>
          </w:p>
        </w:tc>
        <w:tc>
          <w:tcPr>
            <w:tcW w:type="dxa" w:w="6760"/>
          </w:tcPr>
          <w:p>
            <w:r>
              <w:t>P95 31.69 ms；候选数 200–200</w:t>
            </w:r>
          </w:p>
        </w:tc>
      </w:tr>
      <w:tr>
        <w:tc>
          <w:tcPr>
            <w:tcW w:type="dxa" w:w="2600"/>
          </w:tcPr>
          <w:p>
            <w:r>
              <w:t>API 顺序微基准</w:t>
            </w:r>
          </w:p>
        </w:tc>
        <w:tc>
          <w:tcPr>
            <w:tcW w:type="dxa" w:w="6760"/>
          </w:tcPr>
          <w:p>
            <w:r>
              <w:t>P50 26.59 ms / P95 30.48 ms / 37.24 req/s（非容量）</w:t>
            </w:r>
          </w:p>
        </w:tc>
      </w:tr>
      <w:tr>
        <w:tc>
          <w:tcPr>
            <w:tcW w:type="dxa" w:w="2600"/>
          </w:tcPr>
          <w:p>
            <w:r>
              <w:t>Docker</w:t>
            </w:r>
          </w:p>
        </w:tc>
        <w:tc>
          <w:tcPr>
            <w:tcW w:type="dxa" w:w="6760"/>
          </w:tcPr>
          <w:p>
            <w:r>
              <w:t>Phase 6 已在 AWS 8001 独立测试栈验收，8000 基线保持健康</w:t>
            </w:r>
          </w:p>
        </w:tc>
      </w:tr>
    </w:tbl>
    <w:p>
      <w:pPr>
        <w:spacing w:after="40"/>
      </w:pPr>
    </w:p>
    <w:p>
      <w:pPr>
        <w:pStyle w:val="Heading1"/>
      </w:pPr>
      <w:r>
        <w:t>5. Phase 6 元数据门禁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2300"/>
        <w:gridCol w:w="28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00"/>
            <w:vAlign w:val="center"/>
            <w:shd w:fill="E8EEF5"/>
          </w:tcPr>
          <w:p>
            <w:r>
              <w:rPr>
                <w:b/>
              </w:rPr>
              <w:t>全目录覆盖率</w:t>
            </w:r>
          </w:p>
        </w:tc>
        <w:tc>
          <w:tcPr>
            <w:tcW w:type="dxa" w:w="2300"/>
            <w:vAlign w:val="center"/>
            <w:shd w:fill="E8EEF5"/>
          </w:tcPr>
          <w:p>
            <w:r>
              <w:rPr>
                <w:b/>
              </w:rPr>
              <w:t>严格冷目标覆盖率</w:t>
            </w:r>
          </w:p>
        </w:tc>
        <w:tc>
          <w:tcPr>
            <w:tcW w:type="dxa" w:w="2860"/>
            <w:vAlign w:val="center"/>
            <w:shd w:fill="E8EEF5"/>
          </w:tcPr>
          <w:p>
            <w:r>
              <w:rPr>
                <w:b/>
              </w:rPr>
              <w:t>决策</w:t>
            </w:r>
          </w:p>
        </w:tc>
      </w:tr>
      <w:tr>
        <w:tc>
          <w:tcPr>
            <w:tcW w:type="dxa" w:w="2100"/>
          </w:tcPr>
          <w:p>
            <w:r>
              <w:t>Title</w:t>
            </w:r>
          </w:p>
        </w:tc>
        <w:tc>
          <w:tcPr>
            <w:tcW w:type="dxa" w:w="2100"/>
          </w:tcPr>
          <w:p>
            <w:r>
              <w:t>99.90%</w:t>
            </w:r>
          </w:p>
        </w:tc>
        <w:tc>
          <w:tcPr>
            <w:tcW w:type="dxa" w:w="2300"/>
          </w:tcPr>
          <w:p>
            <w:r>
              <w:t>100.00%</w:t>
            </w:r>
          </w:p>
        </w:tc>
        <w:tc>
          <w:tcPr>
            <w:tcW w:type="dxa" w:w="2860"/>
          </w:tcPr>
          <w:p>
            <w:r>
              <w:t>使用</w:t>
            </w:r>
          </w:p>
        </w:tc>
      </w:tr>
      <w:tr>
        <w:tc>
          <w:tcPr>
            <w:tcW w:type="dxa" w:w="2100"/>
          </w:tcPr>
          <w:p>
            <w:r>
              <w:t>Brand</w:t>
            </w:r>
          </w:p>
        </w:tc>
        <w:tc>
          <w:tcPr>
            <w:tcW w:type="dxa" w:w="2100"/>
          </w:tcPr>
          <w:p>
            <w:r>
              <w:t>98.99%</w:t>
            </w:r>
          </w:p>
        </w:tc>
        <w:tc>
          <w:tcPr>
            <w:tcW w:type="dxa" w:w="2300"/>
          </w:tcPr>
          <w:p>
            <w:r>
              <w:t>99.03%</w:t>
            </w:r>
          </w:p>
        </w:tc>
        <w:tc>
          <w:tcPr>
            <w:tcW w:type="dxa" w:w="2860"/>
          </w:tcPr>
          <w:p>
            <w:r>
              <w:t>使用</w:t>
            </w:r>
          </w:p>
        </w:tc>
      </w:tr>
      <w:tr>
        <w:tc>
          <w:tcPr>
            <w:tcW w:type="dxa" w:w="2100"/>
          </w:tcPr>
          <w:p>
            <w:r>
              <w:t>细粒度类目</w:t>
            </w:r>
          </w:p>
        </w:tc>
        <w:tc>
          <w:tcPr>
            <w:tcW w:type="dxa" w:w="2100"/>
          </w:tcPr>
          <w:p>
            <w:r>
              <w:t>99.05%</w:t>
            </w:r>
          </w:p>
        </w:tc>
        <w:tc>
          <w:tcPr>
            <w:tcW w:type="dxa" w:w="2300"/>
          </w:tcPr>
          <w:p>
            <w:r>
              <w:t>97.78%</w:t>
            </w:r>
          </w:p>
        </w:tc>
        <w:tc>
          <w:tcPr>
            <w:tcW w:type="dxa" w:w="2860"/>
          </w:tcPr>
          <w:p>
            <w:r>
              <w:t>使用</w:t>
            </w:r>
          </w:p>
        </w:tc>
      </w:tr>
      <w:tr>
        <w:tc>
          <w:tcPr>
            <w:tcW w:type="dxa" w:w="2100"/>
          </w:tcPr>
          <w:p>
            <w:r>
              <w:t>Price/聚合评分</w:t>
            </w:r>
          </w:p>
        </w:tc>
        <w:tc>
          <w:tcPr>
            <w:tcW w:type="dxa" w:w="2100"/>
          </w:tcPr>
          <w:p>
            <w:r>
              <w:t>不可靠</w:t>
            </w:r>
          </w:p>
        </w:tc>
        <w:tc>
          <w:tcPr>
            <w:tcW w:type="dxa" w:w="2300"/>
          </w:tcPr>
          <w:p>
            <w:r>
              <w:t>不可靠</w:t>
            </w:r>
          </w:p>
        </w:tc>
        <w:tc>
          <w:tcPr>
            <w:tcW w:type="dxa" w:w="2860"/>
          </w:tcPr>
          <w:p>
            <w:r>
              <w:t>排除</w:t>
            </w:r>
          </w:p>
        </w:tc>
      </w:tr>
    </w:tbl>
    <w:p>
      <w:pPr>
        <w:spacing w:after="40"/>
      </w:pPr>
    </w:p>
    <w:p>
      <w:r>
        <w:t>元数据质量门禁结论为 GO。TF-IDF 只使用 title、规范化 brand 和细粒度类目路径；词表只在 retrieval-train 可见商品上拟合，但检索目录包含所有元数据可见商品。当前混合是 score-level RRF，不是训练过的 Hybrid Item Tower。</w:t>
      </w:r>
    </w:p>
    <w:p>
      <w:pPr>
        <w:pStyle w:val="Heading1"/>
      </w:pPr>
      <w:r>
        <w:t>6. 内容召回与严格冷启动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00"/>
        <w:gridCol w:w="1400"/>
        <w:gridCol w:w="3960"/>
      </w:tblGrid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00"/>
            <w:vAlign w:val="center"/>
            <w:shd w:fill="E8EEF5"/>
          </w:tcPr>
          <w:p>
            <w:r>
              <w:rPr>
                <w:b/>
              </w:rPr>
              <w:t>验证</w:t>
            </w:r>
          </w:p>
        </w:tc>
        <w:tc>
          <w:tcPr>
            <w:tcW w:type="dxa" w:w="1400"/>
            <w:vAlign w:val="center"/>
            <w:shd w:fill="E8EEF5"/>
          </w:tcPr>
          <w:p>
            <w:r>
              <w:rPr>
                <w:b/>
              </w:rPr>
              <w:t>测试</w:t>
            </w:r>
          </w:p>
        </w:tc>
        <w:tc>
          <w:tcPr>
            <w:tcW w:type="dxa" w:w="3960"/>
            <w:vAlign w:val="center"/>
            <w:shd w:fill="E8EEF5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2600"/>
          </w:tcPr>
          <w:p>
            <w:r>
              <w:t>Content Recall@100</w:t>
            </w:r>
          </w:p>
        </w:tc>
        <w:tc>
          <w:tcPr>
            <w:tcW w:type="dxa" w:w="1400"/>
          </w:tcPr>
          <w:p>
            <w:r>
              <w:t>13.89%</w:t>
            </w:r>
          </w:p>
        </w:tc>
        <w:tc>
          <w:tcPr>
            <w:tcW w:type="dxa" w:w="1400"/>
          </w:tcPr>
          <w:p>
            <w:r>
              <w:t>12.76%</w:t>
            </w:r>
          </w:p>
        </w:tc>
        <w:tc>
          <w:tcPr>
            <w:tcW w:type="dxa" w:w="3960"/>
          </w:tcPr>
          <w:p>
            <w:r>
              <w:t>只依赖商品文本元数据</w:t>
            </w:r>
          </w:p>
        </w:tc>
      </w:tr>
      <w:tr>
        <w:tc>
          <w:tcPr>
            <w:tcW w:type="dxa" w:w="2600"/>
          </w:tcPr>
          <w:p>
            <w:r>
              <w:t>Two-Tower Recall@100</w:t>
            </w:r>
          </w:p>
        </w:tc>
        <w:tc>
          <w:tcPr>
            <w:tcW w:type="dxa" w:w="1400"/>
          </w:tcPr>
          <w:p>
            <w:r>
              <w:t>11.48%</w:t>
            </w:r>
          </w:p>
        </w:tc>
        <w:tc>
          <w:tcPr>
            <w:tcW w:type="dxa" w:w="1400"/>
          </w:tcPr>
          <w:p>
            <w:r>
              <w:t>9.51%</w:t>
            </w:r>
          </w:p>
        </w:tc>
        <w:tc>
          <w:tcPr>
            <w:tcW w:type="dxa" w:w="3960"/>
          </w:tcPr>
          <w:p>
            <w:r>
              <w:t>协同神经召回</w:t>
            </w:r>
          </w:p>
        </w:tc>
      </w:tr>
      <w:tr>
        <w:tc>
          <w:tcPr>
            <w:tcW w:type="dxa" w:w="2600"/>
          </w:tcPr>
          <w:p>
            <w:r>
              <w:t>TT+Content Recall@100</w:t>
            </w:r>
          </w:p>
        </w:tc>
        <w:tc>
          <w:tcPr>
            <w:tcW w:type="dxa" w:w="1400"/>
          </w:tcPr>
          <w:p>
            <w:r>
              <w:t>16.17%</w:t>
            </w:r>
          </w:p>
        </w:tc>
        <w:tc>
          <w:tcPr>
            <w:tcW w:type="dxa" w:w="1400"/>
          </w:tcPr>
          <w:p>
            <w:r>
              <w:t>14.22%</w:t>
            </w:r>
          </w:p>
        </w:tc>
        <w:tc>
          <w:tcPr>
            <w:tcW w:type="dxa" w:w="3960"/>
          </w:tcPr>
          <w:p>
            <w:r>
              <w:t>分数级 RRF</w:t>
            </w:r>
          </w:p>
        </w:tc>
      </w:tr>
      <w:tr>
        <w:tc>
          <w:tcPr>
            <w:tcW w:type="dxa" w:w="2600"/>
          </w:tcPr>
          <w:p>
            <w:r>
              <w:t>原三通道 CR@200</w:t>
            </w:r>
          </w:p>
        </w:tc>
        <w:tc>
          <w:tcPr>
            <w:tcW w:type="dxa" w:w="1400"/>
          </w:tcPr>
          <w:p>
            <w:r>
              <w:t>23.45%</w:t>
            </w:r>
          </w:p>
        </w:tc>
        <w:tc>
          <w:tcPr>
            <w:tcW w:type="dxa" w:w="1400"/>
          </w:tcPr>
          <w:p>
            <w:r>
              <w:t>20.65%</w:t>
            </w:r>
          </w:p>
        </w:tc>
        <w:tc>
          <w:tcPr>
            <w:tcW w:type="dxa" w:w="3960"/>
          </w:tcPr>
          <w:p>
            <w:r>
              <w:t>固定 200 候选</w:t>
            </w:r>
          </w:p>
        </w:tc>
      </w:tr>
      <w:tr>
        <w:tc>
          <w:tcPr>
            <w:tcW w:type="dxa" w:w="2600"/>
          </w:tcPr>
          <w:p>
            <w:r>
              <w:t>四通道 CR@200</w:t>
            </w:r>
          </w:p>
        </w:tc>
        <w:tc>
          <w:tcPr>
            <w:tcW w:type="dxa" w:w="1400"/>
          </w:tcPr>
          <w:p>
            <w:r>
              <w:t>27.25%</w:t>
            </w:r>
          </w:p>
        </w:tc>
        <w:tc>
          <w:tcPr>
            <w:tcW w:type="dxa" w:w="1400"/>
          </w:tcPr>
          <w:p>
            <w:r>
              <w:t>24.20%</w:t>
            </w:r>
          </w:p>
        </w:tc>
        <w:tc>
          <w:tcPr>
            <w:tcW w:type="dxa" w:w="3960"/>
          </w:tcPr>
          <w:p>
            <w:r>
              <w:t>固定 200 候选</w:t>
            </w:r>
          </w:p>
        </w:tc>
      </w:tr>
    </w:tbl>
    <w:p>
      <w:pPr>
        <w:spacing w:after="40"/>
      </w:pPr>
    </w:p>
    <w:p>
      <w:r>
        <w:t>测试严格冷用户共 721 位，Content 命中 103 位，Recall@100=14.29%；Two-Tower=0.00%。差值 95% CI [11.79%, 16.92%]，McNemar 精确检验 p=1.97e-31。四通道在测试中新增 1,079 个命中、损失 382 个命中，净增不是通过扩大候选预算获得。</w:t>
      </w:r>
    </w:p>
    <w:p>
      <w:pPr>
        <w:pStyle w:val="Heading1"/>
      </w:pPr>
      <w:r>
        <w:t>7. 全局时间稳健性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800"/>
        <w:gridCol w:w="1800"/>
        <w:gridCol w:w="3260"/>
      </w:tblGrid>
      <w:tr>
        <w:trPr>
          <w:tblHeader w:val="true"/>
        </w:trPr>
        <w:tc>
          <w:tcPr>
            <w:tcW w:type="dxa" w:w="2500"/>
            <w:vAlign w:val="center"/>
            <w:shd w:fill="E8EEF5"/>
          </w:tcPr>
          <w:p>
            <w:r>
              <w:rPr>
                <w:b/>
              </w:rPr>
              <w:t>2017 cutoff 最终留出</w:t>
            </w:r>
          </w:p>
        </w:tc>
        <w:tc>
          <w:tcPr>
            <w:tcW w:type="dxa" w:w="1800"/>
            <w:vAlign w:val="center"/>
            <w:shd w:fill="E8EEF5"/>
          </w:tcPr>
          <w:p>
            <w:r>
              <w:rPr>
                <w:b/>
              </w:rPr>
              <w:t>Content/融合</w:t>
            </w:r>
          </w:p>
        </w:tc>
        <w:tc>
          <w:tcPr>
            <w:tcW w:type="dxa" w:w="1800"/>
            <w:vAlign w:val="center"/>
            <w:shd w:fill="E8EEF5"/>
          </w:tcPr>
          <w:p>
            <w:r>
              <w:rPr>
                <w:b/>
              </w:rPr>
              <w:t>协同基线</w:t>
            </w:r>
          </w:p>
        </w:tc>
        <w:tc>
          <w:tcPr>
            <w:tcW w:type="dxa" w:w="3260"/>
            <w:vAlign w:val="center"/>
            <w:shd w:fill="E8EEF5"/>
          </w:tcPr>
          <w:p>
            <w:r>
              <w:rPr>
                <w:b/>
              </w:rPr>
              <w:t>差值含义</w:t>
            </w:r>
          </w:p>
        </w:tc>
      </w:tr>
      <w:tr>
        <w:tc>
          <w:tcPr>
            <w:tcW w:type="dxa" w:w="2500"/>
          </w:tcPr>
          <w:p>
            <w:r>
              <w:t>Overall Recall@100</w:t>
            </w:r>
          </w:p>
        </w:tc>
        <w:tc>
          <w:tcPr>
            <w:tcW w:type="dxa" w:w="1800"/>
          </w:tcPr>
          <w:p>
            <w:r>
              <w:t>11.39%</w:t>
            </w:r>
          </w:p>
        </w:tc>
        <w:tc>
          <w:tcPr>
            <w:tcW w:type="dxa" w:w="1800"/>
          </w:tcPr>
          <w:p>
            <w:r>
              <w:t>8.73%</w:t>
            </w:r>
          </w:p>
        </w:tc>
        <w:tc>
          <w:tcPr>
            <w:tcW w:type="dxa" w:w="3260"/>
          </w:tcPr>
          <w:p>
            <w:r>
              <w:t>Content 对 ItemCF</w:t>
            </w:r>
          </w:p>
        </w:tc>
      </w:tr>
      <w:tr>
        <w:tc>
          <w:tcPr>
            <w:tcW w:type="dxa" w:w="2500"/>
          </w:tcPr>
          <w:p>
            <w:r>
              <w:t>严格冷 Recall@100</w:t>
            </w:r>
          </w:p>
        </w:tc>
        <w:tc>
          <w:tcPr>
            <w:tcW w:type="dxa" w:w="1800"/>
          </w:tcPr>
          <w:p>
            <w:r>
              <w:t>15.73%</w:t>
            </w:r>
          </w:p>
        </w:tc>
        <w:tc>
          <w:tcPr>
            <w:tcW w:type="dxa" w:w="1800"/>
          </w:tcPr>
          <w:p>
            <w:r>
              <w:t>0.00%</w:t>
            </w:r>
          </w:p>
        </w:tc>
        <w:tc>
          <w:tcPr>
            <w:tcW w:type="dxa" w:w="3260"/>
          </w:tcPr>
          <w:p>
            <w:r>
              <w:t>1227 位冷用户</w:t>
            </w:r>
          </w:p>
        </w:tc>
      </w:tr>
      <w:tr>
        <w:tc>
          <w:tcPr>
            <w:tcW w:type="dxa" w:w="2500"/>
          </w:tcPr>
          <w:p>
            <w:r>
              <w:t>Candidate Recall@200</w:t>
            </w:r>
          </w:p>
        </w:tc>
        <w:tc>
          <w:tcPr>
            <w:tcW w:type="dxa" w:w="1800"/>
          </w:tcPr>
          <w:p>
            <w:r>
              <w:t>16.49%</w:t>
            </w:r>
          </w:p>
        </w:tc>
        <w:tc>
          <w:tcPr>
            <w:tcW w:type="dxa" w:w="1800"/>
          </w:tcPr>
          <w:p>
            <w:r>
              <w:t>11.73%</w:t>
            </w:r>
          </w:p>
        </w:tc>
        <w:tc>
          <w:tcPr>
            <w:tcW w:type="dxa" w:w="3260"/>
          </w:tcPr>
          <w:p>
            <w:r>
              <w:t>Content+协同 对 仅协同</w:t>
            </w:r>
          </w:p>
        </w:tc>
      </w:tr>
    </w:tbl>
    <w:p>
      <w:pPr>
        <w:spacing w:after="40"/>
      </w:pPr>
    </w:p>
    <w:p>
      <w:r>
        <w:t>验证 cutoff=2016-01-01T00:00:00Z，最终 cutoff=2017-01-01T00:00:00Z，日期在查看指标前固定。旧 Two-Tower checkpoint 因见过更晚数据而被排除。结论方向在统一时间切分下仍成立；但是静态元数据的字段级可用时间无法独立验证，因此这是一项稳健性检查，不是完全无偏的历史回放。</w:t>
      </w:r>
    </w:p>
    <w:p>
      <w:pPr>
        <w:pStyle w:val="Heading1"/>
      </w:pPr>
      <w:r>
        <w:t>8. 三随机种子 logQ 消融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2500"/>
        <w:gridCol w:w="2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500"/>
            <w:vAlign w:val="center"/>
            <w:shd w:fill="E8EEF5"/>
          </w:tcPr>
          <w:p>
            <w:r>
              <w:rPr>
                <w:b/>
              </w:rPr>
              <w:t>Raw 均值 ± SD</w:t>
            </w:r>
          </w:p>
        </w:tc>
        <w:tc>
          <w:tcPr>
            <w:tcW w:type="dxa" w:w="2500"/>
            <w:vAlign w:val="center"/>
            <w:shd w:fill="E8EEF5"/>
          </w:tcPr>
          <w:p>
            <w:r>
              <w:rPr>
                <w:b/>
              </w:rPr>
              <w:t>logQ 均值 ± SD</w:t>
            </w:r>
          </w:p>
        </w:tc>
        <w:tc>
          <w:tcPr>
            <w:tcW w:type="dxa" w:w="2260"/>
            <w:vAlign w:val="center"/>
            <w:shd w:fill="E8EEF5"/>
          </w:tcPr>
          <w:p>
            <w:r>
              <w:rPr>
                <w:b/>
              </w:rPr>
              <w:t>三种子方向</w:t>
            </w:r>
          </w:p>
        </w:tc>
      </w:tr>
      <w:tr>
        <w:tc>
          <w:tcPr>
            <w:tcW w:type="dxa" w:w="2100"/>
          </w:tcPr>
          <w:p>
            <w:r>
              <w:t>Recall@100</w:t>
            </w:r>
          </w:p>
        </w:tc>
        <w:tc>
          <w:tcPr>
            <w:tcW w:type="dxa" w:w="2500"/>
          </w:tcPr>
          <w:p>
            <w:r>
              <w:t>4.64% ± 0.74%</w:t>
            </w:r>
          </w:p>
        </w:tc>
        <w:tc>
          <w:tcPr>
            <w:tcW w:type="dxa" w:w="2500"/>
          </w:tcPr>
          <w:p>
            <w:r>
              <w:t>11.47% ± 0.46%</w:t>
            </w:r>
          </w:p>
        </w:tc>
        <w:tc>
          <w:tcPr>
            <w:tcW w:type="dxa" w:w="2260"/>
          </w:tcPr>
          <w:p>
            <w:r>
              <w:t>全部提升</w:t>
            </w:r>
          </w:p>
        </w:tc>
      </w:tr>
      <w:tr>
        <w:tc>
          <w:tcPr>
            <w:tcW w:type="dxa" w:w="2100"/>
          </w:tcPr>
          <w:p>
            <w:r>
              <w:t>Recall@10</w:t>
            </w:r>
          </w:p>
        </w:tc>
        <w:tc>
          <w:tcPr>
            <w:tcW w:type="dxa" w:w="2500"/>
          </w:tcPr>
          <w:p>
            <w:r>
              <w:t>0.64% ± 0.09%</w:t>
            </w:r>
          </w:p>
        </w:tc>
        <w:tc>
          <w:tcPr>
            <w:tcW w:type="dxa" w:w="2500"/>
          </w:tcPr>
          <w:p>
            <w:r>
              <w:t>2.35% ± 0.08%</w:t>
            </w:r>
          </w:p>
        </w:tc>
        <w:tc>
          <w:tcPr>
            <w:tcW w:type="dxa" w:w="2260"/>
          </w:tcPr>
          <w:p>
            <w:r>
              <w:t>全部提升</w:t>
            </w:r>
          </w:p>
        </w:tc>
      </w:tr>
      <w:tr>
        <w:tc>
          <w:tcPr>
            <w:tcW w:type="dxa" w:w="2100"/>
          </w:tcPr>
          <w:p>
            <w:r>
              <w:t>NDCG@10</w:t>
            </w:r>
          </w:p>
        </w:tc>
        <w:tc>
          <w:tcPr>
            <w:tcW w:type="dxa" w:w="2500"/>
          </w:tcPr>
          <w:p>
            <w:r>
              <w:t>0.30% ± 0.04%</w:t>
            </w:r>
          </w:p>
        </w:tc>
        <w:tc>
          <w:tcPr>
            <w:tcW w:type="dxa" w:w="2500"/>
          </w:tcPr>
          <w:p>
            <w:r>
              <w:t>1.14% ± 0.03%</w:t>
            </w:r>
          </w:p>
        </w:tc>
        <w:tc>
          <w:tcPr>
            <w:tcW w:type="dxa" w:w="2260"/>
          </w:tcPr>
          <w:p>
            <w:r>
              <w:t>全部提升</w:t>
            </w:r>
          </w:p>
        </w:tc>
      </w:tr>
      <w:tr>
        <w:tc>
          <w:tcPr>
            <w:tcW w:type="dxa" w:w="2100"/>
          </w:tcPr>
          <w:p>
            <w:r>
              <w:t>Coverage@10</w:t>
            </w:r>
          </w:p>
        </w:tc>
        <w:tc>
          <w:tcPr>
            <w:tcW w:type="dxa" w:w="2500"/>
          </w:tcPr>
          <w:p>
            <w:r>
              <w:t>99.10% ± 1.07%</w:t>
            </w:r>
          </w:p>
        </w:tc>
        <w:tc>
          <w:tcPr>
            <w:tcW w:type="dxa" w:w="2500"/>
          </w:tcPr>
          <w:p>
            <w:r>
              <w:t>68.31% ± 7.33%</w:t>
            </w:r>
          </w:p>
        </w:tc>
        <w:tc>
          <w:tcPr>
            <w:tcW w:type="dxa" w:w="2260"/>
          </w:tcPr>
          <w:p>
            <w:r>
              <w:t>全部下降</w:t>
            </w:r>
          </w:p>
        </w:tc>
      </w:tr>
      <w:tr>
        <w:tc>
          <w:tcPr>
            <w:tcW w:type="dxa" w:w="2100"/>
          </w:tcPr>
          <w:p>
            <w:r>
              <w:t>热门偏置比</w:t>
            </w:r>
          </w:p>
        </w:tc>
        <w:tc>
          <w:tcPr>
            <w:tcW w:type="dxa" w:w="2500"/>
          </w:tcPr>
          <w:p>
            <w:r>
              <w:t>0.40 ± 0.02</w:t>
            </w:r>
          </w:p>
        </w:tc>
        <w:tc>
          <w:tcPr>
            <w:tcW w:type="dxa" w:w="2500"/>
          </w:tcPr>
          <w:p>
            <w:r>
              <w:t>2.09 ± 0.18</w:t>
            </w:r>
          </w:p>
        </w:tc>
        <w:tc>
          <w:tcPr>
            <w:tcW w:type="dxa" w:w="2260"/>
          </w:tcPr>
          <w:p>
            <w:r>
              <w:t>全部上升</w:t>
            </w:r>
          </w:p>
        </w:tc>
      </w:tr>
    </w:tbl>
    <w:p>
      <w:pPr>
        <w:spacing w:after="40"/>
      </w:pPr>
    </w:p>
    <w:p>
      <w:r>
        <w:t>受控实验表明 logQ 的准确率修复可重复，但不是所有维度全面胜出。更高准确率伴随更低目录覆盖和更强热门偏置；未来应在验证集上联合优化 Recall、Coverage、Novelty 和 Diversity。</w:t>
      </w:r>
    </w:p>
    <w:p>
      <w:pPr>
        <w:pStyle w:val="Heading1"/>
      </w:pPr>
      <w:r>
        <w:t>9. 并发压测与容量边界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600"/>
        <w:gridCol w:w="2300"/>
        <w:gridCol w:w="2300"/>
        <w:gridCol w:w="1860"/>
      </w:tblGrid>
      <w:tr>
        <w:trPr>
          <w:tblHeader w:val="true"/>
        </w:trPr>
        <w:tc>
          <w:tcPr>
            <w:tcW w:type="dxa" w:w="1300"/>
            <w:vAlign w:val="center"/>
            <w:shd w:fill="E8EEF5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600"/>
            <w:vAlign w:val="center"/>
            <w:shd w:fill="E8EEF5"/>
          </w:tcPr>
          <w:p>
            <w:r>
              <w:rPr>
                <w:b/>
              </w:rPr>
              <w:t>QPS</w:t>
            </w:r>
          </w:p>
        </w:tc>
        <w:tc>
          <w:tcPr>
            <w:tcW w:type="dxa" w:w="2300"/>
            <w:vAlign w:val="center"/>
            <w:shd w:fill="E8EEF5"/>
          </w:tcPr>
          <w:p>
            <w:r>
              <w:rPr>
                <w:b/>
              </w:rPr>
              <w:t>P95</w:t>
            </w:r>
          </w:p>
        </w:tc>
        <w:tc>
          <w:tcPr>
            <w:tcW w:type="dxa" w:w="2300"/>
            <w:vAlign w:val="center"/>
            <w:shd w:fill="E8EEF5"/>
          </w:tcPr>
          <w:p>
            <w:r>
              <w:rPr>
                <w:b/>
              </w:rPr>
              <w:t>P99</w:t>
            </w:r>
          </w:p>
        </w:tc>
        <w:tc>
          <w:tcPr>
            <w:tcW w:type="dxa" w:w="1860"/>
            <w:vAlign w:val="center"/>
            <w:shd w:fill="E8EEF5"/>
          </w:tcPr>
          <w:p>
            <w:r>
              <w:rPr>
                <w:b/>
              </w:rPr>
              <w:t>错误</w:t>
            </w:r>
          </w:p>
        </w:tc>
      </w:tr>
      <w:tr>
        <w:tc>
          <w:tcPr>
            <w:tcW w:type="dxa" w:w="1300"/>
          </w:tcPr>
          <w:p>
            <w:r>
              <w:t>1</w:t>
            </w:r>
          </w:p>
        </w:tc>
        <w:tc>
          <w:tcPr>
            <w:tcW w:type="dxa" w:w="1600"/>
          </w:tcPr>
          <w:p>
            <w:r>
              <w:t>14.95</w:t>
            </w:r>
          </w:p>
        </w:tc>
        <w:tc>
          <w:tcPr>
            <w:tcW w:type="dxa" w:w="2300"/>
          </w:tcPr>
          <w:p>
            <w:r>
              <w:t>76.58 ms</w:t>
            </w:r>
          </w:p>
        </w:tc>
        <w:tc>
          <w:tcPr>
            <w:tcW w:type="dxa" w:w="2300"/>
          </w:tcPr>
          <w:p>
            <w:r>
              <w:t>83.40 ms</w:t>
            </w:r>
          </w:p>
        </w:tc>
        <w:tc>
          <w:tcPr>
            <w:tcW w:type="dxa" w:w="1860"/>
          </w:tcPr>
          <w:p>
            <w:r>
              <w:t>0</w:t>
            </w:r>
          </w:p>
        </w:tc>
      </w:tr>
      <w:tr>
        <w:tc>
          <w:tcPr>
            <w:tcW w:type="dxa" w:w="1300"/>
          </w:tcPr>
          <w:p>
            <w:r>
              <w:t>5</w:t>
            </w:r>
          </w:p>
        </w:tc>
        <w:tc>
          <w:tcPr>
            <w:tcW w:type="dxa" w:w="1600"/>
          </w:tcPr>
          <w:p>
            <w:r>
              <w:t>12.02</w:t>
            </w:r>
          </w:p>
        </w:tc>
        <w:tc>
          <w:tcPr>
            <w:tcW w:type="dxa" w:w="2300"/>
          </w:tcPr>
          <w:p>
            <w:r>
              <w:t>518.70 ms</w:t>
            </w:r>
          </w:p>
        </w:tc>
        <w:tc>
          <w:tcPr>
            <w:tcW w:type="dxa" w:w="2300"/>
          </w:tcPr>
          <w:p>
            <w:r>
              <w:t>579.79 ms</w:t>
            </w:r>
          </w:p>
        </w:tc>
        <w:tc>
          <w:tcPr>
            <w:tcW w:type="dxa" w:w="1860"/>
          </w:tcPr>
          <w:p>
            <w:r>
              <w:t>0</w:t>
            </w:r>
          </w:p>
        </w:tc>
      </w:tr>
      <w:tr>
        <w:tc>
          <w:tcPr>
            <w:tcW w:type="dxa" w:w="1300"/>
          </w:tcPr>
          <w:p>
            <w:r>
              <w:t>10</w:t>
            </w:r>
          </w:p>
        </w:tc>
        <w:tc>
          <w:tcPr>
            <w:tcW w:type="dxa" w:w="1600"/>
          </w:tcPr>
          <w:p>
            <w:r>
              <w:t>13.95</w:t>
            </w:r>
          </w:p>
        </w:tc>
        <w:tc>
          <w:tcPr>
            <w:tcW w:type="dxa" w:w="2300"/>
          </w:tcPr>
          <w:p>
            <w:r>
              <w:t>1013.48 ms</w:t>
            </w:r>
          </w:p>
        </w:tc>
        <w:tc>
          <w:tcPr>
            <w:tcW w:type="dxa" w:w="2300"/>
          </w:tcPr>
          <w:p>
            <w:r>
              <w:t>1098.82 ms</w:t>
            </w:r>
          </w:p>
        </w:tc>
        <w:tc>
          <w:tcPr>
            <w:tcW w:type="dxa" w:w="1860"/>
          </w:tcPr>
          <w:p>
            <w:r>
              <w:t>0</w:t>
            </w:r>
          </w:p>
        </w:tc>
      </w:tr>
      <w:tr>
        <w:tc>
          <w:tcPr>
            <w:tcW w:type="dxa" w:w="1300"/>
          </w:tcPr>
          <w:p>
            <w:r>
              <w:t>20</w:t>
            </w:r>
          </w:p>
        </w:tc>
        <w:tc>
          <w:tcPr>
            <w:tcW w:type="dxa" w:w="1600"/>
          </w:tcPr>
          <w:p>
            <w:r>
              <w:t>12.63</w:t>
            </w:r>
          </w:p>
        </w:tc>
        <w:tc>
          <w:tcPr>
            <w:tcW w:type="dxa" w:w="2300"/>
          </w:tcPr>
          <w:p>
            <w:r>
              <w:t>2142.06 ms</w:t>
            </w:r>
          </w:p>
        </w:tc>
        <w:tc>
          <w:tcPr>
            <w:tcW w:type="dxa" w:w="2300"/>
          </w:tcPr>
          <w:p>
            <w:r>
              <w:t>2281.96 ms</w:t>
            </w:r>
          </w:p>
        </w:tc>
        <w:tc>
          <w:tcPr>
            <w:tcW w:type="dxa" w:w="1860"/>
          </w:tcPr>
          <w:p>
            <w:r>
              <w:t>0</w:t>
            </w:r>
          </w:p>
        </w:tc>
      </w:tr>
      <w:tr>
        <w:tc>
          <w:tcPr>
            <w:tcW w:type="dxa" w:w="1300"/>
          </w:tcPr>
          <w:p>
            <w:r>
              <w:t>50</w:t>
            </w:r>
          </w:p>
        </w:tc>
        <w:tc>
          <w:tcPr>
            <w:tcW w:type="dxa" w:w="1600"/>
          </w:tcPr>
          <w:p>
            <w:r>
              <w:t>11.44</w:t>
            </w:r>
          </w:p>
        </w:tc>
        <w:tc>
          <w:tcPr>
            <w:tcW w:type="dxa" w:w="2300"/>
          </w:tcPr>
          <w:p>
            <w:r>
              <w:t>8303.33 ms</w:t>
            </w:r>
          </w:p>
        </w:tc>
        <w:tc>
          <w:tcPr>
            <w:tcW w:type="dxa" w:w="2300"/>
          </w:tcPr>
          <w:p>
            <w:r>
              <w:t>8434.39 ms</w:t>
            </w:r>
          </w:p>
        </w:tc>
        <w:tc>
          <w:tcPr>
            <w:tcW w:type="dxa" w:w="1860"/>
          </w:tcPr>
          <w:p>
            <w:r>
              <w:t>0</w:t>
            </w:r>
          </w:p>
        </w:tc>
      </w:tr>
    </w:tbl>
    <w:p>
      <w:pPr>
        <w:spacing w:after="40"/>
      </w:pPr>
    </w:p>
    <w:p>
      <w:r>
        <w:t>环境为单个本地 Uvicorn 进程、无 Redis、100 位已知用户闭环请求。吞吐在约 11–15 QPS 饱和，并发增加时尾延迟迅速放大。零错误说明功能路径稳定，但不能据此宣称生产容量或 SLA。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 单进程并发压测：吞吐平台与尾延迟增长</w:t>
      </w:r>
    </w:p>
    <w:p>
      <w:pPr>
        <w:pStyle w:val="Heading1"/>
      </w:pPr>
      <w:r>
        <w:t>10. 限制与下一步</w:t>
      </w:r>
    </w:p>
    <w:p>
      <w:pPr>
        <w:pStyle w:val="ListBullet"/>
      </w:pPr>
      <w:r>
        <w:t>数据是公开 Amazon Reviews，只有离线反馈，没有曝光日志、线上反馈或 A/B 实验。</w:t>
      </w:r>
    </w:p>
    <w:p>
      <w:pPr>
        <w:pStyle w:val="ListBullet"/>
      </w:pPr>
      <w:r>
        <w:t>内容召回已改善严格冷商品，但 TF-IDF 和分数级 RRF 仍不是联合训练的 Hybrid Item Tower。</w:t>
      </w:r>
    </w:p>
    <w:p>
      <w:pPr>
        <w:pStyle w:val="ListBullet"/>
      </w:pPr>
      <w:r>
        <w:t>静态元数据的历史可用时间无法独立验证；price、avg_rating、rating_number 继续排除。</w:t>
      </w:r>
    </w:p>
    <w:p>
      <w:pPr>
        <w:pStyle w:val="ListBullet"/>
      </w:pPr>
      <w:r>
        <w:t>单进程并发扩展性差；Phase 6 已完成 20/20 parity，并在 AWS 8001 独立测试栈通过容器验收。</w:t>
      </w:r>
    </w:p>
    <w:p>
      <w:pPr>
        <w:pStyle w:val="ListBullet"/>
      </w:pPr>
      <w:r>
        <w:t>下一步应在验证集学习融合权重并重训含内容特征的 ranker，同时加入 novelty/diversity 约束。</w:t>
      </w:r>
    </w:p>
    <w:p>
      <w:pPr>
        <w:pStyle w:val="Heading1"/>
        <w:keepNext/>
      </w:pPr>
      <w:r>
        <w:t>11. 项目定位与简历表述</w:t>
      </w:r>
    </w:p>
    <w:p>
      <w:r>
        <w:t>准确定位：End-to-End Production-Style Two-Stage Recommendation System，可部署、可监控的离线研究原型。它适合用于研究生申请和推荐算法实习，含金量来自失败诊断、防泄漏评估、采样校正、ANN 正确性、排序显著性和可观测 Serving，而不是虚构线上业务收益。</w:t>
      </w:r>
    </w:p>
    <w:p>
      <w:r>
        <w:t>推荐简历表述：Built a leakage-aware two-stage recommender on 197K temporally split interactions; diagnosed in-batch sampling bias with a three-seed logQ ablation, verified exact FAISS retrieval, and added metadata-based content retrieval that improved fixed-budget Candidate Recall@200 from 20.65% to 24.20% while reaching 14.29% Recall@100 on 721 strict-cold users.</w:t>
      </w:r>
    </w:p>
    <w:p>
      <w:r>
        <w:t>面试时应把证据分成三层：第一层是离线研究证据（完整目录 Recall、冷启动差值、bootstrap/McNemar、三种子方向）；第二层是工程证据（模型与数据哈希、FAISS exact match、20/20 parity、并发曲线）；第三层是尚未具备的业务证据（曝光、点击、购买、A/B、CTR/CVR/GMV）。前两层可以明确陈述，第三层必须说明尚不存在。</w:t>
      </w:r>
    </w:p>
    <w:p>
      <w:r>
        <w:t>30 秒中文讲法：我在 19.8 万条公开 Amazon 交互上做了防泄露两阶段推荐，先用多路召回把全目录缩到 200 个候选，再用 LambdaRank 排序。双塔异常低分后，我定位并修复了批内负采样偏差；针对协同模型无法处理的新商品，我通过元数据门禁后加入 TF-IDF 内容召回，在固定候选预算下把测试 Candidate Recall@200 从 20.65% 提升到 24.20%，严格冷用户 Recall@100 达到 14.29%。我还做了全局时间稳健性、三随机种子消融和并发压测，并明确没有把离线结果包装成线上商业收益。</w:t>
      </w:r>
    </w:p>
    <w:sectPr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Two-stage Recommendation System | Final Research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