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360" w:line="240" w:lineRule="auto"/>
      </w:pPr>
      <w:r>
        <w:t xml:space="preserve">Nivel avansat · Specificația celor trei instrumente</w:t>
      </w:r>
    </w:p>
    <w:p>
      <w:pPr>
        <w:spacing w:after="100"/>
        <w:jc w:val="left"/>
      </w:pPr>
      <w:r>
        <w:t xml:space="preserve">Analiză financiară și instrumente AI — varianta avansată · o sesiune de 4 ore, online · audiență mixtă (o parte au făcut nivelul începător) · repo nou, „nivel avansat”</w:t>
      </w:r>
    </w:p>
    <w:p>
      <w:pPr>
        <w:pBdr>
          <w:left w:val="single" w:color="D9720F" w:sz="18" w:space="8"/>
        </w:pBdr>
        <w:shd w:fill="FFF4E6" w:color="auto" w:val="clear"/>
        <w:spacing w:after="40" w:before="40"/>
        <w:ind w:left="200"/>
      </w:pPr>
      <w:r>
        <w:rPr>
          <w:b/>
          <w:bCs/>
          <w:color w:val="162554"/>
          <w:sz w:val="20"/>
          <w:szCs w:val="20"/>
        </w:rPr>
        <w:t xml:space="preserve">Ce s-a schimbat față de nivelul începător.</w:t>
      </w:r>
      <w:r>
        <w:rPr>
          <w:color w:val="162554"/>
          <w:sz w:val="20"/>
          <w:szCs w:val="20"/>
        </w:rPr>
        <w:t xml:space="preserve"> Acolo analizăm </w:t>
      </w:r>
      <w:r>
        <w:rPr>
          <w:i/>
          <w:iCs/>
          <w:color w:val="162554"/>
          <w:sz w:val="20"/>
          <w:szCs w:val="20"/>
        </w:rPr>
        <w:t xml:space="preserve">o</w:t>
      </w:r>
      <w:r>
        <w:rPr>
          <w:color w:val="162554"/>
          <w:sz w:val="20"/>
          <w:szCs w:val="20"/>
        </w:rPr>
        <w:t xml:space="preserve"> companie cu praguri alese de noi. Aici folosim </w:t>
      </w:r>
      <w:r>
        <w:rPr>
          <w:i/>
          <w:iCs/>
          <w:color w:val="162554"/>
          <w:sz w:val="20"/>
          <w:szCs w:val="20"/>
        </w:rPr>
        <w:t xml:space="preserve">populația</w:t>
      </w:r>
      <w:r>
        <w:rPr>
          <w:color w:val="162554"/>
          <w:sz w:val="20"/>
          <w:szCs w:val="20"/>
        </w:rPr>
        <w:t xml:space="preserve">: 1.122.150 de firme, 2023–2025, cu cod CAEN și număr de salariați. Toate cifrele din acest document sunt calculate pe datele reale din index, nu estimate — fiecare secțiune spune ce am verificat și ce nu se confirmă.</w:t>
      </w:r>
    </w:p>
    <w:p>
      <w:r>
        <w:br w:type="page"/>
      </w:r>
    </w:p>
    <w:p>
      <w:pPr>
        <w:pStyle w:val="Heading1"/>
        <w:keepNext/>
        <w:spacing w:after="120" w:before="240" w:line="240" w:lineRule="auto"/>
      </w:pPr>
      <w:r>
        <w:t xml:space="preserve">Ce am verificat în date înainte de a proiecta toolurile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14"/>
        <w:gridCol w:w="3323"/>
        <w:gridCol w:w="3323"/>
      </w:tblGrid>
      <w:tr>
        <w:trPr>
          <w:tblHeader/>
        </w:trPr>
        <w:tc>
          <w:tcPr>
            <w:tcW w:type="dxa" w:w="2714"/>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Verificare</w:t>
            </w:r>
          </w:p>
        </w:tc>
        <w:tc>
          <w:tcPr>
            <w:tcW w:type="dxa" w:w="3323"/>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Rezultat pe cele 1,12 mil. de firme</w:t>
            </w:r>
          </w:p>
        </w:tc>
        <w:tc>
          <w:tcPr>
            <w:tcW w:type="dxa" w:w="3323"/>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Consecință pentru design</w:t>
            </w:r>
          </w:p>
        </w:tc>
      </w:tr>
      <w:tr>
        <w:trPr>
          <w:tblHeader w:val="false"/>
        </w:trPr>
        <w:tc>
          <w:tcPr>
            <w:tcW w:type="dxa" w:w="2714"/>
            <w:tcMar>
              <w:top w:type="dxa" w:w="60"/>
              <w:left w:type="dxa" w:w="90"/>
              <w:bottom w:type="dxa" w:w="60"/>
              <w:right w:type="dxa" w:w="90"/>
            </w:tcMar>
          </w:tcPr>
          <w:p>
            <w:pPr>
              <w:keepNext w:val="false"/>
              <w:spacing w:after="0" w:before="0"/>
            </w:pPr>
            <w:r>
              <w:rPr>
                <w:b w:val="false"/>
                <w:bCs w:val="false"/>
                <w:color w:val="162554"/>
                <w:sz w:val="18"/>
                <w:szCs w:val="18"/>
              </w:rPr>
              <w:t xml:space="preserve">Acoperire</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944.655 depuneri 2023, 968.704 în 2024, 918.334 în 2025; 759.827 de firme cu toți trei anii; 696.458 analizabile în 2025 (active și cifră de afaceri &gt; 0, CAEN valid)</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Suficient pentru statistici pe sector × mărime</w:t>
            </w:r>
          </w:p>
        </w:tc>
      </w:tr>
      <w:tr>
        <w:trPr>
          <w:tblHeader w:val="false"/>
        </w:trPr>
        <w:tc>
          <w:tcPr>
            <w:tcW w:type="dxa" w:w="2714"/>
            <w:tcMar>
              <w:top w:type="dxa" w:w="60"/>
              <w:left w:type="dxa" w:w="90"/>
              <w:bottom w:type="dxa" w:w="60"/>
              <w:right w:type="dxa" w:w="90"/>
            </w:tcMar>
          </w:tcPr>
          <w:p>
            <w:pPr>
              <w:keepNext w:val="false"/>
              <w:spacing w:after="0" w:before="0"/>
            </w:pPr>
            <w:r>
              <w:rPr>
                <w:b w:val="false"/>
                <w:bCs w:val="false"/>
                <w:color w:val="162554"/>
                <w:sz w:val="18"/>
                <w:szCs w:val="18"/>
              </w:rPr>
              <w:t xml:space="preserve">Celule sector × bandă de mărime</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88 de diviziuni CAEN × 4 benzi = 352 de celule; 181 au ≥ 100 de firme și acoperă 99,3 % din firme</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Percentilele se pot calcula onest; celulele mici se marchează, nu se afișează</w:t>
            </w:r>
          </w:p>
        </w:tc>
      </w:tr>
      <w:tr>
        <w:trPr>
          <w:tblHeader w:val="false"/>
        </w:trPr>
        <w:tc>
          <w:tcPr>
            <w:tcW w:type="dxa" w:w="2714"/>
            <w:tcMar>
              <w:top w:type="dxa" w:w="60"/>
              <w:left w:type="dxa" w:w="90"/>
              <w:bottom w:type="dxa" w:w="60"/>
              <w:right w:type="dxa" w:w="90"/>
            </w:tcMar>
          </w:tcPr>
          <w:p>
            <w:pPr>
              <w:keepNext w:val="false"/>
              <w:spacing w:after="0" w:before="0"/>
            </w:pPr>
            <w:r>
              <w:rPr>
                <w:b w:val="false"/>
                <w:bCs w:val="false"/>
                <w:color w:val="162554"/>
                <w:sz w:val="18"/>
                <w:szCs w:val="18"/>
              </w:rPr>
              <w:t xml:space="preserve">Model PD, eveniment compus în 2025</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bază 500.483 firme cu variabile complete, rata evenimentului 15,0 %; AUC pe holdout: regresie logistică 0,669, model neliniar de referință 0,731, Altman Z'' 0,602, scorecardul de la nivelul începător 0,651</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Modelul bate scorecardul, dar nu spectaculos — exact mesajul care trebuie</w:t>
            </w:r>
          </w:p>
        </w:tc>
      </w:tr>
      <w:tr>
        <w:trPr>
          <w:tblHeader w:val="false"/>
        </w:trPr>
        <w:tc>
          <w:tcPr>
            <w:tcW w:type="dxa" w:w="2714"/>
            <w:tcMar>
              <w:top w:type="dxa" w:w="60"/>
              <w:left w:type="dxa" w:w="90"/>
              <w:bottom w:type="dxa" w:w="60"/>
              <w:right w:type="dxa" w:w="90"/>
            </w:tcMar>
          </w:tcPr>
          <w:p>
            <w:pPr>
              <w:keepNext w:val="false"/>
              <w:spacing w:after="0" w:before="0"/>
            </w:pPr>
            <w:r>
              <w:rPr>
                <w:b w:val="false"/>
                <w:bCs w:val="false"/>
                <w:color w:val="162554"/>
                <w:sz w:val="18"/>
                <w:szCs w:val="18"/>
              </w:rPr>
              <w:t xml:space="preserve">Sensibilitatea la definiția etichetei</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AUC se mișcă între 0,603 și 0,948 </w:t>
            </w:r>
            <w:r>
              <w:rPr>
                <w:b w:val="false"/>
                <w:bCs w:val="false"/>
                <w:color w:val="162554"/>
                <w:sz w:val="18"/>
                <w:szCs w:val="18"/>
              </w:rPr>
              <w:t xml:space="preserve">doar</w:t>
            </w:r>
            <w:r>
              <w:rPr>
                <w:b w:val="false"/>
                <w:bCs w:val="false"/>
                <w:color w:val="162554"/>
                <w:sz w:val="18"/>
                <w:szCs w:val="18"/>
              </w:rPr>
              <w:t xml:space="preserve"> schimbând definiția evenimentului, cu același algoritm și aceleași variabile</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Aici e lecția centrală a atelierului, nu în algoritm</w:t>
            </w:r>
          </w:p>
        </w:tc>
      </w:tr>
      <w:tr>
        <w:trPr>
          <w:tblHeader w:val="false"/>
        </w:trPr>
        <w:tc>
          <w:tcPr>
            <w:tcW w:type="dxa" w:w="2714"/>
            <w:tcMar>
              <w:top w:type="dxa" w:w="60"/>
              <w:left w:type="dxa" w:w="90"/>
              <w:bottom w:type="dxa" w:w="60"/>
              <w:right w:type="dxa" w:w="90"/>
            </w:tcMar>
          </w:tcPr>
          <w:p>
            <w:pPr>
              <w:keepNext w:val="false"/>
              <w:spacing w:after="0" w:before="0"/>
            </w:pPr>
            <w:r>
              <w:rPr>
                <w:b w:val="false"/>
                <w:bCs w:val="false"/>
                <w:color w:val="162554"/>
                <w:sz w:val="18"/>
                <w:szCs w:val="18"/>
              </w:rPr>
              <w:t xml:space="preserve">Identități contabile</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11 bilanțuri din 891.727 nu se închid la o toleranță de 0,5 %, 14 la o toleranță de 100 lei, 6.911 la toleranță de un leu; 0 inconsistențe între venituri-cheltuieli și rezultat brut</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Ipoteza mea din discuția anterioară cade:</w:t>
            </w:r>
            <w:r>
              <w:rPr>
                <w:b w:val="false"/>
                <w:bCs w:val="false"/>
                <w:color w:val="162554"/>
                <w:sz w:val="18"/>
                <w:szCs w:val="18"/>
              </w:rPr>
              <w:t xml:space="preserve"> depunerile sunt validate electronic, iar discrepanțele rămase sunt de ordinul rotunjirii, nu al erorii contabile</w:t>
            </w:r>
          </w:p>
        </w:tc>
      </w:tr>
      <w:tr>
        <w:trPr>
          <w:tblHeader w:val="false"/>
        </w:trPr>
        <w:tc>
          <w:tcPr>
            <w:tcW w:type="dxa" w:w="2714"/>
            <w:tcMar>
              <w:top w:type="dxa" w:w="60"/>
              <w:left w:type="dxa" w:w="90"/>
              <w:bottom w:type="dxa" w:w="60"/>
              <w:right w:type="dxa" w:w="90"/>
            </w:tcMar>
          </w:tcPr>
          <w:p>
            <w:pPr>
              <w:keepNext w:val="false"/>
              <w:spacing w:after="0" w:before="0"/>
            </w:pPr>
            <w:r>
              <w:rPr>
                <w:b w:val="false"/>
                <w:bCs w:val="false"/>
                <w:color w:val="162554"/>
                <w:sz w:val="18"/>
                <w:szCs w:val="18"/>
              </w:rPr>
              <w:t xml:space="preserve">Verificări de plauzibilitate</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24.291 de firme (2,72 %) raportează valori negative imposibile; 1.801 au cifră de afaceri peste 5 mil. lei cu zero salariați; 295 au rezultat net mai mare decât cel brut</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Rămâne un panou util, dar mic — se prezintă ca „igienă de date”, nu ca detecție de fraudă</w:t>
            </w:r>
          </w:p>
        </w:tc>
      </w:tr>
      <w:tr>
        <w:trPr>
          <w:tblHeader w:val="false"/>
        </w:trPr>
        <w:tc>
          <w:tcPr>
            <w:tcW w:type="dxa" w:w="2714"/>
            <w:tcMar>
              <w:top w:type="dxa" w:w="60"/>
              <w:left w:type="dxa" w:w="90"/>
              <w:bottom w:type="dxa" w:w="60"/>
              <w:right w:type="dxa" w:w="90"/>
            </w:tcMar>
          </w:tcPr>
          <w:p>
            <w:pPr>
              <w:keepNext w:val="false"/>
              <w:spacing w:after="0" w:before="0"/>
            </w:pPr>
            <w:r>
              <w:rPr>
                <w:b w:val="false"/>
                <w:bCs w:val="false"/>
                <w:color w:val="162554"/>
                <w:sz w:val="18"/>
                <w:szCs w:val="18"/>
              </w:rPr>
              <w:t xml:space="preserve">Benford, prima cifră</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6.978.640 de valori raportate; MAD global 0,0038 = conformitate strânsă (prag Nigrini 0,006)</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Pe date validate, Benford </w:t>
            </w:r>
            <w:r>
              <w:rPr>
                <w:b w:val="false"/>
                <w:bCs w:val="false"/>
                <w:color w:val="162554"/>
                <w:sz w:val="18"/>
                <w:szCs w:val="18"/>
              </w:rPr>
              <w:t xml:space="preserve">nu</w:t>
            </w:r>
            <w:r>
              <w:rPr>
                <w:b w:val="false"/>
                <w:bCs w:val="false"/>
                <w:color w:val="162554"/>
                <w:sz w:val="18"/>
                <w:szCs w:val="18"/>
              </w:rPr>
              <w:t xml:space="preserve"> găsește nimic la nivel global — și asta e lecția</w:t>
            </w:r>
          </w:p>
        </w:tc>
      </w:tr>
      <w:tr>
        <w:trPr>
          <w:tblHeader w:val="false"/>
        </w:trPr>
        <w:tc>
          <w:tcPr>
            <w:tcW w:type="dxa" w:w="2714"/>
            <w:tcMar>
              <w:top w:type="dxa" w:w="60"/>
              <w:left w:type="dxa" w:w="90"/>
              <w:bottom w:type="dxa" w:w="60"/>
              <w:right w:type="dxa" w:w="90"/>
            </w:tcMar>
          </w:tcPr>
          <w:p>
            <w:pPr>
              <w:keepNext w:val="false"/>
              <w:spacing w:after="0" w:before="0"/>
            </w:pPr>
            <w:r>
              <w:rPr>
                <w:b w:val="false"/>
                <w:bCs w:val="false"/>
                <w:color w:val="162554"/>
                <w:sz w:val="18"/>
                <w:szCs w:val="18"/>
              </w:rPr>
              <w:t xml:space="preserve">Cifre rotunde</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Cifra de afaceri multiplu exact de 1.000 la 2,04 % din firme (aleator: 0,10 %), de 100.000 la 0,05 % (aleator: 0,001 %)</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Semnal real, de 20× peste aleator, dar concentrat la microîntreprinderi</w:t>
            </w:r>
          </w:p>
        </w:tc>
      </w:tr>
      <w:tr>
        <w:trPr>
          <w:tblHeader w:val="false"/>
        </w:trPr>
        <w:tc>
          <w:tcPr>
            <w:tcW w:type="dxa" w:w="2714"/>
            <w:tcMar>
              <w:top w:type="dxa" w:w="60"/>
              <w:left w:type="dxa" w:w="90"/>
              <w:bottom w:type="dxa" w:w="60"/>
              <w:right w:type="dxa" w:w="90"/>
            </w:tcMar>
          </w:tcPr>
          <w:p>
            <w:pPr>
              <w:keepNext w:val="false"/>
              <w:spacing w:after="0" w:before="0"/>
            </w:pPr>
            <w:r>
              <w:rPr>
                <w:b w:val="false"/>
                <w:bCs w:val="false"/>
                <w:color w:val="162554"/>
                <w:sz w:val="18"/>
                <w:szCs w:val="18"/>
              </w:rPr>
              <w:t xml:space="preserve">Discontinuitatea la zero (Burgstahler-Dichev)</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21.918 de firme raportează profit în intervalul 0…+1 % din active, față de 3.761 în intervalul −1…0 %: </w:t>
            </w:r>
            <w:r>
              <w:rPr>
                <w:b w:val="false"/>
                <w:bCs w:val="false"/>
                <w:color w:val="162554"/>
                <w:sz w:val="18"/>
                <w:szCs w:val="18"/>
              </w:rPr>
              <w:t xml:space="preserve">raport 5,83×</w:t>
            </w:r>
            <w:r>
              <w:rPr>
                <w:b w:val="false"/>
                <w:bCs w:val="false"/>
                <w:color w:val="162554"/>
                <w:sz w:val="18"/>
                <w:szCs w:val="18"/>
              </w:rPr>
              <w:t xml:space="preserve">, cu un deficit de 58 % de pierderi mici față de interpolarea vecinilor; stabil pe toți trei anii (5,70× / 5,44× / 5,83×)</w:t>
            </w:r>
          </w:p>
        </w:tc>
        <w:tc>
          <w:tcPr>
            <w:tcW w:type="dxa" w:w="3323"/>
            <w:tcMar>
              <w:top w:type="dxa" w:w="60"/>
              <w:left w:type="dxa" w:w="90"/>
              <w:bottom w:type="dxa" w:w="60"/>
              <w:right w:type="dxa" w:w="90"/>
            </w:tcMar>
          </w:tcPr>
          <w:p>
            <w:pPr>
              <w:keepNext w:val="false"/>
              <w:spacing w:after="0" w:before="0"/>
            </w:pPr>
            <w:r>
              <w:rPr>
                <w:b w:val="false"/>
                <w:bCs w:val="false"/>
                <w:color w:val="162554"/>
                <w:sz w:val="18"/>
                <w:szCs w:val="18"/>
              </w:rPr>
              <w:t xml:space="preserve">Cea mai puternică constatare din date.</w:t>
            </w:r>
            <w:r>
              <w:rPr>
                <w:b w:val="false"/>
                <w:bCs w:val="false"/>
                <w:color w:val="162554"/>
                <w:sz w:val="18"/>
                <w:szCs w:val="18"/>
              </w:rPr>
              <w:t xml:space="preserve"> Devine piesa centrală a toolului 3</w:t>
            </w:r>
          </w:p>
        </w:tc>
      </w:tr>
    </w:tbl>
    <w:p>
      <w:pPr>
        <w:spacing w:after="80"/>
      </w:pPr>
    </w:p>
    <w:p>
      <w:pPr>
        <w:spacing w:after="100"/>
        <w:jc w:val="left"/>
      </w:pPr>
      <w:r>
        <w:t xml:space="preserve">Două concluzii de proiectare din tabel. Prima: pitch-ul „scoatem firmele cu raportări greșite din 1,12 milioane” nu ține — aritmetica e curată pentru că ANAF o validează la depunere. A doua: ce </w:t>
      </w:r>
      <w:r>
        <w:rPr>
          <w:i/>
          <w:iCs/>
        </w:rPr>
        <w:t xml:space="preserve">se</w:t>
      </w:r>
      <w:r>
        <w:t xml:space="preserve"> vede în date nu e eroare, e </w:t>
      </w:r>
      <w:r>
        <w:rPr>
          <w:b/>
          <w:bCs/>
        </w:rPr>
        <w:t xml:space="preserve">comportament</w:t>
      </w:r>
      <w:r>
        <w:t xml:space="preserve"> — firmele evită sistematic să raporteze pierderi mici, iar asta se vede masiv, stabil și diferențiat pe sectoare. Al treilea tool se construiește pe constatarea asta, nu pe Benford.</w:t>
      </w:r>
    </w:p>
    <w:p>
      <w:r>
        <w:br w:type="page"/>
      </w:r>
    </w:p>
    <w:p>
      <w:pPr>
        <w:pStyle w:val="Title"/>
        <w:keepNext/>
        <w:spacing w:after="120" w:before="360" w:line="240" w:lineRule="auto"/>
      </w:pPr>
      <w:r>
        <w:t xml:space="preserve">Toolul 1 · Laboratorul de model: de la scorecard la PD</w:t>
      </w:r>
    </w:p>
    <w:p>
      <w:pPr>
        <w:spacing w:after="100"/>
        <w:jc w:val="left"/>
      </w:pPr>
      <w:r>
        <w:rPr>
          <w:b/>
          <w:bCs/>
        </w:rPr>
        <w:t xml:space="preserve">Ce este.</w:t>
      </w:r>
      <w:r>
        <w:t xml:space="preserve"> Participantul antrenează, în browser, propriul model de probabilitate de default pe firme reale românești: alege definiția evenimentului, alege variabilele, apasă „Antrenează”, primește AUC, curba ROC, coeficienții și calibrarea pe decile — apoi aplică modelul pe compania lui și compară cu clasa dată de scorecardul manual de la nivelul începător.</w:t>
      </w:r>
    </w:p>
    <w:p>
      <w:pPr>
        <w:spacing w:after="100"/>
        <w:jc w:val="left"/>
      </w:pPr>
      <w:r>
        <w:rPr>
          <w:b/>
          <w:bCs/>
        </w:rPr>
        <w:t xml:space="preserve">De ce merită două ore.</w:t>
      </w:r>
      <w:r>
        <w:t xml:space="preserve"> Nu ca să învețe regresia logistică, ci ca să trăiască trei lucruri pe care nicio prezentare nu le transmite: că definiția etichetei contează mai mult decât algoritmul, că un model cu AUC bun poate avea coeficienți economic absurzi, și că discriminarea și calibrarea sunt două lucruri diferite.</w:t>
      </w:r>
    </w:p>
    <w:p>
      <w:pPr>
        <w:pStyle w:val="Heading1"/>
        <w:keepNext/>
        <w:spacing w:after="120" w:before="240" w:line="240" w:lineRule="auto"/>
      </w:pPr>
      <w:r>
        <w:t xml:space="preserve">Ecrane și controale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2"/>
        <w:gridCol w:w="3769"/>
        <w:gridCol w:w="3769"/>
      </w:tblGrid>
      <w:tr>
        <w:trPr>
          <w:tblHeader/>
        </w:trPr>
        <w:tc>
          <w:tcPr>
            <w:tcW w:type="dxa" w:w="1822"/>
            <w:shd w:fill="EDF3FF" w:color="auto" w:val="clear"/>
            <w:tcMar>
              <w:top w:type="dxa" w:w="60"/>
              <w:left w:type="dxa" w:w="90"/>
              <w:bottom w:type="dxa" w:w="60"/>
              <w:right w:type="dxa" w:w="90"/>
            </w:tcMar>
          </w:tcPr>
          <w:p>
            <w:pPr>
              <w:keepNext/>
              <w:spacing w:after="0" w:before="0"/>
            </w:pPr>
            <w:r>
              <w:rPr>
                <w:b/>
                <w:bCs/>
                <w:color w:val="1A35A8"/>
                <w:sz w:val="18"/>
                <w:szCs w:val="18"/>
              </w:rPr>
              <w:t xml:space="preserve">Panou</w:t>
            </w:r>
          </w:p>
        </w:tc>
        <w:tc>
          <w:tcPr>
            <w:tcW w:type="dxa" w:w="3769"/>
            <w:shd w:fill="EDF3FF" w:color="auto" w:val="clear"/>
            <w:tcMar>
              <w:top w:type="dxa" w:w="60"/>
              <w:left w:type="dxa" w:w="90"/>
              <w:bottom w:type="dxa" w:w="60"/>
              <w:right w:type="dxa" w:w="90"/>
            </w:tcMar>
          </w:tcPr>
          <w:p>
            <w:pPr>
              <w:keepNext/>
              <w:spacing w:after="0" w:before="0"/>
            </w:pPr>
            <w:r>
              <w:rPr>
                <w:b/>
                <w:bCs/>
                <w:color w:val="1A35A8"/>
                <w:sz w:val="18"/>
                <w:szCs w:val="18"/>
              </w:rPr>
              <w:t xml:space="preserve">Conținut</w:t>
            </w:r>
          </w:p>
        </w:tc>
        <w:tc>
          <w:tcPr>
            <w:tcW w:type="dxa" w:w="3769"/>
            <w:shd w:fill="EDF3FF" w:color="auto" w:val="clear"/>
            <w:tcMar>
              <w:top w:type="dxa" w:w="60"/>
              <w:left w:type="dxa" w:w="90"/>
              <w:bottom w:type="dxa" w:w="60"/>
              <w:right w:type="dxa" w:w="90"/>
            </w:tcMar>
          </w:tcPr>
          <w:p>
            <w:pPr>
              <w:keepNext/>
              <w:spacing w:after="0" w:before="0"/>
            </w:pPr>
            <w:r>
              <w:rPr>
                <w:b/>
                <w:bCs/>
                <w:color w:val="1A35A8"/>
                <w:sz w:val="18"/>
                <w:szCs w:val="18"/>
              </w:rPr>
              <w:t xml:space="preserve">Controale</w:t>
            </w:r>
          </w:p>
        </w:tc>
      </w:tr>
      <w:tr>
        <w:trPr>
          <w:tblHeader w:val="false"/>
        </w:trPr>
        <w:tc>
          <w:tcPr>
            <w:tcW w:type="dxa" w:w="1822"/>
            <w:tcMar>
              <w:top w:type="dxa" w:w="60"/>
              <w:left w:type="dxa" w:w="90"/>
              <w:bottom w:type="dxa" w:w="60"/>
              <w:right w:type="dxa" w:w="90"/>
            </w:tcMar>
          </w:tcPr>
          <w:p>
            <w:pPr>
              <w:keepNext/>
              <w:spacing w:after="0" w:before="0"/>
            </w:pPr>
            <w:r>
              <w:rPr>
                <w:b w:val="false"/>
                <w:bCs w:val="false"/>
                <w:color w:val="162554"/>
                <w:sz w:val="18"/>
                <w:szCs w:val="18"/>
              </w:rPr>
              <w:t xml:space="preserve">1 · Constructorul de etichetă</w:t>
            </w:r>
          </w:p>
        </w:tc>
        <w:tc>
          <w:tcPr>
            <w:tcW w:type="dxa" w:w="3769"/>
            <w:tcMar>
              <w:top w:type="dxa" w:w="60"/>
              <w:left w:type="dxa" w:w="90"/>
              <w:bottom w:type="dxa" w:w="60"/>
              <w:right w:type="dxa" w:w="90"/>
            </w:tcMar>
          </w:tcPr>
          <w:p>
            <w:pPr>
              <w:keepNext/>
              <w:spacing w:after="0" w:before="0"/>
            </w:pPr>
            <w:r>
              <w:rPr>
                <w:b w:val="false"/>
                <w:bCs w:val="false"/>
                <w:color w:val="162554"/>
                <w:sz w:val="18"/>
                <w:szCs w:val="18"/>
              </w:rPr>
              <w:t xml:space="preserve">Cele cinci definiții de eveniment, cu rata de bază recalculată live pe populație și explicația fiecăreia</w:t>
            </w:r>
          </w:p>
        </w:tc>
        <w:tc>
          <w:tcPr>
            <w:tcW w:type="dxa" w:w="3769"/>
            <w:tcMar>
              <w:top w:type="dxa" w:w="60"/>
              <w:left w:type="dxa" w:w="90"/>
              <w:bottom w:type="dxa" w:w="60"/>
              <w:right w:type="dxa" w:w="90"/>
            </w:tcMar>
          </w:tcPr>
          <w:p>
            <w:pPr>
              <w:keepNext/>
              <w:spacing w:after="0" w:before="0"/>
            </w:pPr>
            <w:r>
              <w:rPr>
                <w:b w:val="false"/>
                <w:bCs w:val="false"/>
                <w:color w:val="162554"/>
                <w:sz w:val="18"/>
                <w:szCs w:val="18"/>
              </w:rPr>
              <w:t xml:space="preserve">Selecție între cele cinci definiții, cu rata de bază și numărul de firme afișate pentru fiecare</w:t>
            </w:r>
          </w:p>
        </w:tc>
      </w:tr>
      <w:tr>
        <w:trPr>
          <w:tblHeader w:val="false"/>
        </w:trPr>
        <w:tc>
          <w:tcPr>
            <w:tcW w:type="dxa" w:w="1822"/>
            <w:tcMar>
              <w:top w:type="dxa" w:w="60"/>
              <w:left w:type="dxa" w:w="90"/>
              <w:bottom w:type="dxa" w:w="60"/>
              <w:right w:type="dxa" w:w="90"/>
            </w:tcMar>
          </w:tcPr>
          <w:p>
            <w:pPr>
              <w:keepNext/>
              <w:spacing w:after="0" w:before="0"/>
            </w:pPr>
            <w:r>
              <w:rPr>
                <w:b w:val="false"/>
                <w:bCs w:val="false"/>
                <w:color w:val="162554"/>
                <w:sz w:val="18"/>
                <w:szCs w:val="18"/>
              </w:rPr>
              <w:t xml:space="preserve">2 · Selectorul de variabile</w:t>
            </w:r>
          </w:p>
        </w:tc>
        <w:tc>
          <w:tcPr>
            <w:tcW w:type="dxa" w:w="3769"/>
            <w:tcMar>
              <w:top w:type="dxa" w:w="60"/>
              <w:left w:type="dxa" w:w="90"/>
              <w:bottom w:type="dxa" w:w="60"/>
              <w:right w:type="dxa" w:w="90"/>
            </w:tcMar>
          </w:tcPr>
          <w:p>
            <w:pPr>
              <w:keepNext/>
              <w:spacing w:after="0" w:before="0"/>
            </w:pPr>
            <w:r>
              <w:rPr>
                <w:b w:val="false"/>
                <w:bCs w:val="false"/>
                <w:color w:val="162554"/>
                <w:sz w:val="18"/>
                <w:szCs w:val="18"/>
              </w:rPr>
              <w:t xml:space="preserve">Cele 12 rate candidate, cu matricea de corelație și avertisment la corelații peste 0,8</w:t>
            </w:r>
          </w:p>
        </w:tc>
        <w:tc>
          <w:tcPr>
            <w:tcW w:type="dxa" w:w="3769"/>
            <w:tcMar>
              <w:top w:type="dxa" w:w="60"/>
              <w:left w:type="dxa" w:w="90"/>
              <w:bottom w:type="dxa" w:w="60"/>
              <w:right w:type="dxa" w:w="90"/>
            </w:tcMar>
          </w:tcPr>
          <w:p>
            <w:pPr>
              <w:keepNext/>
              <w:spacing w:after="0" w:before="0"/>
            </w:pPr>
            <w:r>
              <w:rPr>
                <w:b w:val="false"/>
                <w:bCs w:val="false"/>
                <w:color w:val="162554"/>
                <w:sz w:val="18"/>
                <w:szCs w:val="18"/>
              </w:rPr>
              <w:t xml:space="preserve">Casete pentru fiecare variabilă; butoane „toate” și „doar cele din scorecardul nivelului începător”</w:t>
            </w:r>
          </w:p>
        </w:tc>
      </w:tr>
      <w:tr>
        <w:trPr>
          <w:tblHeader w:val="false"/>
        </w:trPr>
        <w:tc>
          <w:tcPr>
            <w:tcW w:type="dxa" w:w="1822"/>
            <w:tcMar>
              <w:top w:type="dxa" w:w="60"/>
              <w:left w:type="dxa" w:w="90"/>
              <w:bottom w:type="dxa" w:w="60"/>
              <w:right w:type="dxa" w:w="90"/>
            </w:tcMar>
          </w:tcPr>
          <w:p>
            <w:pPr>
              <w:keepNext/>
              <w:spacing w:after="0" w:before="0"/>
            </w:pPr>
            <w:r>
              <w:rPr>
                <w:b w:val="false"/>
                <w:bCs w:val="false"/>
                <w:color w:val="162554"/>
                <w:sz w:val="18"/>
                <w:szCs w:val="18"/>
              </w:rPr>
              <w:t xml:space="preserve">3 · Antrenare și diagnostic</w:t>
            </w:r>
          </w:p>
        </w:tc>
        <w:tc>
          <w:tcPr>
            <w:tcW w:type="dxa" w:w="3769"/>
            <w:tcMar>
              <w:top w:type="dxa" w:w="60"/>
              <w:left w:type="dxa" w:w="90"/>
              <w:bottom w:type="dxa" w:w="60"/>
              <w:right w:type="dxa" w:w="90"/>
            </w:tcMar>
          </w:tcPr>
          <w:p>
            <w:pPr>
              <w:keepNext/>
              <w:spacing w:after="0" w:before="0"/>
            </w:pPr>
            <w:r>
              <w:rPr>
                <w:b w:val="false"/>
                <w:bCs w:val="false"/>
                <w:color w:val="162554"/>
                <w:sz w:val="18"/>
                <w:szCs w:val="18"/>
              </w:rPr>
              <w:t xml:space="preserve">Curba ROC cu AUC, tabelul de coeficienți cu semnul și avertisment „semn contraintuitiv”, calibrarea pe decile (prezis vs observat), curba de referință a unui model neliniar pre-antrenat</w:t>
            </w:r>
          </w:p>
        </w:tc>
        <w:tc>
          <w:tcPr>
            <w:tcW w:type="dxa" w:w="3769"/>
            <w:tcMar>
              <w:top w:type="dxa" w:w="60"/>
              <w:left w:type="dxa" w:w="90"/>
              <w:bottom w:type="dxa" w:w="60"/>
              <w:right w:type="dxa" w:w="90"/>
            </w:tcMar>
          </w:tcPr>
          <w:p>
            <w:pPr>
              <w:keepNext/>
              <w:spacing w:after="0" w:before="0"/>
            </w:pPr>
            <w:r>
              <w:rPr>
                <w:b w:val="false"/>
                <w:bCs w:val="false"/>
                <w:color w:val="162554"/>
                <w:sz w:val="18"/>
                <w:szCs w:val="18"/>
              </w:rPr>
              <w:t xml:space="preserve">Buton Antrenează, cursor pentru regularizare L2, selector de sector pentru restrângerea antrenării, export CSV al rezultatelor</w:t>
            </w:r>
          </w:p>
        </w:tc>
      </w:tr>
      <w:tr>
        <w:trPr>
          <w:tblHeader w:val="false"/>
        </w:trPr>
        <w:tc>
          <w:tcPr>
            <w:tcW w:type="dxa" w:w="1822"/>
            <w:tcMar>
              <w:top w:type="dxa" w:w="60"/>
              <w:left w:type="dxa" w:w="90"/>
              <w:bottom w:type="dxa" w:w="60"/>
              <w:right w:type="dxa" w:w="90"/>
            </w:tcMar>
          </w:tcPr>
          <w:p>
            <w:pPr>
              <w:keepNext w:val="false"/>
              <w:spacing w:after="0" w:before="0"/>
            </w:pPr>
            <w:r>
              <w:rPr>
                <w:b w:val="false"/>
                <w:bCs w:val="false"/>
                <w:color w:val="162554"/>
                <w:sz w:val="18"/>
                <w:szCs w:val="18"/>
              </w:rPr>
              <w:t xml:space="preserve">4 · Aplică pe o companie</w:t>
            </w:r>
          </w:p>
        </w:tc>
        <w:tc>
          <w:tcPr>
            <w:tcW w:type="dxa" w:w="3769"/>
            <w:tcMar>
              <w:top w:type="dxa" w:w="60"/>
              <w:left w:type="dxa" w:w="90"/>
              <w:bottom w:type="dxa" w:w="60"/>
              <w:right w:type="dxa" w:w="90"/>
            </w:tcMar>
          </w:tcPr>
          <w:p>
            <w:pPr>
              <w:keepNext w:val="false"/>
              <w:spacing w:after="0" w:before="0"/>
            </w:pPr>
            <w:r>
              <w:rPr>
                <w:b w:val="false"/>
                <w:bCs w:val="false"/>
                <w:color w:val="162554"/>
                <w:sz w:val="18"/>
                <w:szCs w:val="18"/>
              </w:rPr>
              <w:t xml:space="preserve">Căutare după CUI: PD-ul modelului antrenat, percentila în eșantion, PD-ul modelului de referință și contribuția fiecărei variabile la scorul firmei</w:t>
            </w:r>
          </w:p>
        </w:tc>
        <w:tc>
          <w:tcPr>
            <w:tcW w:type="dxa" w:w="3769"/>
            <w:tcMar>
              <w:top w:type="dxa" w:w="60"/>
              <w:left w:type="dxa" w:w="90"/>
              <w:bottom w:type="dxa" w:w="60"/>
              <w:right w:type="dxa" w:w="90"/>
            </w:tcMar>
          </w:tcPr>
          <w:p>
            <w:pPr>
              <w:keepNext w:val="false"/>
              <w:spacing w:after="0" w:before="0"/>
            </w:pPr>
            <w:r>
              <w:rPr>
                <w:b w:val="false"/>
                <w:bCs w:val="false"/>
                <w:color w:val="162554"/>
                <w:sz w:val="18"/>
                <w:szCs w:val="18"/>
              </w:rPr>
              <w:t xml:space="preserve">Câmp CUI și listă de companii demo</w:t>
            </w:r>
          </w:p>
        </w:tc>
      </w:tr>
    </w:tbl>
    <w:p>
      <w:pPr>
        <w:spacing w:after="80"/>
      </w:pPr>
    </w:p>
    <w:p>
      <w:pPr>
        <w:pStyle w:val="Heading1"/>
        <w:keepNext/>
        <w:spacing w:after="120" w:before="240" w:line="240" w:lineRule="auto"/>
      </w:pPr>
      <w:r>
        <w:t xml:space="preserve">Mecanica</w:t>
      </w:r>
    </w:p>
    <w:p>
      <w:pPr>
        <w:spacing w:after="100"/>
        <w:jc w:val="left"/>
      </w:pPr>
      <w:r>
        <w:t xml:space="preserve">Variabilele se calculează din </w:t>
      </w:r>
      <w:r>
        <w:rPr>
          <w:b/>
          <w:bCs/>
        </w:rPr>
        <w:t xml:space="preserve">2024</w:t>
      </w:r>
      <w:r>
        <w:t xml:space="preserve"> (nivel) plus dinamica 2023 → 2024, iar evenimentul se observă în </w:t>
      </w:r>
      <w:r>
        <w:rPr>
          <w:b/>
          <w:bCs/>
        </w:rPr>
        <w:t xml:space="preserve">2025</w:t>
      </w:r>
      <w:r>
        <w:t xml:space="preserve"> — exact situația analistului, care are situațiile până în anul t și decide pentru t+1. Fără suprapunere între fereastra variabilelor și fereastra evenimentului. Datele de antrenare se livrează ca fișier binar precalculat (eșantion aleator de 120.000 de firme × 12 variabile, 4,3 MB comprimat); winsorizare la percentilele 1 și 99, standardizare, regresie logistică antrenată în browser cu gradient descendent. Modelul neliniar (gradient boosting) </w:t>
      </w:r>
      <w:r>
        <w:rPr>
          <w:b/>
          <w:bCs/>
        </w:rPr>
        <w:t xml:space="preserve">nu</w:t>
      </w:r>
      <w:r>
        <w:t xml:space="preserve"> se antrenează în browser — se livrează scorurile lui precalculate, ca linie de referință; altfel toolul devine un proiect de inginerie, nu un instrument didactic.</w:t>
      </w:r>
    </w:p>
    <w:p>
      <w:pPr>
        <w:pStyle w:val="Heading1"/>
        <w:keepNext/>
        <w:spacing w:after="120" w:before="240" w:line="240" w:lineRule="auto"/>
      </w:pPr>
      <w:r>
        <w:t xml:space="preserve">Exercițiul 1 · Eticheta decide modelul (15 minute)</w:t>
      </w:r>
    </w:p>
    <w:p>
      <w:pPr>
        <w:spacing w:after="100"/>
        <w:jc w:val="left"/>
      </w:pPr>
      <w:r>
        <w:t xml:space="preserve">Participantul rulează cele cinci definiții, una câte una, și completează tabelul. Rezultatele pe care le va obține, verificate de mine pe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2"/>
        <w:gridCol w:w="985"/>
        <w:gridCol w:w="1806"/>
        <w:gridCol w:w="1807"/>
      </w:tblGrid>
      <w:tr>
        <w:trPr>
          <w:tblHeader/>
        </w:trPr>
        <w:tc>
          <w:tcPr>
            <w:tcW w:type="dxa" w:w="4762"/>
            <w:shd w:fill="EDF3FF" w:color="auto" w:val="clear"/>
            <w:tcMar>
              <w:top w:type="dxa" w:w="60"/>
              <w:left w:type="dxa" w:w="90"/>
              <w:bottom w:type="dxa" w:w="60"/>
              <w:right w:type="dxa" w:w="90"/>
            </w:tcMar>
          </w:tcPr>
          <w:p>
            <w:pPr>
              <w:keepNext/>
              <w:spacing w:after="0" w:before="0"/>
            </w:pPr>
            <w:r>
              <w:rPr>
                <w:b/>
                <w:bCs/>
                <w:color w:val="1A35A8"/>
                <w:sz w:val="18"/>
                <w:szCs w:val="18"/>
              </w:rPr>
              <w:t xml:space="preserve">Definiția evenimentului în 2025</w:t>
            </w:r>
          </w:p>
        </w:tc>
        <w:tc>
          <w:tcPr>
            <w:tcW w:type="dxa" w:w="985"/>
            <w:shd w:fill="EDF3FF" w:color="auto" w:val="clear"/>
            <w:tcMar>
              <w:top w:type="dxa" w:w="60"/>
              <w:left w:type="dxa" w:w="90"/>
              <w:bottom w:type="dxa" w:w="60"/>
              <w:right w:type="dxa" w:w="90"/>
            </w:tcMar>
          </w:tcPr>
          <w:p>
            <w:pPr>
              <w:keepNext/>
              <w:spacing w:after="0" w:before="0"/>
            </w:pPr>
            <w:r>
              <w:rPr>
                <w:b/>
                <w:bCs/>
                <w:color w:val="1A35A8"/>
                <w:sz w:val="18"/>
                <w:szCs w:val="18"/>
              </w:rPr>
              <w:t xml:space="preserve">Rata de bază</w:t>
            </w:r>
          </w:p>
        </w:tc>
        <w:tc>
          <w:tcPr>
            <w:tcW w:type="dxa" w:w="1806"/>
            <w:shd w:fill="EDF3FF" w:color="auto" w:val="clear"/>
            <w:tcMar>
              <w:top w:type="dxa" w:w="60"/>
              <w:left w:type="dxa" w:w="90"/>
              <w:bottom w:type="dxa" w:w="60"/>
              <w:right w:type="dxa" w:w="90"/>
            </w:tcMar>
          </w:tcPr>
          <w:p>
            <w:pPr>
              <w:keepNext/>
              <w:spacing w:after="0" w:before="0"/>
            </w:pPr>
            <w:r>
              <w:rPr>
                <w:b/>
                <w:bCs/>
                <w:color w:val="1A35A8"/>
                <w:sz w:val="18"/>
                <w:szCs w:val="18"/>
              </w:rPr>
              <w:t xml:space="preserve">AUC regresie logistică</w:t>
            </w:r>
          </w:p>
        </w:tc>
        <w:tc>
          <w:tcPr>
            <w:tcW w:type="dxa" w:w="1807"/>
            <w:shd w:fill="EDF3FF" w:color="auto" w:val="clear"/>
            <w:tcMar>
              <w:top w:type="dxa" w:w="60"/>
              <w:left w:type="dxa" w:w="90"/>
              <w:bottom w:type="dxa" w:w="60"/>
              <w:right w:type="dxa" w:w="90"/>
            </w:tcMar>
          </w:tcPr>
          <w:p>
            <w:pPr>
              <w:keepNext/>
              <w:spacing w:after="0" w:before="0"/>
            </w:pPr>
            <w:r>
              <w:rPr>
                <w:b/>
                <w:bCs/>
                <w:color w:val="1A35A8"/>
                <w:sz w:val="18"/>
                <w:szCs w:val="18"/>
              </w:rPr>
              <w:t xml:space="preserve">AUC model de referință</w:t>
            </w:r>
          </w:p>
        </w:tc>
      </w:tr>
      <w:tr>
        <w:trPr>
          <w:tblHeader w:val="false"/>
        </w:trPr>
        <w:tc>
          <w:tcPr>
            <w:tcW w:type="dxa" w:w="4762"/>
            <w:tcMar>
              <w:top w:type="dxa" w:w="60"/>
              <w:left w:type="dxa" w:w="90"/>
              <w:bottom w:type="dxa" w:w="60"/>
              <w:right w:type="dxa" w:w="90"/>
            </w:tcMar>
          </w:tcPr>
          <w:p>
            <w:pPr>
              <w:keepNext/>
              <w:spacing w:after="0" w:before="0"/>
            </w:pPr>
            <w:r>
              <w:rPr>
                <w:b w:val="false"/>
                <w:bCs w:val="false"/>
                <w:color w:val="162554"/>
                <w:sz w:val="18"/>
                <w:szCs w:val="18"/>
              </w:rPr>
              <w:t xml:space="preserve">A · nu mai depune situații financiare</w:t>
            </w:r>
          </w:p>
        </w:tc>
        <w:tc>
          <w:tcPr>
            <w:tcW w:type="dxa" w:w="985"/>
            <w:tcMar>
              <w:top w:type="dxa" w:w="60"/>
              <w:left w:type="dxa" w:w="90"/>
              <w:bottom w:type="dxa" w:w="60"/>
              <w:right w:type="dxa" w:w="90"/>
            </w:tcMar>
          </w:tcPr>
          <w:p>
            <w:pPr>
              <w:keepNext/>
              <w:spacing w:after="0" w:before="0"/>
            </w:pPr>
            <w:r>
              <w:rPr>
                <w:b w:val="false"/>
                <w:bCs w:val="false"/>
                <w:color w:val="162554"/>
                <w:sz w:val="18"/>
                <w:szCs w:val="18"/>
              </w:rPr>
              <w:t xml:space="preserve">8,12 %</w:t>
            </w:r>
          </w:p>
        </w:tc>
        <w:tc>
          <w:tcPr>
            <w:tcW w:type="dxa" w:w="1806"/>
            <w:tcMar>
              <w:top w:type="dxa" w:w="60"/>
              <w:left w:type="dxa" w:w="90"/>
              <w:bottom w:type="dxa" w:w="60"/>
              <w:right w:type="dxa" w:w="90"/>
            </w:tcMar>
          </w:tcPr>
          <w:p>
            <w:pPr>
              <w:keepNext/>
              <w:spacing w:after="0" w:before="0"/>
            </w:pPr>
            <w:r>
              <w:rPr>
                <w:b w:val="false"/>
                <w:bCs w:val="false"/>
                <w:color w:val="162554"/>
                <w:sz w:val="18"/>
                <w:szCs w:val="18"/>
              </w:rPr>
              <w:t xml:space="preserve">0,603</w:t>
            </w:r>
          </w:p>
        </w:tc>
        <w:tc>
          <w:tcPr>
            <w:tcW w:type="dxa" w:w="1807"/>
            <w:tcMar>
              <w:top w:type="dxa" w:w="60"/>
              <w:left w:type="dxa" w:w="90"/>
              <w:bottom w:type="dxa" w:w="60"/>
              <w:right w:type="dxa" w:w="90"/>
            </w:tcMar>
          </w:tcPr>
          <w:p>
            <w:pPr>
              <w:keepNext/>
              <w:spacing w:after="0" w:before="0"/>
            </w:pPr>
            <w:r>
              <w:rPr>
                <w:b w:val="false"/>
                <w:bCs w:val="false"/>
                <w:color w:val="162554"/>
                <w:sz w:val="18"/>
                <w:szCs w:val="18"/>
              </w:rPr>
              <w:t xml:space="preserve">0,653</w:t>
            </w:r>
          </w:p>
        </w:tc>
      </w:tr>
      <w:tr>
        <w:trPr>
          <w:tblHeader w:val="false"/>
        </w:trPr>
        <w:tc>
          <w:tcPr>
            <w:tcW w:type="dxa" w:w="4762"/>
            <w:tcMar>
              <w:top w:type="dxa" w:w="60"/>
              <w:left w:type="dxa" w:w="90"/>
              <w:bottom w:type="dxa" w:w="60"/>
              <w:right w:type="dxa" w:w="90"/>
            </w:tcMar>
          </w:tcPr>
          <w:p>
            <w:pPr>
              <w:keepNext/>
              <w:spacing w:after="0" w:before="0"/>
            </w:pPr>
            <w:r>
              <w:rPr>
                <w:b w:val="false"/>
                <w:bCs w:val="false"/>
                <w:color w:val="162554"/>
                <w:sz w:val="18"/>
                <w:szCs w:val="18"/>
              </w:rPr>
              <w:t xml:space="preserve">B · capitalurile proprii devin negative (erau ≥ 0 în 2024)</w:t>
            </w:r>
          </w:p>
        </w:tc>
        <w:tc>
          <w:tcPr>
            <w:tcW w:type="dxa" w:w="985"/>
            <w:tcMar>
              <w:top w:type="dxa" w:w="60"/>
              <w:left w:type="dxa" w:w="90"/>
              <w:bottom w:type="dxa" w:w="60"/>
              <w:right w:type="dxa" w:w="90"/>
            </w:tcMar>
          </w:tcPr>
          <w:p>
            <w:pPr>
              <w:keepNext/>
              <w:spacing w:after="0" w:before="0"/>
            </w:pPr>
            <w:r>
              <w:rPr>
                <w:b w:val="false"/>
                <w:bCs w:val="false"/>
                <w:color w:val="162554"/>
                <w:sz w:val="18"/>
                <w:szCs w:val="18"/>
              </w:rPr>
              <w:t xml:space="preserve">3,85 %</w:t>
            </w:r>
          </w:p>
        </w:tc>
        <w:tc>
          <w:tcPr>
            <w:tcW w:type="dxa" w:w="1806"/>
            <w:tcMar>
              <w:top w:type="dxa" w:w="60"/>
              <w:left w:type="dxa" w:w="90"/>
              <w:bottom w:type="dxa" w:w="60"/>
              <w:right w:type="dxa" w:w="90"/>
            </w:tcMar>
          </w:tcPr>
          <w:p>
            <w:pPr>
              <w:keepNext/>
              <w:spacing w:after="0" w:before="0"/>
            </w:pPr>
            <w:r>
              <w:rPr>
                <w:b w:val="false"/>
                <w:bCs w:val="false"/>
                <w:color w:val="162554"/>
                <w:sz w:val="18"/>
                <w:szCs w:val="18"/>
              </w:rPr>
              <w:t xml:space="preserve">0,655</w:t>
            </w:r>
          </w:p>
        </w:tc>
        <w:tc>
          <w:tcPr>
            <w:tcW w:type="dxa" w:w="1807"/>
            <w:tcMar>
              <w:top w:type="dxa" w:w="60"/>
              <w:left w:type="dxa" w:w="90"/>
              <w:bottom w:type="dxa" w:w="60"/>
              <w:right w:type="dxa" w:w="90"/>
            </w:tcMar>
          </w:tcPr>
          <w:p>
            <w:pPr>
              <w:keepNext/>
              <w:spacing w:after="0" w:before="0"/>
            </w:pPr>
            <w:r>
              <w:rPr>
                <w:b w:val="false"/>
                <w:bCs w:val="false"/>
                <w:color w:val="162554"/>
                <w:sz w:val="18"/>
                <w:szCs w:val="18"/>
              </w:rPr>
              <w:t xml:space="preserve">0,857</w:t>
            </w:r>
          </w:p>
        </w:tc>
      </w:tr>
      <w:tr>
        <w:trPr>
          <w:tblHeader w:val="false"/>
        </w:trPr>
        <w:tc>
          <w:tcPr>
            <w:tcW w:type="dxa" w:w="4762"/>
            <w:tcMar>
              <w:top w:type="dxa" w:w="60"/>
              <w:left w:type="dxa" w:w="90"/>
              <w:bottom w:type="dxa" w:w="60"/>
              <w:right w:type="dxa" w:w="90"/>
            </w:tcMar>
          </w:tcPr>
          <w:p>
            <w:pPr>
              <w:keepNext/>
              <w:spacing w:after="0" w:before="0"/>
            </w:pPr>
            <w:r>
              <w:rPr>
                <w:b w:val="false"/>
                <w:bCs w:val="false"/>
                <w:color w:val="162554"/>
                <w:sz w:val="18"/>
                <w:szCs w:val="18"/>
              </w:rPr>
              <w:t xml:space="preserve">C · pierdere netă în 2024 </w:t>
            </w:r>
            <w:r>
              <w:rPr>
                <w:b w:val="false"/>
                <w:bCs w:val="false"/>
                <w:color w:val="162554"/>
                <w:sz w:val="18"/>
                <w:szCs w:val="18"/>
              </w:rPr>
              <w:t xml:space="preserve">și</w:t>
            </w:r>
            <w:r>
              <w:rPr>
                <w:b w:val="false"/>
                <w:bCs w:val="false"/>
                <w:color w:val="162554"/>
                <w:sz w:val="18"/>
                <w:szCs w:val="18"/>
              </w:rPr>
              <w:t xml:space="preserve"> în 2025</w:t>
            </w:r>
          </w:p>
        </w:tc>
        <w:tc>
          <w:tcPr>
            <w:tcW w:type="dxa" w:w="985"/>
            <w:tcMar>
              <w:top w:type="dxa" w:w="60"/>
              <w:left w:type="dxa" w:w="90"/>
              <w:bottom w:type="dxa" w:w="60"/>
              <w:right w:type="dxa" w:w="90"/>
            </w:tcMar>
          </w:tcPr>
          <w:p>
            <w:pPr>
              <w:keepNext/>
              <w:spacing w:after="0" w:before="0"/>
            </w:pPr>
            <w:r>
              <w:rPr>
                <w:b w:val="false"/>
                <w:bCs w:val="false"/>
                <w:color w:val="162554"/>
                <w:sz w:val="18"/>
                <w:szCs w:val="18"/>
              </w:rPr>
              <w:t xml:space="preserve">12,62 %</w:t>
            </w:r>
          </w:p>
        </w:tc>
        <w:tc>
          <w:tcPr>
            <w:tcW w:type="dxa" w:w="1806"/>
            <w:tcMar>
              <w:top w:type="dxa" w:w="60"/>
              <w:left w:type="dxa" w:w="90"/>
              <w:bottom w:type="dxa" w:w="60"/>
              <w:right w:type="dxa" w:w="90"/>
            </w:tcMar>
          </w:tcPr>
          <w:p>
            <w:pPr>
              <w:keepNext/>
              <w:spacing w:after="0" w:before="0"/>
            </w:pPr>
            <w:r>
              <w:rPr>
                <w:b w:val="false"/>
                <w:bCs w:val="false"/>
                <w:color w:val="162554"/>
                <w:sz w:val="18"/>
                <w:szCs w:val="18"/>
              </w:rPr>
              <w:t xml:space="preserve">0,927</w:t>
            </w:r>
          </w:p>
        </w:tc>
        <w:tc>
          <w:tcPr>
            <w:tcW w:type="dxa" w:w="1807"/>
            <w:tcMar>
              <w:top w:type="dxa" w:w="60"/>
              <w:left w:type="dxa" w:w="90"/>
              <w:bottom w:type="dxa" w:w="60"/>
              <w:right w:type="dxa" w:w="90"/>
            </w:tcMar>
          </w:tcPr>
          <w:p>
            <w:pPr>
              <w:keepNext/>
              <w:spacing w:after="0" w:before="0"/>
            </w:pPr>
            <w:r>
              <w:rPr>
                <w:b w:val="false"/>
                <w:bCs w:val="false"/>
                <w:color w:val="162554"/>
                <w:sz w:val="18"/>
                <w:szCs w:val="18"/>
              </w:rPr>
              <w:t xml:space="preserve">0,948</w:t>
            </w:r>
          </w:p>
        </w:tc>
      </w:tr>
      <w:tr>
        <w:trPr>
          <w:tblHeader w:val="false"/>
        </w:trPr>
        <w:tc>
          <w:tcPr>
            <w:tcW w:type="dxa" w:w="4762"/>
            <w:tcMar>
              <w:top w:type="dxa" w:w="60"/>
              <w:left w:type="dxa" w:w="90"/>
              <w:bottom w:type="dxa" w:w="60"/>
              <w:right w:type="dxa" w:w="90"/>
            </w:tcMar>
          </w:tcPr>
          <w:p>
            <w:pPr>
              <w:keepNext/>
              <w:spacing w:after="0" w:before="0"/>
            </w:pPr>
            <w:r>
              <w:rPr>
                <w:b w:val="false"/>
                <w:bCs w:val="false"/>
                <w:color w:val="162554"/>
                <w:sz w:val="18"/>
                <w:szCs w:val="18"/>
              </w:rPr>
              <w:t xml:space="preserve">D · pierdere care șterge peste 50 % din capitaluri</w:t>
            </w:r>
          </w:p>
        </w:tc>
        <w:tc>
          <w:tcPr>
            <w:tcW w:type="dxa" w:w="985"/>
            <w:tcMar>
              <w:top w:type="dxa" w:w="60"/>
              <w:left w:type="dxa" w:w="90"/>
              <w:bottom w:type="dxa" w:w="60"/>
              <w:right w:type="dxa" w:w="90"/>
            </w:tcMar>
          </w:tcPr>
          <w:p>
            <w:pPr>
              <w:keepNext/>
              <w:spacing w:after="0" w:before="0"/>
            </w:pPr>
            <w:r>
              <w:rPr>
                <w:b w:val="false"/>
                <w:bCs w:val="false"/>
                <w:color w:val="162554"/>
                <w:sz w:val="18"/>
                <w:szCs w:val="18"/>
              </w:rPr>
              <w:t xml:space="preserve">13,31 %</w:t>
            </w:r>
          </w:p>
        </w:tc>
        <w:tc>
          <w:tcPr>
            <w:tcW w:type="dxa" w:w="1806"/>
            <w:tcMar>
              <w:top w:type="dxa" w:w="60"/>
              <w:left w:type="dxa" w:w="90"/>
              <w:bottom w:type="dxa" w:w="60"/>
              <w:right w:type="dxa" w:w="90"/>
            </w:tcMar>
          </w:tcPr>
          <w:p>
            <w:pPr>
              <w:keepNext/>
              <w:spacing w:after="0" w:before="0"/>
            </w:pPr>
            <w:r>
              <w:rPr>
                <w:b w:val="false"/>
                <w:bCs w:val="false"/>
                <w:color w:val="162554"/>
                <w:sz w:val="18"/>
                <w:szCs w:val="18"/>
              </w:rPr>
              <w:t xml:space="preserve">0,855</w:t>
            </w:r>
          </w:p>
        </w:tc>
        <w:tc>
          <w:tcPr>
            <w:tcW w:type="dxa" w:w="1807"/>
            <w:tcMar>
              <w:top w:type="dxa" w:w="60"/>
              <w:left w:type="dxa" w:w="90"/>
              <w:bottom w:type="dxa" w:w="60"/>
              <w:right w:type="dxa" w:w="90"/>
            </w:tcMar>
          </w:tcPr>
          <w:p>
            <w:pPr>
              <w:keepNext/>
              <w:spacing w:after="0" w:before="0"/>
            </w:pPr>
            <w:r>
              <w:rPr>
                <w:b w:val="false"/>
                <w:bCs w:val="false"/>
                <w:color w:val="162554"/>
                <w:sz w:val="18"/>
                <w:szCs w:val="18"/>
              </w:rPr>
              <w:t xml:space="preserve">0,885</w:t>
            </w:r>
          </w:p>
        </w:tc>
      </w:tr>
      <w:tr>
        <w:trPr>
          <w:tblHeader w:val="false"/>
        </w:trPr>
        <w:tc>
          <w:tcPr>
            <w:tcW w:type="dxa" w:w="4762"/>
            <w:tcMar>
              <w:top w:type="dxa" w:w="60"/>
              <w:left w:type="dxa" w:w="90"/>
              <w:bottom w:type="dxa" w:w="60"/>
              <w:right w:type="dxa" w:w="90"/>
            </w:tcMar>
          </w:tcPr>
          <w:p>
            <w:pPr>
              <w:keepNext w:val="false"/>
              <w:spacing w:after="0" w:before="0"/>
            </w:pPr>
            <w:r>
              <w:rPr>
                <w:b w:val="false"/>
                <w:bCs w:val="false"/>
                <w:color w:val="162554"/>
                <w:sz w:val="18"/>
                <w:szCs w:val="18"/>
              </w:rPr>
              <w:t xml:space="preserve">E · compus: A sau B sau (C și colaps de cifră de afaceri)</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15,03 %</w:t>
            </w:r>
          </w:p>
        </w:tc>
        <w:tc>
          <w:tcPr>
            <w:tcW w:type="dxa" w:w="1806"/>
            <w:tcMar>
              <w:top w:type="dxa" w:w="60"/>
              <w:left w:type="dxa" w:w="90"/>
              <w:bottom w:type="dxa" w:w="60"/>
              <w:right w:type="dxa" w:w="90"/>
            </w:tcMar>
          </w:tcPr>
          <w:p>
            <w:pPr>
              <w:keepNext w:val="false"/>
              <w:spacing w:after="0" w:before="0"/>
            </w:pPr>
            <w:r>
              <w:rPr>
                <w:b w:val="false"/>
                <w:bCs w:val="false"/>
                <w:color w:val="162554"/>
                <w:sz w:val="18"/>
                <w:szCs w:val="18"/>
              </w:rPr>
              <w:t xml:space="preserve">0,669</w:t>
            </w:r>
          </w:p>
        </w:tc>
        <w:tc>
          <w:tcPr>
            <w:tcW w:type="dxa" w:w="1807"/>
            <w:tcMar>
              <w:top w:type="dxa" w:w="60"/>
              <w:left w:type="dxa" w:w="90"/>
              <w:bottom w:type="dxa" w:w="60"/>
              <w:right w:type="dxa" w:w="90"/>
            </w:tcMar>
          </w:tcPr>
          <w:p>
            <w:pPr>
              <w:keepNext w:val="false"/>
              <w:spacing w:after="0" w:before="0"/>
            </w:pPr>
            <w:r>
              <w:rPr>
                <w:b w:val="false"/>
                <w:bCs w:val="false"/>
                <w:color w:val="162554"/>
                <w:sz w:val="18"/>
                <w:szCs w:val="18"/>
              </w:rPr>
              <w:t xml:space="preserve">0,731</w:t>
            </w:r>
          </w:p>
        </w:tc>
      </w:tr>
    </w:tbl>
    <w:p>
      <w:pPr>
        <w:spacing w:after="80"/>
      </w:pPr>
    </w:p>
    <w:p>
      <w:pPr>
        <w:spacing w:after="100"/>
        <w:jc w:val="left"/>
      </w:pPr>
      <w:r>
        <w:t xml:space="preserve">Toate cifrele din tabel sunt cele pe care le produce chiar instrumentul, antrenând în browser pe eșantionul livrat de 120.000 de firme, cu toate cele 12 variabile și regularizarea implicită. Ele diferă cu una-două miimi de la o rulare la alta, pentru că împărțirea antrenare/holdout e fixă, dar optimizarea nu este perfect deterministă.</w:t>
      </w:r>
    </w:p>
    <w:p>
      <w:pPr>
        <w:spacing w:after="100"/>
        <w:jc w:val="left"/>
      </w:pPr>
      <w:r>
        <w:t xml:space="preserve">Întrebarea pusă în chat: </w:t>
      </w:r>
      <w:r>
        <w:rPr>
          <w:i/>
          <w:iCs/>
        </w:rPr>
        <w:t xml:space="preserve">care definiție ai duce în comitetul de modele și de ce?</w:t>
      </w:r>
      <w:r>
        <w:t xml:space="preserve"> Majoritatea va alege C, pentru că are cel mai bun AUC. Capcana e intenționată: pierderea din 2024 este </w:t>
      </w:r>
      <w:r>
        <w:rPr>
          <w:b/>
          <w:bCs/>
        </w:rPr>
        <w:t xml:space="preserve">în variabile</w:t>
      </w:r>
      <w:r>
        <w:t xml:space="preserve"> (marja netă și ROA din 2024 sunt negative), deci modelul prezice parțial ceva ce știe deja. Dovada se face pe loc, cu un buton: scoți marja netă și ROA din variabile și AUC-ul etichetei C scade de la </w:t>
      </w:r>
      <w:r>
        <w:rPr>
          <w:b/>
          <w:bCs/>
        </w:rPr>
        <w:t xml:space="preserve">0,927 la 0,779</w:t>
      </w:r>
      <w:r>
        <w:t xml:space="preserve">, în timp ce la eticheta B aproape nu se mișcă. Diferența dintre modelul liniar și cel neliniar la eticheta B (0,655 față de 0,857) este a doua lecție a exercițiului: relația dintre rate și distres nu este liniară. Este scurgere de informație (</w:t>
      </w:r>
      <w:r>
        <w:rPr>
          <w:i/>
          <w:iCs/>
        </w:rPr>
        <w:t xml:space="preserve">label leakage</w:t>
      </w:r>
      <w:r>
        <w:t xml:space="preserve">), cea mai frecventă cauză de modele care performează în backtest și cad în producție. A este opusul: eveniment curat, dar zgomotos — o firmă care nu mai depune poate fi în insolvență, poate fi dormantă, poate fi doar întârziată. B este singurul eveniment contabil clar și verificabil, și tocmai el arată cea mai mare diferență între modelul liniar și cel neliniar (0,666 vs 0,855), adică: relația dintre rate și distres nu este liniară.</w:t>
      </w:r>
    </w:p>
    <w:p>
      <w:pPr>
        <w:pStyle w:val="Heading1"/>
        <w:keepNext/>
        <w:spacing w:after="120" w:before="240" w:line="240" w:lineRule="auto"/>
      </w:pPr>
      <w:r>
        <w:t xml:space="preserve">Exercițiul 2 · Semnele, calibrarea și decizia de a nu folosi modelul (15 minute)</w:t>
      </w:r>
    </w:p>
    <w:p>
      <w:pPr>
        <w:spacing w:after="100"/>
        <w:jc w:val="left"/>
      </w:pPr>
      <w:r>
        <w:t xml:space="preserve">Cu eticheta compusă (E), participantul se uită la coeficienți și la calibrare: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4"/>
        <w:gridCol w:w="3983"/>
        <w:gridCol w:w="3983"/>
      </w:tblGrid>
      <w:tr>
        <w:trPr>
          <w:tblHeader/>
        </w:trPr>
        <w:tc>
          <w:tcPr>
            <w:tcW w:type="dxa" w:w="1394"/>
            <w:shd w:fill="EDF3FF" w:color="auto" w:val="clear"/>
            <w:tcMar>
              <w:top w:type="dxa" w:w="60"/>
              <w:left w:type="dxa" w:w="90"/>
              <w:bottom w:type="dxa" w:w="60"/>
              <w:right w:type="dxa" w:w="90"/>
            </w:tcMar>
          </w:tcPr>
          <w:p>
            <w:pPr>
              <w:keepNext/>
              <w:spacing w:after="0" w:before="0"/>
            </w:pPr>
            <w:r>
              <w:rPr>
                <w:b/>
                <w:bCs/>
                <w:color w:val="1A35A8"/>
                <w:sz w:val="18"/>
                <w:szCs w:val="18"/>
              </w:rPr>
              <w:t xml:space="preserve">Ce va vedea</w:t>
            </w:r>
          </w:p>
        </w:tc>
        <w:tc>
          <w:tcPr>
            <w:tcW w:type="dxa" w:w="3983"/>
            <w:shd w:fill="EDF3FF" w:color="auto" w:val="clear"/>
            <w:tcMar>
              <w:top w:type="dxa" w:w="60"/>
              <w:left w:type="dxa" w:w="90"/>
              <w:bottom w:type="dxa" w:w="60"/>
              <w:right w:type="dxa" w:w="90"/>
            </w:tcMar>
          </w:tcPr>
          <w:p>
            <w:pPr>
              <w:keepNext/>
              <w:spacing w:after="0" w:before="0"/>
            </w:pPr>
            <w:r>
              <w:rPr>
                <w:b/>
                <w:bCs/>
                <w:color w:val="1A35A8"/>
                <w:sz w:val="18"/>
                <w:szCs w:val="18"/>
              </w:rPr>
              <w:t xml:space="preserve">Cifra reală</w:t>
            </w:r>
          </w:p>
        </w:tc>
        <w:tc>
          <w:tcPr>
            <w:tcW w:type="dxa" w:w="3983"/>
            <w:shd w:fill="EDF3FF" w:color="auto" w:val="clear"/>
            <w:tcMar>
              <w:top w:type="dxa" w:w="60"/>
              <w:left w:type="dxa" w:w="90"/>
              <w:bottom w:type="dxa" w:w="60"/>
              <w:right w:type="dxa" w:w="90"/>
            </w:tcMar>
          </w:tcPr>
          <w:p>
            <w:pPr>
              <w:keepNext/>
              <w:spacing w:after="0" w:before="0"/>
            </w:pPr>
            <w:r>
              <w:rPr>
                <w:b/>
                <w:bCs/>
                <w:color w:val="1A35A8"/>
                <w:sz w:val="18"/>
                <w:szCs w:val="18"/>
              </w:rPr>
              <w:t xml:space="preserve">Ce trebuie să tragă din ea</w:t>
            </w:r>
          </w:p>
        </w:tc>
      </w:tr>
      <w:tr>
        <w:trPr>
          <w:tblHeader w:val="false"/>
        </w:trPr>
        <w:tc>
          <w:tcPr>
            <w:tcW w:type="dxa" w:w="1394"/>
            <w:tcMar>
              <w:top w:type="dxa" w:w="60"/>
              <w:left w:type="dxa" w:w="90"/>
              <w:bottom w:type="dxa" w:w="60"/>
              <w:right w:type="dxa" w:w="90"/>
            </w:tcMar>
          </w:tcPr>
          <w:p>
            <w:pPr>
              <w:keepNext/>
              <w:spacing w:after="0" w:before="0"/>
            </w:pPr>
            <w:r>
              <w:rPr>
                <w:b w:val="false"/>
                <w:bCs w:val="false"/>
                <w:color w:val="162554"/>
                <w:sz w:val="18"/>
                <w:szCs w:val="18"/>
              </w:rPr>
              <w:t xml:space="preserve">Variabila dominantă</w:t>
            </w:r>
          </w:p>
        </w:tc>
        <w:tc>
          <w:tcPr>
            <w:tcW w:type="dxa" w:w="3983"/>
            <w:tcMar>
              <w:top w:type="dxa" w:w="60"/>
              <w:left w:type="dxa" w:w="90"/>
              <w:bottom w:type="dxa" w:w="60"/>
              <w:right w:type="dxa" w:w="90"/>
            </w:tcMar>
          </w:tcPr>
          <w:p>
            <w:pPr>
              <w:keepNext/>
              <w:spacing w:after="0" w:before="0"/>
            </w:pPr>
            <w:r>
              <w:rPr>
                <w:b w:val="false"/>
                <w:bCs w:val="false"/>
                <w:color w:val="162554"/>
                <w:sz w:val="18"/>
                <w:szCs w:val="18"/>
              </w:rPr>
              <w:t xml:space="preserve">ROA, cel mai mare coeficient standardizat în valoare absolută</w:t>
            </w:r>
          </w:p>
        </w:tc>
        <w:tc>
          <w:tcPr>
            <w:tcW w:type="dxa" w:w="3983"/>
            <w:tcMar>
              <w:top w:type="dxa" w:w="60"/>
              <w:left w:type="dxa" w:w="90"/>
              <w:bottom w:type="dxa" w:w="60"/>
              <w:right w:type="dxa" w:w="90"/>
            </w:tcMar>
          </w:tcPr>
          <w:p>
            <w:pPr>
              <w:keepNext/>
              <w:spacing w:after="0" w:before="0"/>
            </w:pPr>
            <w:r>
              <w:rPr>
                <w:b w:val="false"/>
                <w:bCs w:val="false"/>
                <w:color w:val="162554"/>
                <w:sz w:val="18"/>
                <w:szCs w:val="18"/>
              </w:rPr>
              <w:t xml:space="preserve">Profitabilitatea, nu lichiditatea, poartă semnalul în populație</w:t>
            </w:r>
          </w:p>
        </w:tc>
      </w:tr>
      <w:tr>
        <w:trPr>
          <w:tblHeader w:val="false"/>
        </w:trPr>
        <w:tc>
          <w:tcPr>
            <w:tcW w:type="dxa" w:w="1394"/>
            <w:tcMar>
              <w:top w:type="dxa" w:w="60"/>
              <w:left w:type="dxa" w:w="90"/>
              <w:bottom w:type="dxa" w:w="60"/>
              <w:right w:type="dxa" w:w="90"/>
            </w:tcMar>
          </w:tcPr>
          <w:p>
            <w:pPr>
              <w:keepNext/>
              <w:spacing w:after="0" w:before="0"/>
            </w:pPr>
            <w:r>
              <w:rPr>
                <w:b w:val="false"/>
                <w:bCs w:val="false"/>
                <w:color w:val="162554"/>
                <w:sz w:val="18"/>
                <w:szCs w:val="18"/>
              </w:rPr>
              <w:t xml:space="preserve">Efectul mărimii</w:t>
            </w:r>
          </w:p>
        </w:tc>
        <w:tc>
          <w:tcPr>
            <w:tcW w:type="dxa" w:w="3983"/>
            <w:tcMar>
              <w:top w:type="dxa" w:w="60"/>
              <w:left w:type="dxa" w:w="90"/>
              <w:bottom w:type="dxa" w:w="60"/>
              <w:right w:type="dxa" w:w="90"/>
            </w:tcMar>
          </w:tcPr>
          <w:p>
            <w:pPr>
              <w:keepNext/>
              <w:spacing w:after="0" w:before="0"/>
            </w:pPr>
            <w:r>
              <w:rPr>
                <w:b w:val="false"/>
                <w:bCs w:val="false"/>
                <w:color w:val="162554"/>
                <w:sz w:val="18"/>
                <w:szCs w:val="18"/>
              </w:rPr>
              <w:t xml:space="preserve">log(active), coeficient negativ consistent</w:t>
            </w:r>
          </w:p>
        </w:tc>
        <w:tc>
          <w:tcPr>
            <w:tcW w:type="dxa" w:w="3983"/>
            <w:tcMar>
              <w:top w:type="dxa" w:w="60"/>
              <w:left w:type="dxa" w:w="90"/>
              <w:bottom w:type="dxa" w:w="60"/>
              <w:right w:type="dxa" w:w="90"/>
            </w:tcMar>
          </w:tcPr>
          <w:p>
            <w:pPr>
              <w:keepNext/>
              <w:spacing w:after="0" w:before="0"/>
            </w:pPr>
            <w:r>
              <w:rPr>
                <w:b w:val="false"/>
                <w:bCs w:val="false"/>
                <w:color w:val="162554"/>
                <w:sz w:val="18"/>
                <w:szCs w:val="18"/>
              </w:rPr>
              <w:t xml:space="preserve">Firmele mari cad mai rar — modelul învață mărimea, nu doar sănătatea</w:t>
            </w:r>
          </w:p>
        </w:tc>
      </w:tr>
      <w:tr>
        <w:trPr>
          <w:tblHeader w:val="false"/>
        </w:trPr>
        <w:tc>
          <w:tcPr>
            <w:tcW w:type="dxa" w:w="1394"/>
            <w:tcMar>
              <w:top w:type="dxa" w:w="60"/>
              <w:left w:type="dxa" w:w="90"/>
              <w:bottom w:type="dxa" w:w="60"/>
              <w:right w:type="dxa" w:w="90"/>
            </w:tcMar>
          </w:tcPr>
          <w:p>
            <w:pPr>
              <w:keepNext/>
              <w:spacing w:after="0" w:before="0"/>
            </w:pPr>
            <w:r>
              <w:rPr>
                <w:b w:val="false"/>
                <w:bCs w:val="false"/>
                <w:color w:val="162554"/>
                <w:sz w:val="18"/>
                <w:szCs w:val="18"/>
              </w:rPr>
              <w:t xml:space="preserve">Semne contraintuitive</w:t>
            </w:r>
          </w:p>
        </w:tc>
        <w:tc>
          <w:tcPr>
            <w:tcW w:type="dxa" w:w="3983"/>
            <w:tcMar>
              <w:top w:type="dxa" w:w="60"/>
              <w:left w:type="dxa" w:w="90"/>
              <w:bottom w:type="dxa" w:w="60"/>
              <w:right w:type="dxa" w:w="90"/>
            </w:tcMar>
          </w:tcPr>
          <w:p>
            <w:pPr>
              <w:keepNext/>
              <w:spacing w:after="0" w:before="0"/>
            </w:pPr>
            <w:r>
              <w:rPr>
                <w:b w:val="false"/>
                <w:bCs w:val="false"/>
                <w:color w:val="162554"/>
                <w:sz w:val="18"/>
                <w:szCs w:val="18"/>
              </w:rPr>
              <w:t xml:space="preserve">instrumentul le marchează automat: la eticheta compusă ies trei (lichiditatea curentă, autonomia financiară, creșterea cifrei de afaceri), iar la fiecare etichetă apar între două și cinci</w:t>
            </w:r>
          </w:p>
        </w:tc>
        <w:tc>
          <w:tcPr>
            <w:tcW w:type="dxa" w:w="3983"/>
            <w:tcMar>
              <w:top w:type="dxa" w:w="60"/>
              <w:left w:type="dxa" w:w="90"/>
              <w:bottom w:type="dxa" w:w="60"/>
              <w:right w:type="dxa" w:w="90"/>
            </w:tcMar>
          </w:tcPr>
          <w:p>
            <w:pPr>
              <w:keepNext/>
              <w:spacing w:after="0" w:before="0"/>
            </w:pPr>
            <w:r>
              <w:rPr>
                <w:b w:val="false"/>
                <w:bCs w:val="false"/>
                <w:color w:val="162554"/>
                <w:sz w:val="18"/>
                <w:szCs w:val="18"/>
              </w:rPr>
              <w:t xml:space="preserve">Multicolinearitate: variabilele se ceartă între ele. Un model cu semne absurde nu se pune în producție, oricât AUC ar avea</w:t>
            </w:r>
          </w:p>
        </w:tc>
      </w:tr>
      <w:tr>
        <w:trPr>
          <w:tblHeader w:val="false"/>
        </w:trPr>
        <w:tc>
          <w:tcPr>
            <w:tcW w:type="dxa" w:w="1394"/>
            <w:tcMar>
              <w:top w:type="dxa" w:w="60"/>
              <w:left w:type="dxa" w:w="90"/>
              <w:bottom w:type="dxa" w:w="60"/>
              <w:right w:type="dxa" w:w="90"/>
            </w:tcMar>
          </w:tcPr>
          <w:p>
            <w:pPr>
              <w:keepNext w:val="false"/>
              <w:spacing w:after="0" w:before="0"/>
            </w:pPr>
            <w:r>
              <w:rPr>
                <w:b w:val="false"/>
                <w:bCs w:val="false"/>
                <w:color w:val="162554"/>
                <w:sz w:val="18"/>
                <w:szCs w:val="18"/>
              </w:rPr>
              <w:t xml:space="preserve">Calibrarea pe decile</w:t>
            </w:r>
          </w:p>
        </w:tc>
        <w:tc>
          <w:tcPr>
            <w:tcW w:type="dxa" w:w="3983"/>
            <w:tcMar>
              <w:top w:type="dxa" w:w="60"/>
              <w:left w:type="dxa" w:w="90"/>
              <w:bottom w:type="dxa" w:w="60"/>
              <w:right w:type="dxa" w:w="90"/>
            </w:tcMar>
          </w:tcPr>
          <w:p>
            <w:pPr>
              <w:keepNext w:val="false"/>
              <w:spacing w:after="0" w:before="0"/>
            </w:pPr>
            <w:r>
              <w:rPr>
                <w:b w:val="false"/>
                <w:bCs w:val="false"/>
                <w:color w:val="162554"/>
                <w:sz w:val="18"/>
                <w:szCs w:val="18"/>
              </w:rPr>
              <w:t xml:space="preserve">decila 1: prezis 7,2 % / observat 7,4 %; decila 9: prezis 19,9 % / observat 24,3 %; decila 10: prezis 34,8 % / observat 34,6 %</w:t>
            </w:r>
          </w:p>
        </w:tc>
        <w:tc>
          <w:tcPr>
            <w:tcW w:type="dxa" w:w="3983"/>
            <w:tcMar>
              <w:top w:type="dxa" w:w="60"/>
              <w:left w:type="dxa" w:w="90"/>
              <w:bottom w:type="dxa" w:w="60"/>
              <w:right w:type="dxa" w:w="90"/>
            </w:tcMar>
          </w:tcPr>
          <w:p>
            <w:pPr>
              <w:keepNext w:val="false"/>
              <w:spacing w:after="0" w:before="0"/>
            </w:pPr>
            <w:r>
              <w:rPr>
                <w:b w:val="false"/>
                <w:bCs w:val="false"/>
                <w:color w:val="162554"/>
                <w:sz w:val="18"/>
                <w:szCs w:val="18"/>
              </w:rPr>
              <w:t xml:space="preserve">Modelul ordonează bine și estimează bine la capete, dar subestimează în decila 9 — ordonarea și nivelul sunt două calități diferite</w:t>
            </w:r>
          </w:p>
        </w:tc>
      </w:tr>
    </w:tbl>
    <w:p>
      <w:pPr>
        <w:spacing w:after="80"/>
      </w:pPr>
    </w:p>
    <w:p>
      <w:pPr>
        <w:spacing w:after="100"/>
        <w:jc w:val="left"/>
      </w:pPr>
      <w:r>
        <w:t xml:space="preserve">Apoi aplică modelul pe cele nouă companii demo. Cifrele reale, cu eticheta compusă: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2"/>
        <w:gridCol w:w="2501"/>
        <w:gridCol w:w="1937"/>
        <w:gridCol w:w="3470"/>
      </w:tblGrid>
      <w:tr>
        <w:trPr>
          <w:tblHeader/>
        </w:trPr>
        <w:tc>
          <w:tcPr>
            <w:tcW w:type="dxa" w:w="1452"/>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Companie</w:t>
            </w:r>
          </w:p>
        </w:tc>
        <w:tc>
          <w:tcPr>
            <w:tcW w:type="dxa" w:w="2501"/>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PD, modelul antrenat în browser</w:t>
            </w:r>
          </w:p>
        </w:tc>
        <w:tc>
          <w:tcPr>
            <w:tcW w:type="dxa" w:w="1937"/>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PD, modelul de referință</w:t>
            </w:r>
          </w:p>
        </w:tc>
        <w:tc>
          <w:tcPr>
            <w:tcW w:type="dxa" w:w="3470"/>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Clasa din scorecardul de la nivel începător</w:t>
            </w:r>
          </w:p>
        </w:tc>
      </w:tr>
      <w:tr>
        <w:trPr>
          <w:tblHeader w:val="false"/>
        </w:trPr>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Dedeman</w:t>
            </w:r>
          </w:p>
        </w:tc>
        <w:tc>
          <w:tcPr>
            <w:tcW w:type="dxa" w:w="2501"/>
            <w:tcMar>
              <w:top w:type="dxa" w:w="60"/>
              <w:left w:type="dxa" w:w="90"/>
              <w:bottom w:type="dxa" w:w="60"/>
              <w:right w:type="dxa" w:w="90"/>
            </w:tcMar>
          </w:tcPr>
          <w:p>
            <w:pPr>
              <w:keepNext w:val="false"/>
              <w:spacing w:after="0" w:before="0"/>
            </w:pPr>
            <w:r>
              <w:rPr>
                <w:b w:val="false"/>
                <w:bCs w:val="false"/>
                <w:color w:val="162554"/>
                <w:sz w:val="18"/>
                <w:szCs w:val="18"/>
              </w:rPr>
              <w:t xml:space="preserve">6,8 %</w:t>
            </w:r>
          </w:p>
        </w:tc>
        <w:tc>
          <w:tcPr>
            <w:tcW w:type="dxa" w:w="1937"/>
            <w:tcMar>
              <w:top w:type="dxa" w:w="60"/>
              <w:left w:type="dxa" w:w="90"/>
              <w:bottom w:type="dxa" w:w="60"/>
              <w:right w:type="dxa" w:w="90"/>
            </w:tcMar>
          </w:tcPr>
          <w:p>
            <w:pPr>
              <w:keepNext w:val="false"/>
              <w:spacing w:after="0" w:before="0"/>
            </w:pPr>
            <w:r>
              <w:rPr>
                <w:b w:val="false"/>
                <w:bCs w:val="false"/>
                <w:color w:val="162554"/>
                <w:sz w:val="18"/>
                <w:szCs w:val="18"/>
              </w:rPr>
              <w:t xml:space="preserve">2,8 %</w:t>
            </w:r>
          </w:p>
        </w:tc>
        <w:tc>
          <w:tcPr>
            <w:tcW w:type="dxa" w:w="3470"/>
            <w:tcMar>
              <w:top w:type="dxa" w:w="60"/>
              <w:left w:type="dxa" w:w="90"/>
              <w:bottom w:type="dxa" w:w="60"/>
              <w:right w:type="dxa" w:w="90"/>
            </w:tcMar>
          </w:tcPr>
          <w:p>
            <w:pPr>
              <w:keepNext w:val="false"/>
              <w:spacing w:after="0" w:before="0"/>
            </w:pPr>
            <w:r>
              <w:rPr>
                <w:b w:val="false"/>
                <w:bCs w:val="false"/>
                <w:color w:val="162554"/>
                <w:sz w:val="18"/>
                <w:szCs w:val="18"/>
              </w:rPr>
              <w:t xml:space="preserve">A</w:t>
            </w:r>
          </w:p>
        </w:tc>
      </w:tr>
      <w:tr>
        <w:trPr>
          <w:tblHeader w:val="false"/>
        </w:trPr>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Lidl Discount</w:t>
            </w:r>
          </w:p>
        </w:tc>
        <w:tc>
          <w:tcPr>
            <w:tcW w:type="dxa" w:w="2501"/>
            <w:tcMar>
              <w:top w:type="dxa" w:w="60"/>
              <w:left w:type="dxa" w:w="90"/>
              <w:bottom w:type="dxa" w:w="60"/>
              <w:right w:type="dxa" w:w="90"/>
            </w:tcMar>
          </w:tcPr>
          <w:p>
            <w:pPr>
              <w:keepNext w:val="false"/>
              <w:spacing w:after="0" w:before="0"/>
            </w:pPr>
            <w:r>
              <w:rPr>
                <w:b w:val="false"/>
                <w:bCs w:val="false"/>
                <w:color w:val="162554"/>
                <w:sz w:val="18"/>
                <w:szCs w:val="18"/>
              </w:rPr>
              <w:t xml:space="preserve">7,1 %</w:t>
            </w:r>
          </w:p>
        </w:tc>
        <w:tc>
          <w:tcPr>
            <w:tcW w:type="dxa" w:w="1937"/>
            <w:tcMar>
              <w:top w:type="dxa" w:w="60"/>
              <w:left w:type="dxa" w:w="90"/>
              <w:bottom w:type="dxa" w:w="60"/>
              <w:right w:type="dxa" w:w="90"/>
            </w:tcMar>
          </w:tcPr>
          <w:p>
            <w:pPr>
              <w:keepNext w:val="false"/>
              <w:spacing w:after="0" w:before="0"/>
            </w:pPr>
            <w:r>
              <w:rPr>
                <w:b w:val="false"/>
                <w:bCs w:val="false"/>
                <w:color w:val="162554"/>
                <w:sz w:val="18"/>
                <w:szCs w:val="18"/>
              </w:rPr>
              <w:t xml:space="preserve">4,1 %</w:t>
            </w:r>
          </w:p>
        </w:tc>
        <w:tc>
          <w:tcPr>
            <w:tcW w:type="dxa" w:w="3470"/>
            <w:tcMar>
              <w:top w:type="dxa" w:w="60"/>
              <w:left w:type="dxa" w:w="90"/>
              <w:bottom w:type="dxa" w:w="60"/>
              <w:right w:type="dxa" w:w="90"/>
            </w:tcMar>
          </w:tcPr>
          <w:p>
            <w:pPr>
              <w:keepNext w:val="false"/>
              <w:spacing w:after="0" w:before="0"/>
            </w:pPr>
            <w:r>
              <w:rPr>
                <w:b w:val="false"/>
                <w:bCs w:val="false"/>
                <w:color w:val="162554"/>
                <w:sz w:val="18"/>
                <w:szCs w:val="18"/>
              </w:rPr>
              <w:t xml:space="preserve">A</w:t>
            </w:r>
          </w:p>
        </w:tc>
      </w:tr>
      <w:tr>
        <w:trPr>
          <w:tblHeader w:val="false"/>
        </w:trPr>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Mega Image</w:t>
            </w:r>
          </w:p>
        </w:tc>
        <w:tc>
          <w:tcPr>
            <w:tcW w:type="dxa" w:w="2501"/>
            <w:tcMar>
              <w:top w:type="dxa" w:w="60"/>
              <w:left w:type="dxa" w:w="90"/>
              <w:bottom w:type="dxa" w:w="60"/>
              <w:right w:type="dxa" w:w="90"/>
            </w:tcMar>
          </w:tcPr>
          <w:p>
            <w:pPr>
              <w:keepNext w:val="false"/>
              <w:spacing w:after="0" w:before="0"/>
            </w:pPr>
            <w:r>
              <w:rPr>
                <w:b w:val="false"/>
                <w:bCs w:val="false"/>
                <w:color w:val="162554"/>
                <w:sz w:val="18"/>
                <w:szCs w:val="18"/>
              </w:rPr>
              <w:t xml:space="preserve">7,8 %</w:t>
            </w:r>
          </w:p>
        </w:tc>
        <w:tc>
          <w:tcPr>
            <w:tcW w:type="dxa" w:w="1937"/>
            <w:tcMar>
              <w:top w:type="dxa" w:w="60"/>
              <w:left w:type="dxa" w:w="90"/>
              <w:bottom w:type="dxa" w:w="60"/>
              <w:right w:type="dxa" w:w="90"/>
            </w:tcMar>
          </w:tcPr>
          <w:p>
            <w:pPr>
              <w:keepNext w:val="false"/>
              <w:spacing w:after="0" w:before="0"/>
            </w:pPr>
            <w:r>
              <w:rPr>
                <w:b w:val="false"/>
                <w:bCs w:val="false"/>
                <w:color w:val="162554"/>
                <w:sz w:val="18"/>
                <w:szCs w:val="18"/>
              </w:rPr>
              <w:t xml:space="preserve">3,6 %</w:t>
            </w:r>
          </w:p>
        </w:tc>
        <w:tc>
          <w:tcPr>
            <w:tcW w:type="dxa" w:w="3470"/>
            <w:tcMar>
              <w:top w:type="dxa" w:w="60"/>
              <w:left w:type="dxa" w:w="90"/>
              <w:bottom w:type="dxa" w:w="60"/>
              <w:right w:type="dxa" w:w="90"/>
            </w:tcMar>
          </w:tcPr>
          <w:p>
            <w:pPr>
              <w:keepNext w:val="false"/>
              <w:spacing w:after="0" w:before="0"/>
            </w:pPr>
            <w:r>
              <w:rPr>
                <w:b w:val="false"/>
                <w:bCs w:val="false"/>
                <w:color w:val="162554"/>
                <w:sz w:val="18"/>
                <w:szCs w:val="18"/>
              </w:rPr>
              <w:t xml:space="preserve">B</w:t>
            </w:r>
          </w:p>
        </w:tc>
      </w:tr>
      <w:tr>
        <w:trPr>
          <w:tblHeader w:val="false"/>
        </w:trPr>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Altex</w:t>
            </w:r>
          </w:p>
        </w:tc>
        <w:tc>
          <w:tcPr>
            <w:tcW w:type="dxa" w:w="2501"/>
            <w:tcMar>
              <w:top w:type="dxa" w:w="60"/>
              <w:left w:type="dxa" w:w="90"/>
              <w:bottom w:type="dxa" w:w="60"/>
              <w:right w:type="dxa" w:w="90"/>
            </w:tcMar>
          </w:tcPr>
          <w:p>
            <w:pPr>
              <w:keepNext w:val="false"/>
              <w:spacing w:after="0" w:before="0"/>
            </w:pPr>
            <w:r>
              <w:rPr>
                <w:b w:val="false"/>
                <w:bCs w:val="false"/>
                <w:color w:val="162554"/>
                <w:sz w:val="18"/>
                <w:szCs w:val="18"/>
              </w:rPr>
              <w:t xml:space="preserve">7,2 %</w:t>
            </w:r>
          </w:p>
        </w:tc>
        <w:tc>
          <w:tcPr>
            <w:tcW w:type="dxa" w:w="1937"/>
            <w:tcMar>
              <w:top w:type="dxa" w:w="60"/>
              <w:left w:type="dxa" w:w="90"/>
              <w:bottom w:type="dxa" w:w="60"/>
              <w:right w:type="dxa" w:w="90"/>
            </w:tcMar>
          </w:tcPr>
          <w:p>
            <w:pPr>
              <w:keepNext w:val="false"/>
              <w:spacing w:after="0" w:before="0"/>
            </w:pPr>
            <w:r>
              <w:rPr>
                <w:b w:val="false"/>
                <w:bCs w:val="false"/>
                <w:color w:val="162554"/>
                <w:sz w:val="18"/>
                <w:szCs w:val="18"/>
              </w:rPr>
              <w:t xml:space="preserve">4,4 %</w:t>
            </w:r>
          </w:p>
        </w:tc>
        <w:tc>
          <w:tcPr>
            <w:tcW w:type="dxa" w:w="3470"/>
            <w:tcMar>
              <w:top w:type="dxa" w:w="60"/>
              <w:left w:type="dxa" w:w="90"/>
              <w:bottom w:type="dxa" w:w="60"/>
              <w:right w:type="dxa" w:w="90"/>
            </w:tcMar>
          </w:tcPr>
          <w:p>
            <w:pPr>
              <w:keepNext w:val="false"/>
              <w:spacing w:after="0" w:before="0"/>
            </w:pPr>
            <w:r>
              <w:rPr>
                <w:b w:val="false"/>
                <w:bCs w:val="false"/>
                <w:color w:val="162554"/>
                <w:sz w:val="18"/>
                <w:szCs w:val="18"/>
              </w:rPr>
              <w:t xml:space="preserve">C</w:t>
            </w:r>
          </w:p>
        </w:tc>
      </w:tr>
      <w:tr>
        <w:trPr>
          <w:tblHeader w:val="false"/>
        </w:trPr>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eMAG</w:t>
            </w:r>
          </w:p>
        </w:tc>
        <w:tc>
          <w:tcPr>
            <w:tcW w:type="dxa" w:w="2501"/>
            <w:tcMar>
              <w:top w:type="dxa" w:w="60"/>
              <w:left w:type="dxa" w:w="90"/>
              <w:bottom w:type="dxa" w:w="60"/>
              <w:right w:type="dxa" w:w="90"/>
            </w:tcMar>
          </w:tcPr>
          <w:p>
            <w:pPr>
              <w:keepNext w:val="false"/>
              <w:spacing w:after="0" w:before="0"/>
            </w:pPr>
            <w:r>
              <w:rPr>
                <w:b w:val="false"/>
                <w:bCs w:val="false"/>
                <w:color w:val="162554"/>
                <w:sz w:val="18"/>
                <w:szCs w:val="18"/>
              </w:rPr>
              <w:t xml:space="preserve">8,5 %</w:t>
            </w:r>
          </w:p>
        </w:tc>
        <w:tc>
          <w:tcPr>
            <w:tcW w:type="dxa" w:w="1937"/>
            <w:tcMar>
              <w:top w:type="dxa" w:w="60"/>
              <w:left w:type="dxa" w:w="90"/>
              <w:bottom w:type="dxa" w:w="60"/>
              <w:right w:type="dxa" w:w="90"/>
            </w:tcMar>
          </w:tcPr>
          <w:p>
            <w:pPr>
              <w:keepNext w:val="false"/>
              <w:spacing w:after="0" w:before="0"/>
            </w:pPr>
            <w:r>
              <w:rPr>
                <w:b w:val="false"/>
                <w:bCs w:val="false"/>
                <w:color w:val="162554"/>
                <w:sz w:val="18"/>
                <w:szCs w:val="18"/>
              </w:rPr>
              <w:t xml:space="preserve">7,1 %</w:t>
            </w:r>
          </w:p>
        </w:tc>
        <w:tc>
          <w:tcPr>
            <w:tcW w:type="dxa" w:w="3470"/>
            <w:tcMar>
              <w:top w:type="dxa" w:w="60"/>
              <w:left w:type="dxa" w:w="90"/>
              <w:bottom w:type="dxa" w:w="60"/>
              <w:right w:type="dxa" w:w="90"/>
            </w:tcMar>
          </w:tcPr>
          <w:p>
            <w:pPr>
              <w:keepNext w:val="false"/>
              <w:spacing w:after="0" w:before="0"/>
            </w:pPr>
            <w:r>
              <w:rPr>
                <w:b w:val="false"/>
                <w:bCs w:val="false"/>
                <w:color w:val="162554"/>
                <w:sz w:val="18"/>
                <w:szCs w:val="18"/>
              </w:rPr>
              <w:t xml:space="preserve">C</w:t>
            </w:r>
          </w:p>
        </w:tc>
      </w:tr>
      <w:tr>
        <w:trPr>
          <w:tblHeader w:val="false"/>
        </w:trPr>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Carrefour</w:t>
            </w:r>
          </w:p>
        </w:tc>
        <w:tc>
          <w:tcPr>
            <w:tcW w:type="dxa" w:w="2501"/>
            <w:tcMar>
              <w:top w:type="dxa" w:w="60"/>
              <w:left w:type="dxa" w:w="90"/>
              <w:bottom w:type="dxa" w:w="60"/>
              <w:right w:type="dxa" w:w="90"/>
            </w:tcMar>
          </w:tcPr>
          <w:p>
            <w:pPr>
              <w:keepNext w:val="false"/>
              <w:spacing w:after="0" w:before="0"/>
            </w:pPr>
            <w:r>
              <w:rPr>
                <w:b w:val="false"/>
                <w:bCs w:val="false"/>
                <w:color w:val="162554"/>
                <w:sz w:val="18"/>
                <w:szCs w:val="18"/>
              </w:rPr>
              <w:t xml:space="preserve">7,7 %</w:t>
            </w:r>
          </w:p>
        </w:tc>
        <w:tc>
          <w:tcPr>
            <w:tcW w:type="dxa" w:w="1937"/>
            <w:tcMar>
              <w:top w:type="dxa" w:w="60"/>
              <w:left w:type="dxa" w:w="90"/>
              <w:bottom w:type="dxa" w:w="60"/>
              <w:right w:type="dxa" w:w="90"/>
            </w:tcMar>
          </w:tcPr>
          <w:p>
            <w:pPr>
              <w:keepNext w:val="false"/>
              <w:spacing w:after="0" w:before="0"/>
            </w:pPr>
            <w:r>
              <w:rPr>
                <w:b w:val="false"/>
                <w:bCs w:val="false"/>
                <w:color w:val="162554"/>
                <w:sz w:val="18"/>
                <w:szCs w:val="18"/>
              </w:rPr>
              <w:t xml:space="preserve">6,0 %</w:t>
            </w:r>
          </w:p>
        </w:tc>
        <w:tc>
          <w:tcPr>
            <w:tcW w:type="dxa" w:w="3470"/>
            <w:tcMar>
              <w:top w:type="dxa" w:w="60"/>
              <w:left w:type="dxa" w:w="90"/>
              <w:bottom w:type="dxa" w:w="60"/>
              <w:right w:type="dxa" w:w="90"/>
            </w:tcMar>
          </w:tcPr>
          <w:p>
            <w:pPr>
              <w:keepNext w:val="false"/>
              <w:spacing w:after="0" w:before="0"/>
            </w:pPr>
            <w:r>
              <w:rPr>
                <w:b w:val="false"/>
                <w:bCs w:val="false"/>
                <w:color w:val="162554"/>
                <w:sz w:val="18"/>
                <w:szCs w:val="18"/>
              </w:rPr>
              <w:t xml:space="preserve">D</w:t>
            </w:r>
          </w:p>
        </w:tc>
      </w:tr>
      <w:tr>
        <w:trPr>
          <w:tblHeader w:val="false"/>
        </w:trPr>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Auchan</w:t>
            </w:r>
          </w:p>
        </w:tc>
        <w:tc>
          <w:tcPr>
            <w:tcW w:type="dxa" w:w="2501"/>
            <w:tcMar>
              <w:top w:type="dxa" w:w="60"/>
              <w:left w:type="dxa" w:w="90"/>
              <w:bottom w:type="dxa" w:w="60"/>
              <w:right w:type="dxa" w:w="90"/>
            </w:tcMar>
          </w:tcPr>
          <w:p>
            <w:pPr>
              <w:keepNext w:val="false"/>
              <w:spacing w:after="0" w:before="0"/>
            </w:pPr>
            <w:r>
              <w:rPr>
                <w:b w:val="false"/>
                <w:bCs w:val="false"/>
                <w:color w:val="162554"/>
                <w:sz w:val="18"/>
                <w:szCs w:val="18"/>
              </w:rPr>
              <w:t xml:space="preserve">8,1 %</w:t>
            </w:r>
          </w:p>
        </w:tc>
        <w:tc>
          <w:tcPr>
            <w:tcW w:type="dxa" w:w="1937"/>
            <w:tcMar>
              <w:top w:type="dxa" w:w="60"/>
              <w:left w:type="dxa" w:w="90"/>
              <w:bottom w:type="dxa" w:w="60"/>
              <w:right w:type="dxa" w:w="90"/>
            </w:tcMar>
          </w:tcPr>
          <w:p>
            <w:pPr>
              <w:keepNext w:val="false"/>
              <w:spacing w:after="0" w:before="0"/>
            </w:pPr>
            <w:r>
              <w:rPr>
                <w:b w:val="false"/>
                <w:bCs w:val="false"/>
                <w:color w:val="162554"/>
                <w:sz w:val="18"/>
                <w:szCs w:val="18"/>
              </w:rPr>
              <w:t xml:space="preserve">9,1 %</w:t>
            </w:r>
          </w:p>
        </w:tc>
        <w:tc>
          <w:tcPr>
            <w:tcW w:type="dxa" w:w="3470"/>
            <w:tcMar>
              <w:top w:type="dxa" w:w="60"/>
              <w:left w:type="dxa" w:w="90"/>
              <w:bottom w:type="dxa" w:w="60"/>
              <w:right w:type="dxa" w:w="90"/>
            </w:tcMar>
          </w:tcPr>
          <w:p>
            <w:pPr>
              <w:keepNext w:val="false"/>
              <w:spacing w:after="0" w:before="0"/>
            </w:pPr>
            <w:r>
              <w:rPr>
                <w:b w:val="false"/>
                <w:bCs w:val="false"/>
                <w:color w:val="162554"/>
                <w:sz w:val="18"/>
                <w:szCs w:val="18"/>
              </w:rPr>
              <w:t xml:space="preserve">C</w:t>
            </w:r>
          </w:p>
        </w:tc>
      </w:tr>
      <w:tr>
        <w:trPr>
          <w:tblHeader w:val="false"/>
        </w:trPr>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Profi</w:t>
            </w:r>
          </w:p>
        </w:tc>
        <w:tc>
          <w:tcPr>
            <w:tcW w:type="dxa" w:w="2501"/>
            <w:tcMar>
              <w:top w:type="dxa" w:w="60"/>
              <w:left w:type="dxa" w:w="90"/>
              <w:bottom w:type="dxa" w:w="60"/>
              <w:right w:type="dxa" w:w="90"/>
            </w:tcMar>
          </w:tcPr>
          <w:p>
            <w:pPr>
              <w:keepNext w:val="false"/>
              <w:spacing w:after="0" w:before="0"/>
            </w:pPr>
            <w:r>
              <w:rPr>
                <w:b w:val="false"/>
                <w:bCs w:val="false"/>
                <w:color w:val="162554"/>
                <w:sz w:val="18"/>
                <w:szCs w:val="18"/>
              </w:rPr>
              <w:t xml:space="preserve">8,3 %</w:t>
            </w:r>
          </w:p>
        </w:tc>
        <w:tc>
          <w:tcPr>
            <w:tcW w:type="dxa" w:w="1937"/>
            <w:tcMar>
              <w:top w:type="dxa" w:w="60"/>
              <w:left w:type="dxa" w:w="90"/>
              <w:bottom w:type="dxa" w:w="60"/>
              <w:right w:type="dxa" w:w="90"/>
            </w:tcMar>
          </w:tcPr>
          <w:p>
            <w:pPr>
              <w:keepNext w:val="false"/>
              <w:spacing w:after="0" w:before="0"/>
            </w:pPr>
            <w:r>
              <w:rPr>
                <w:b w:val="false"/>
                <w:bCs w:val="false"/>
                <w:color w:val="162554"/>
                <w:sz w:val="18"/>
                <w:szCs w:val="18"/>
              </w:rPr>
              <w:t xml:space="preserve">27,9 %</w:t>
            </w:r>
          </w:p>
        </w:tc>
        <w:tc>
          <w:tcPr>
            <w:tcW w:type="dxa" w:w="3470"/>
            <w:tcMar>
              <w:top w:type="dxa" w:w="60"/>
              <w:left w:type="dxa" w:w="90"/>
              <w:bottom w:type="dxa" w:w="60"/>
              <w:right w:type="dxa" w:w="90"/>
            </w:tcMar>
          </w:tcPr>
          <w:p>
            <w:pPr>
              <w:keepNext w:val="false"/>
              <w:spacing w:after="0" w:before="0"/>
            </w:pPr>
            <w:r>
              <w:rPr>
                <w:b w:val="false"/>
                <w:bCs w:val="false"/>
                <w:color w:val="162554"/>
                <w:sz w:val="18"/>
                <w:szCs w:val="18"/>
              </w:rPr>
              <w:t xml:space="preserve">E</w:t>
            </w:r>
          </w:p>
        </w:tc>
      </w:tr>
      <w:tr>
        <w:trPr>
          <w:tblHeader w:val="false"/>
        </w:trPr>
        <w:tc>
          <w:tcPr>
            <w:tcW w:type="dxa" w:w="1452"/>
            <w:tcMar>
              <w:top w:type="dxa" w:w="60"/>
              <w:left w:type="dxa" w:w="90"/>
              <w:bottom w:type="dxa" w:w="60"/>
              <w:right w:type="dxa" w:w="90"/>
            </w:tcMar>
          </w:tcPr>
          <w:p>
            <w:pPr>
              <w:keepNext w:val="false"/>
              <w:spacing w:after="0" w:before="0"/>
            </w:pPr>
            <w:r>
              <w:rPr>
                <w:b w:val="false"/>
                <w:bCs w:val="false"/>
                <w:color w:val="162554"/>
                <w:sz w:val="18"/>
                <w:szCs w:val="18"/>
              </w:rPr>
              <w:t xml:space="preserve">Media eșantionului</w:t>
            </w:r>
          </w:p>
        </w:tc>
        <w:tc>
          <w:tcPr>
            <w:tcW w:type="dxa" w:w="2501"/>
            <w:tcMar>
              <w:top w:type="dxa" w:w="60"/>
              <w:left w:type="dxa" w:w="90"/>
              <w:bottom w:type="dxa" w:w="60"/>
              <w:right w:type="dxa" w:w="90"/>
            </w:tcMar>
          </w:tcPr>
          <w:p>
            <w:pPr>
              <w:keepNext w:val="false"/>
              <w:spacing w:after="0" w:before="0"/>
            </w:pPr>
            <w:r>
              <w:rPr>
                <w:b w:val="false"/>
                <w:bCs w:val="false"/>
                <w:color w:val="162554"/>
                <w:sz w:val="18"/>
                <w:szCs w:val="18"/>
              </w:rPr>
              <w:t xml:space="preserve">15,1 %</w:t>
            </w:r>
          </w:p>
        </w:tc>
        <w:tc>
          <w:tcPr>
            <w:tcW w:type="dxa" w:w="1937"/>
            <w:tcMar>
              <w:top w:type="dxa" w:w="60"/>
              <w:left w:type="dxa" w:w="90"/>
              <w:bottom w:type="dxa" w:w="60"/>
              <w:right w:type="dxa" w:w="90"/>
            </w:tcMar>
          </w:tcPr>
          <w:p>
            <w:pPr>
              <w:keepNext w:val="false"/>
              <w:spacing w:after="0" w:before="0"/>
            </w:pPr>
            <w:r>
              <w:rPr>
                <w:b w:val="false"/>
                <w:bCs w:val="false"/>
                <w:color w:val="162554"/>
                <w:sz w:val="18"/>
                <w:szCs w:val="18"/>
              </w:rPr>
              <w:t xml:space="preserve">—</w:t>
            </w:r>
          </w:p>
        </w:tc>
        <w:tc>
          <w:tcPr>
            <w:tcW w:type="dxa" w:w="3470"/>
            <w:tcMar>
              <w:top w:type="dxa" w:w="60"/>
              <w:left w:type="dxa" w:w="90"/>
              <w:bottom w:type="dxa" w:w="60"/>
              <w:right w:type="dxa" w:w="90"/>
            </w:tcMar>
          </w:tcPr>
          <w:p>
            <w:pPr>
              <w:keepNext w:val="false"/>
              <w:spacing w:after="0" w:before="0"/>
            </w:pPr>
            <w:r>
              <w:rPr>
                <w:b w:val="false"/>
                <w:bCs w:val="false"/>
                <w:color w:val="162554"/>
                <w:sz w:val="18"/>
                <w:szCs w:val="18"/>
              </w:rPr>
              <w:t xml:space="preserve">—</w:t>
            </w:r>
          </w:p>
        </w:tc>
      </w:tr>
    </w:tbl>
    <w:p>
      <w:pPr>
        <w:spacing w:after="80"/>
      </w:pPr>
    </w:p>
    <w:p>
      <w:pPr>
        <w:spacing w:after="100"/>
        <w:jc w:val="left"/>
      </w:pPr>
      <w:r>
        <w:t xml:space="preserve">Aceasta este demonstrația care încheie blocul: modelul liniar pune toate cele nouă companii într-o bandă îngustă de 6,6–8,5 % și </w:t>
      </w:r>
      <w:r>
        <w:rPr>
          <w:b/>
          <w:bCs/>
        </w:rPr>
        <w:t xml:space="preserve">nu poate distinge Profi de Dedeman</w:t>
      </w:r>
      <w:r>
        <w:t xml:space="preserve">; modelul neliniar le separă corect, de la 2,8 % la 27,9 %, și ajunge la aceeași ordonare ca scorecardul construit cu mâna la nivelul începător. Trei instrumente diferite, aceeași ordine la extreme — și dezacord în mijloc, unde stă munca de analist.</w:t>
      </w:r>
    </w:p>
    <w:p>
      <w:pPr>
        <w:spacing w:after="100"/>
        <w:jc w:val="left"/>
      </w:pPr>
      <w:r>
        <w:t xml:space="preserve">O nuanță pe care am măsurat-o și care trebuie tratată în implementare: PD-ul individual al modelului neliniar este instabil la reantrenare. Cu alt eșantion de antrenare, Profi trece de la 35,0 % la 27,6 % și Auchan de la 10,8 % la 7,0 %, în timp ce AUC-ul rămâne 0,73. Ordonarea e stabilă, cifra nu. De aceea scorurile de referință livrate în instrument sunt </w:t>
      </w:r>
      <w:r>
        <w:rPr>
          <w:b/>
          <w:bCs/>
        </w:rPr>
        <w:t xml:space="preserve">media a cinci antrenări</w:t>
      </w:r>
      <w:r>
        <w:t xml:space="preserve"> pe eșantioane diferite, toate din afara eșantionului livrat participanților — cifrele din tabel sunt deja medii. Este, în plus, o lecție gratuită: un model care ordonează bine nu produce automat o cifră pe care să o pui într-un memo.</w:t>
      </w:r>
    </w:p>
    <w:p>
      <w:pPr>
        <w:pStyle w:val="Heading1"/>
        <w:keepNext/>
        <w:spacing w:after="120" w:before="240" w:line="240" w:lineRule="auto"/>
      </w:pPr>
      <w:r>
        <w:t xml:space="preserve">Limite de declarat în tool, pe ecran</w:t>
      </w:r>
    </w:p>
    <w:p>
      <w:pPr>
        <w:spacing w:after="100"/>
        <w:jc w:val="left"/>
      </w:pPr>
      <w:r>
        <w:t xml:space="preserve">Nu avem istoric de default: evenimentul este un </w:t>
      </w:r>
      <w:r>
        <w:rPr>
          <w:i/>
          <w:iCs/>
        </w:rPr>
        <w:t xml:space="preserve">proxy</w:t>
      </w:r>
      <w:r>
        <w:t xml:space="preserve"> construit din date contabile, deci PD-ul afișat nu este o probabilitate de neplată bancară și nu se compară cu PD-ul unui model intern. Fereastra este de un an, populația e întreagă (nu doar firme cu credit), iar datele publice nu conțin scadența datoriilor, dobânzile sau EBITDA — deci lipsește tocmai variabila care ar conta cel mai mult, acoperirea serviciului datoriei.</w:t>
      </w:r>
    </w:p>
    <w:p>
      <w:r>
        <w:br w:type="page"/>
      </w:r>
    </w:p>
    <w:p>
      <w:pPr>
        <w:pStyle w:val="Title"/>
        <w:keepNext/>
        <w:spacing w:after="120" w:before="360" w:line="240" w:lineRule="auto"/>
      </w:pPr>
      <w:r>
        <w:t xml:space="preserve">Toolul 2 · Motorul de percentile: clientul în distribuția lui</w:t>
      </w:r>
    </w:p>
    <w:p>
      <w:pPr>
        <w:spacing w:after="100"/>
        <w:jc w:val="left"/>
      </w:pPr>
      <w:r>
        <w:rPr>
          <w:b/>
          <w:bCs/>
        </w:rPr>
        <w:t xml:space="preserve">Ce este.</w:t>
      </w:r>
      <w:r>
        <w:t xml:space="preserve"> Pentru orice CUI: unde stă fiecare rată a companiei în distribuția sectorului ei (diviziune CAEN) și a benzii ei de mărime, cum s-a mișcat percentila în trei ani, și ce procent din sector ar respinge pragurile băncii tale.</w:t>
      </w:r>
    </w:p>
    <w:p>
      <w:pPr>
        <w:spacing w:after="100"/>
        <w:jc w:val="left"/>
      </w:pPr>
      <w:r>
        <w:rPr>
          <w:b/>
          <w:bCs/>
        </w:rPr>
        <w:t xml:space="preserve">De ce merită un bloc.</w:t>
      </w:r>
      <w:r>
        <w:t xml:space="preserve"> Pentru că răspunde la singura obiecție serioasă la scorecardul de la nivelul începător: pragurile au fost alese de noi, fără referință. Aici referința este populația.</w:t>
      </w:r>
    </w:p>
    <w:p>
      <w:pPr>
        <w:pStyle w:val="Heading1"/>
        <w:keepNext/>
        <w:spacing w:after="120" w:before="240" w:line="240" w:lineRule="auto"/>
      </w:pPr>
      <w:r>
        <w:t xml:space="preserve">Ecrane și controale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4"/>
        <w:gridCol w:w="3873"/>
        <w:gridCol w:w="3873"/>
      </w:tblGrid>
      <w:tr>
        <w:trPr>
          <w:tblHeader/>
        </w:trPr>
        <w:tc>
          <w:tcPr>
            <w:tcW w:type="dxa" w:w="1614"/>
            <w:shd w:fill="EDF3FF" w:color="auto" w:val="clear"/>
            <w:tcMar>
              <w:top w:type="dxa" w:w="60"/>
              <w:left w:type="dxa" w:w="90"/>
              <w:bottom w:type="dxa" w:w="60"/>
              <w:right w:type="dxa" w:w="90"/>
            </w:tcMar>
          </w:tcPr>
          <w:p>
            <w:pPr>
              <w:keepNext/>
              <w:spacing w:after="0" w:before="0"/>
            </w:pPr>
            <w:r>
              <w:rPr>
                <w:b/>
                <w:bCs/>
                <w:color w:val="1A35A8"/>
                <w:sz w:val="18"/>
                <w:szCs w:val="18"/>
              </w:rPr>
              <w:t xml:space="preserve">Panou</w:t>
            </w:r>
          </w:p>
        </w:tc>
        <w:tc>
          <w:tcPr>
            <w:tcW w:type="dxa" w:w="3873"/>
            <w:shd w:fill="EDF3FF" w:color="auto" w:val="clear"/>
            <w:tcMar>
              <w:top w:type="dxa" w:w="60"/>
              <w:left w:type="dxa" w:w="90"/>
              <w:bottom w:type="dxa" w:w="60"/>
              <w:right w:type="dxa" w:w="90"/>
            </w:tcMar>
          </w:tcPr>
          <w:p>
            <w:pPr>
              <w:keepNext/>
              <w:spacing w:after="0" w:before="0"/>
            </w:pPr>
            <w:r>
              <w:rPr>
                <w:b/>
                <w:bCs/>
                <w:color w:val="1A35A8"/>
                <w:sz w:val="18"/>
                <w:szCs w:val="18"/>
              </w:rPr>
              <w:t xml:space="preserve">Conținut</w:t>
            </w:r>
          </w:p>
        </w:tc>
        <w:tc>
          <w:tcPr>
            <w:tcW w:type="dxa" w:w="3873"/>
            <w:shd w:fill="EDF3FF" w:color="auto" w:val="clear"/>
            <w:tcMar>
              <w:top w:type="dxa" w:w="60"/>
              <w:left w:type="dxa" w:w="90"/>
              <w:bottom w:type="dxa" w:w="60"/>
              <w:right w:type="dxa" w:w="90"/>
            </w:tcMar>
          </w:tcPr>
          <w:p>
            <w:pPr>
              <w:keepNext/>
              <w:spacing w:after="0" w:before="0"/>
            </w:pPr>
            <w:r>
              <w:rPr>
                <w:b/>
                <w:bCs/>
                <w:color w:val="1A35A8"/>
                <w:sz w:val="18"/>
                <w:szCs w:val="18"/>
              </w:rPr>
              <w:t xml:space="preserve">Controale</w:t>
            </w:r>
          </w:p>
        </w:tc>
      </w:tr>
      <w:tr>
        <w:trPr>
          <w:tblHeader w:val="false"/>
        </w:trPr>
        <w:tc>
          <w:tcPr>
            <w:tcW w:type="dxa" w:w="1614"/>
            <w:tcMar>
              <w:top w:type="dxa" w:w="60"/>
              <w:left w:type="dxa" w:w="90"/>
              <w:bottom w:type="dxa" w:w="60"/>
              <w:right w:type="dxa" w:w="90"/>
            </w:tcMar>
          </w:tcPr>
          <w:p>
            <w:pPr>
              <w:keepNext/>
              <w:spacing w:after="0" w:before="0"/>
            </w:pPr>
            <w:r>
              <w:rPr>
                <w:b w:val="false"/>
                <w:bCs w:val="false"/>
                <w:color w:val="162554"/>
                <w:sz w:val="18"/>
                <w:szCs w:val="18"/>
              </w:rPr>
              <w:t xml:space="preserve">1 · Profilul relativ</w:t>
            </w:r>
          </w:p>
        </w:tc>
        <w:tc>
          <w:tcPr>
            <w:tcW w:type="dxa" w:w="3873"/>
            <w:tcMar>
              <w:top w:type="dxa" w:w="60"/>
              <w:left w:type="dxa" w:w="90"/>
              <w:bottom w:type="dxa" w:w="60"/>
              <w:right w:type="dxa" w:w="90"/>
            </w:tcMar>
          </w:tcPr>
          <w:p>
            <w:pPr>
              <w:keepNext/>
              <w:spacing w:after="0" w:before="0"/>
            </w:pPr>
            <w:r>
              <w:rPr>
                <w:b w:val="false"/>
                <w:bCs w:val="false"/>
                <w:color w:val="162554"/>
                <w:sz w:val="18"/>
                <w:szCs w:val="18"/>
              </w:rPr>
              <w:t xml:space="preserve">Bare de percentilă pentru cele 9 rate, cu mediana și cuartilele sectorului; valoarea absolută afișată alături</w:t>
            </w:r>
          </w:p>
        </w:tc>
        <w:tc>
          <w:tcPr>
            <w:tcW w:type="dxa" w:w="3873"/>
            <w:tcMar>
              <w:top w:type="dxa" w:w="60"/>
              <w:left w:type="dxa" w:w="90"/>
              <w:bottom w:type="dxa" w:w="60"/>
              <w:right w:type="dxa" w:w="90"/>
            </w:tcMar>
          </w:tcPr>
          <w:p>
            <w:pPr>
              <w:keepNext/>
              <w:spacing w:after="0" w:before="0"/>
            </w:pPr>
            <w:r>
              <w:rPr>
                <w:b w:val="false"/>
                <w:bCs w:val="false"/>
                <w:color w:val="162554"/>
                <w:sz w:val="18"/>
                <w:szCs w:val="18"/>
              </w:rPr>
              <w:t xml:space="preserve">CUI / listă demo; comutator „tot sectorul / sectorul × banda mea de mărime”; alegerea anului</w:t>
            </w:r>
          </w:p>
        </w:tc>
      </w:tr>
      <w:tr>
        <w:trPr>
          <w:tblHeader w:val="false"/>
        </w:trPr>
        <w:tc>
          <w:tcPr>
            <w:tcW w:type="dxa" w:w="1614"/>
            <w:tcMar>
              <w:top w:type="dxa" w:w="60"/>
              <w:left w:type="dxa" w:w="90"/>
              <w:bottom w:type="dxa" w:w="60"/>
              <w:right w:type="dxa" w:w="90"/>
            </w:tcMar>
          </w:tcPr>
          <w:p>
            <w:pPr>
              <w:keepNext/>
              <w:spacing w:after="0" w:before="0"/>
            </w:pPr>
            <w:r>
              <w:rPr>
                <w:b w:val="false"/>
                <w:bCs w:val="false"/>
                <w:color w:val="162554"/>
                <w:sz w:val="18"/>
                <w:szCs w:val="18"/>
              </w:rPr>
              <w:t xml:space="preserve">2 · Distribuția</w:t>
            </w:r>
          </w:p>
        </w:tc>
        <w:tc>
          <w:tcPr>
            <w:tcW w:type="dxa" w:w="3873"/>
            <w:tcMar>
              <w:top w:type="dxa" w:w="60"/>
              <w:left w:type="dxa" w:w="90"/>
              <w:bottom w:type="dxa" w:w="60"/>
              <w:right w:type="dxa" w:w="90"/>
            </w:tcMar>
          </w:tcPr>
          <w:p>
            <w:pPr>
              <w:keepNext/>
              <w:spacing w:after="0" w:before="0"/>
            </w:pPr>
            <w:r>
              <w:rPr>
                <w:b w:val="false"/>
                <w:bCs w:val="false"/>
                <w:color w:val="162554"/>
                <w:sz w:val="18"/>
                <w:szCs w:val="18"/>
              </w:rPr>
              <w:t xml:space="preserve">Histograma sectorului pentru rata selectată, cu poziția companiei marcată și pragul băncii ca linie verticală</w:t>
            </w:r>
          </w:p>
        </w:tc>
        <w:tc>
          <w:tcPr>
            <w:tcW w:type="dxa" w:w="3873"/>
            <w:tcMar>
              <w:top w:type="dxa" w:w="60"/>
              <w:left w:type="dxa" w:w="90"/>
              <w:bottom w:type="dxa" w:w="60"/>
              <w:right w:type="dxa" w:w="90"/>
            </w:tcMar>
          </w:tcPr>
          <w:p>
            <w:pPr>
              <w:keepNext/>
              <w:spacing w:after="0" w:before="0"/>
            </w:pPr>
            <w:r>
              <w:rPr>
                <w:b w:val="false"/>
                <w:bCs w:val="false"/>
                <w:color w:val="162554"/>
                <w:sz w:val="18"/>
                <w:szCs w:val="18"/>
              </w:rPr>
              <w:t xml:space="preserve">Selector de rată; cursor pentru prag</w:t>
            </w:r>
          </w:p>
        </w:tc>
      </w:tr>
      <w:tr>
        <w:trPr>
          <w:tblHeader w:val="false"/>
        </w:trPr>
        <w:tc>
          <w:tcPr>
            <w:tcW w:type="dxa" w:w="1614"/>
            <w:tcMar>
              <w:top w:type="dxa" w:w="60"/>
              <w:left w:type="dxa" w:w="90"/>
              <w:bottom w:type="dxa" w:w="60"/>
              <w:right w:type="dxa" w:w="90"/>
            </w:tcMar>
          </w:tcPr>
          <w:p>
            <w:pPr>
              <w:keepNext/>
              <w:spacing w:after="0" w:before="0"/>
            </w:pPr>
            <w:r>
              <w:rPr>
                <w:b w:val="false"/>
                <w:bCs w:val="false"/>
                <w:color w:val="162554"/>
                <w:sz w:val="18"/>
                <w:szCs w:val="18"/>
              </w:rPr>
              <w:t xml:space="preserve">3 · Explorator de praguri</w:t>
            </w:r>
          </w:p>
        </w:tc>
        <w:tc>
          <w:tcPr>
            <w:tcW w:type="dxa" w:w="3873"/>
            <w:tcMar>
              <w:top w:type="dxa" w:w="60"/>
              <w:left w:type="dxa" w:w="90"/>
              <w:bottom w:type="dxa" w:w="60"/>
              <w:right w:type="dxa" w:w="90"/>
            </w:tcMar>
          </w:tcPr>
          <w:p>
            <w:pPr>
              <w:keepNext/>
              <w:spacing w:after="0" w:before="0"/>
            </w:pPr>
            <w:r>
              <w:rPr>
                <w:b w:val="false"/>
                <w:bCs w:val="false"/>
                <w:color w:val="162554"/>
                <w:sz w:val="18"/>
                <w:szCs w:val="18"/>
              </w:rPr>
              <w:t xml:space="preserve">Pentru pragurile alese: ce procent din fiecare sector le trece; tabel sortabil pe sectoare</w:t>
            </w:r>
          </w:p>
        </w:tc>
        <w:tc>
          <w:tcPr>
            <w:tcW w:type="dxa" w:w="3873"/>
            <w:tcMar>
              <w:top w:type="dxa" w:w="60"/>
              <w:left w:type="dxa" w:w="90"/>
              <w:bottom w:type="dxa" w:w="60"/>
              <w:right w:type="dxa" w:w="90"/>
            </w:tcMar>
          </w:tcPr>
          <w:p>
            <w:pPr>
              <w:keepNext/>
              <w:spacing w:after="0" w:before="0"/>
            </w:pPr>
            <w:r>
              <w:rPr>
                <w:b w:val="false"/>
                <w:bCs w:val="false"/>
                <w:color w:val="162554"/>
                <w:sz w:val="18"/>
                <w:szCs w:val="18"/>
              </w:rPr>
              <w:t xml:space="preserve">Cele 8 praguri ale scorecardului, editabile</w:t>
            </w:r>
          </w:p>
        </w:tc>
      </w:tr>
      <w:tr>
        <w:trPr>
          <w:tblHeader w:val="false"/>
        </w:trPr>
        <w:tc>
          <w:tcPr>
            <w:tcW w:type="dxa" w:w="1614"/>
            <w:tcMar>
              <w:top w:type="dxa" w:w="60"/>
              <w:left w:type="dxa" w:w="90"/>
              <w:bottom w:type="dxa" w:w="60"/>
              <w:right w:type="dxa" w:w="90"/>
            </w:tcMar>
          </w:tcPr>
          <w:p>
            <w:pPr>
              <w:keepNext w:val="false"/>
              <w:spacing w:after="0" w:before="0"/>
            </w:pPr>
            <w:r>
              <w:rPr>
                <w:b w:val="false"/>
                <w:bCs w:val="false"/>
                <w:color w:val="162554"/>
                <w:sz w:val="18"/>
                <w:szCs w:val="18"/>
              </w:rPr>
              <w:t xml:space="preserve">4 · Migrația</w:t>
            </w:r>
          </w:p>
        </w:tc>
        <w:tc>
          <w:tcPr>
            <w:tcW w:type="dxa" w:w="3873"/>
            <w:tcMar>
              <w:top w:type="dxa" w:w="60"/>
              <w:left w:type="dxa" w:w="90"/>
              <w:bottom w:type="dxa" w:w="60"/>
              <w:right w:type="dxa" w:w="90"/>
            </w:tcMar>
          </w:tcPr>
          <w:p>
            <w:pPr>
              <w:keepNext w:val="false"/>
              <w:spacing w:after="0" w:before="0"/>
            </w:pPr>
            <w:r>
              <w:rPr>
                <w:b w:val="false"/>
                <w:bCs w:val="false"/>
                <w:color w:val="162554"/>
                <w:sz w:val="18"/>
                <w:szCs w:val="18"/>
              </w:rPr>
              <w:t xml:space="preserve">Traiectoria percentilelor 2023 → 2024 → 2025, cu semnalizarea scăderilor de peste 20 de puncte</w:t>
            </w:r>
          </w:p>
        </w:tc>
        <w:tc>
          <w:tcPr>
            <w:tcW w:type="dxa" w:w="3873"/>
            <w:tcMar>
              <w:top w:type="dxa" w:w="60"/>
              <w:left w:type="dxa" w:w="90"/>
              <w:bottom w:type="dxa" w:w="60"/>
              <w:right w:type="dxa" w:w="90"/>
            </w:tcMar>
          </w:tcPr>
          <w:p>
            <w:pPr>
              <w:keepNext w:val="false"/>
              <w:spacing w:after="0" w:before="0"/>
            </w:pPr>
            <w:r>
              <w:rPr>
                <w:b w:val="false"/>
                <w:bCs w:val="false"/>
                <w:color w:val="162554"/>
                <w:sz w:val="18"/>
                <w:szCs w:val="18"/>
              </w:rPr>
              <w:t xml:space="preserve">Comutator rată / toate ratele</w:t>
            </w:r>
          </w:p>
        </w:tc>
      </w:tr>
    </w:tbl>
    <w:p>
      <w:pPr>
        <w:spacing w:after="80"/>
      </w:pPr>
    </w:p>
    <w:p>
      <w:pPr>
        <w:pStyle w:val="Heading1"/>
        <w:keepNext/>
        <w:spacing w:after="120" w:before="240" w:line="240" w:lineRule="auto"/>
      </w:pPr>
      <w:r>
        <w:t xml:space="preserve">Mecanica</w:t>
      </w:r>
    </w:p>
    <w:p>
      <w:pPr>
        <w:spacing w:after="100"/>
        <w:jc w:val="left"/>
      </w:pPr>
      <w:r>
        <w:t xml:space="preserve">Se livrează tabele de percentile precalculate (1.013 celule sector × bandă × an cu cel puțin 30 de firme, 10 rate, 21 de percentile — 0,6 MB comprimat), nu se calculează în browser. Histograma din panoul 2 se reconstruiește din funcția de cuantile: fiecare dintre cele 20 de intervale dintre percentile poartă exact 5 % din masă. Benzile de mărime, după cifra de afaceri: micro sub 2 mil. lei, mică 2–10 mil., medie 10–50 mil., mare peste 50 mil. Celulele cu mai puțin de 100 de firme se afișează cu avertisment, iar sub 30 de firme nu se afișează deloc — trecem pe diviziunea CAEN fără bandă de mărime.</w:t>
      </w:r>
    </w:p>
    <w:p>
      <w:pPr>
        <w:pStyle w:val="Heading1"/>
        <w:keepNext/>
        <w:spacing w:after="120" w:before="240" w:line="240" w:lineRule="auto"/>
      </w:pPr>
      <w:r>
        <w:t xml:space="preserve">Exercițiul 3 · Pragul tău, măsurat pe populație (20 de minute)</w:t>
      </w:r>
    </w:p>
    <w:p>
      <w:pPr>
        <w:spacing w:after="100"/>
        <w:jc w:val="left"/>
      </w:pPr>
      <w:r>
        <w:t xml:space="preserve">Participantul pornește de la pragul clasic „lichiditate curentă peste 1,5” și îl caută în sectoare. Cifrele reale, pentru firme medii și mari: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6"/>
        <w:gridCol w:w="985"/>
        <w:gridCol w:w="2299"/>
        <w:gridCol w:w="2217"/>
        <w:gridCol w:w="903"/>
      </w:tblGrid>
      <w:tr>
        <w:trPr>
          <w:tblHeader/>
        </w:trPr>
        <w:tc>
          <w:tcPr>
            <w:tcW w:type="dxa" w:w="2956"/>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Sector (diviziune CAEN)</w:t>
            </w:r>
          </w:p>
        </w:tc>
        <w:tc>
          <w:tcPr>
            <w:tcW w:type="dxa" w:w="985"/>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Firme</w:t>
            </w:r>
          </w:p>
        </w:tc>
        <w:tc>
          <w:tcPr>
            <w:tcW w:type="dxa" w:w="2299"/>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Mediana lichidității curente</w:t>
            </w:r>
          </w:p>
        </w:tc>
        <w:tc>
          <w:tcPr>
            <w:tcW w:type="dxa" w:w="2217"/>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Percentila în care cade 1,5</w:t>
            </w:r>
          </w:p>
        </w:tc>
        <w:tc>
          <w:tcPr>
            <w:tcW w:type="dxa" w:w="903"/>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Trec pragul</w:t>
            </w:r>
          </w:p>
        </w:tc>
      </w:tr>
      <w:tr>
        <w:trPr>
          <w:tblHeader w:val="false"/>
        </w:trPr>
        <w:tc>
          <w:tcPr>
            <w:tcW w:type="dxa" w:w="2956"/>
            <w:tcMar>
              <w:top w:type="dxa" w:w="60"/>
              <w:left w:type="dxa" w:w="90"/>
              <w:bottom w:type="dxa" w:w="60"/>
              <w:right w:type="dxa" w:w="90"/>
            </w:tcMar>
          </w:tcPr>
          <w:p>
            <w:pPr>
              <w:keepNext w:val="false"/>
              <w:spacing w:after="0" w:before="0"/>
            </w:pPr>
            <w:r>
              <w:rPr>
                <w:b w:val="false"/>
                <w:bCs w:val="false"/>
                <w:color w:val="162554"/>
                <w:sz w:val="18"/>
                <w:szCs w:val="18"/>
              </w:rPr>
              <w:t xml:space="preserve">62 · Programare și consultanță IT</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31.062</w:t>
            </w:r>
          </w:p>
        </w:tc>
        <w:tc>
          <w:tcPr>
            <w:tcW w:type="dxa" w:w="2299"/>
            <w:tcMar>
              <w:top w:type="dxa" w:w="60"/>
              <w:left w:type="dxa" w:w="90"/>
              <w:bottom w:type="dxa" w:w="60"/>
              <w:right w:type="dxa" w:w="90"/>
            </w:tcMar>
          </w:tcPr>
          <w:p>
            <w:pPr>
              <w:keepNext w:val="false"/>
              <w:spacing w:after="0" w:before="0"/>
            </w:pPr>
            <w:r>
              <w:rPr>
                <w:b w:val="false"/>
                <w:bCs w:val="false"/>
                <w:color w:val="162554"/>
                <w:sz w:val="18"/>
                <w:szCs w:val="18"/>
              </w:rPr>
              <w:t xml:space="preserve">3,80</w:t>
            </w:r>
          </w:p>
        </w:tc>
        <w:tc>
          <w:tcPr>
            <w:tcW w:type="dxa" w:w="2217"/>
            <w:tcMar>
              <w:top w:type="dxa" w:w="60"/>
              <w:left w:type="dxa" w:w="90"/>
              <w:bottom w:type="dxa" w:w="60"/>
              <w:right w:type="dxa" w:w="90"/>
            </w:tcMar>
          </w:tcPr>
          <w:p>
            <w:pPr>
              <w:keepNext w:val="false"/>
              <w:spacing w:after="0" w:before="0"/>
            </w:pPr>
            <w:r>
              <w:rPr>
                <w:b w:val="false"/>
                <w:bCs w:val="false"/>
                <w:color w:val="162554"/>
                <w:sz w:val="18"/>
                <w:szCs w:val="18"/>
              </w:rPr>
              <w:t xml:space="preserve">27</w:t>
            </w:r>
          </w:p>
        </w:tc>
        <w:tc>
          <w:tcPr>
            <w:tcW w:type="dxa" w:w="903"/>
            <w:tcMar>
              <w:top w:type="dxa" w:w="60"/>
              <w:left w:type="dxa" w:w="90"/>
              <w:bottom w:type="dxa" w:w="60"/>
              <w:right w:type="dxa" w:w="90"/>
            </w:tcMar>
          </w:tcPr>
          <w:p>
            <w:pPr>
              <w:keepNext w:val="false"/>
              <w:spacing w:after="0" w:before="0"/>
            </w:pPr>
            <w:r>
              <w:rPr>
                <w:b w:val="false"/>
                <w:bCs w:val="false"/>
                <w:color w:val="162554"/>
                <w:sz w:val="18"/>
                <w:szCs w:val="18"/>
              </w:rPr>
              <w:t xml:space="preserve">73 %</w:t>
            </w:r>
          </w:p>
        </w:tc>
      </w:tr>
      <w:tr>
        <w:trPr>
          <w:tblHeader w:val="false"/>
        </w:trPr>
        <w:tc>
          <w:tcPr>
            <w:tcW w:type="dxa" w:w="2956"/>
            <w:tcMar>
              <w:top w:type="dxa" w:w="60"/>
              <w:left w:type="dxa" w:w="90"/>
              <w:bottom w:type="dxa" w:w="60"/>
              <w:right w:type="dxa" w:w="90"/>
            </w:tcMar>
          </w:tcPr>
          <w:p>
            <w:pPr>
              <w:keepNext w:val="false"/>
              <w:spacing w:after="0" w:before="0"/>
            </w:pPr>
            <w:r>
              <w:rPr>
                <w:b w:val="false"/>
                <w:bCs w:val="false"/>
                <w:color w:val="162554"/>
                <w:sz w:val="18"/>
                <w:szCs w:val="18"/>
              </w:rPr>
              <w:t xml:space="preserve">71 · Arhitectură și inginerie</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24.385</w:t>
            </w:r>
          </w:p>
        </w:tc>
        <w:tc>
          <w:tcPr>
            <w:tcW w:type="dxa" w:w="2299"/>
            <w:tcMar>
              <w:top w:type="dxa" w:w="60"/>
              <w:left w:type="dxa" w:w="90"/>
              <w:bottom w:type="dxa" w:w="60"/>
              <w:right w:type="dxa" w:w="90"/>
            </w:tcMar>
          </w:tcPr>
          <w:p>
            <w:pPr>
              <w:keepNext w:val="false"/>
              <w:spacing w:after="0" w:before="0"/>
            </w:pPr>
            <w:r>
              <w:rPr>
                <w:b w:val="false"/>
                <w:bCs w:val="false"/>
                <w:color w:val="162554"/>
                <w:sz w:val="18"/>
                <w:szCs w:val="18"/>
              </w:rPr>
              <w:t xml:space="preserve">1,82</w:t>
            </w:r>
          </w:p>
        </w:tc>
        <w:tc>
          <w:tcPr>
            <w:tcW w:type="dxa" w:w="2217"/>
            <w:tcMar>
              <w:top w:type="dxa" w:w="60"/>
              <w:left w:type="dxa" w:w="90"/>
              <w:bottom w:type="dxa" w:w="60"/>
              <w:right w:type="dxa" w:w="90"/>
            </w:tcMar>
          </w:tcPr>
          <w:p>
            <w:pPr>
              <w:keepNext w:val="false"/>
              <w:spacing w:after="0" w:before="0"/>
            </w:pPr>
            <w:r>
              <w:rPr>
                <w:b w:val="false"/>
                <w:bCs w:val="false"/>
                <w:color w:val="162554"/>
                <w:sz w:val="18"/>
                <w:szCs w:val="18"/>
              </w:rPr>
              <w:t xml:space="preserve">43</w:t>
            </w:r>
          </w:p>
        </w:tc>
        <w:tc>
          <w:tcPr>
            <w:tcW w:type="dxa" w:w="903"/>
            <w:tcMar>
              <w:top w:type="dxa" w:w="60"/>
              <w:left w:type="dxa" w:w="90"/>
              <w:bottom w:type="dxa" w:w="60"/>
              <w:right w:type="dxa" w:w="90"/>
            </w:tcMar>
          </w:tcPr>
          <w:p>
            <w:pPr>
              <w:keepNext w:val="false"/>
              <w:spacing w:after="0" w:before="0"/>
            </w:pPr>
            <w:r>
              <w:rPr>
                <w:b w:val="false"/>
                <w:bCs w:val="false"/>
                <w:color w:val="162554"/>
                <w:sz w:val="18"/>
                <w:szCs w:val="18"/>
              </w:rPr>
              <w:t xml:space="preserve">57 %</w:t>
            </w:r>
          </w:p>
        </w:tc>
      </w:tr>
      <w:tr>
        <w:trPr>
          <w:tblHeader w:val="false"/>
        </w:trPr>
        <w:tc>
          <w:tcPr>
            <w:tcW w:type="dxa" w:w="2956"/>
            <w:tcMar>
              <w:top w:type="dxa" w:w="60"/>
              <w:left w:type="dxa" w:w="90"/>
              <w:bottom w:type="dxa" w:w="60"/>
              <w:right w:type="dxa" w:w="90"/>
            </w:tcMar>
          </w:tcPr>
          <w:p>
            <w:pPr>
              <w:keepNext w:val="false"/>
              <w:spacing w:after="0" w:before="0"/>
            </w:pPr>
            <w:r>
              <w:rPr>
                <w:b w:val="false"/>
                <w:bCs w:val="false"/>
                <w:color w:val="162554"/>
                <w:sz w:val="18"/>
                <w:szCs w:val="18"/>
              </w:rPr>
              <w:t xml:space="preserve">86 · Sănătate</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29.530</w:t>
            </w:r>
          </w:p>
        </w:tc>
        <w:tc>
          <w:tcPr>
            <w:tcW w:type="dxa" w:w="2299"/>
            <w:tcMar>
              <w:top w:type="dxa" w:w="60"/>
              <w:left w:type="dxa" w:w="90"/>
              <w:bottom w:type="dxa" w:w="60"/>
              <w:right w:type="dxa" w:w="90"/>
            </w:tcMar>
          </w:tcPr>
          <w:p>
            <w:pPr>
              <w:keepNext w:val="false"/>
              <w:spacing w:after="0" w:before="0"/>
            </w:pPr>
            <w:r>
              <w:rPr>
                <w:b w:val="false"/>
                <w:bCs w:val="false"/>
                <w:color w:val="162554"/>
                <w:sz w:val="18"/>
                <w:szCs w:val="18"/>
              </w:rPr>
              <w:t xml:space="preserve">1,51</w:t>
            </w:r>
          </w:p>
        </w:tc>
        <w:tc>
          <w:tcPr>
            <w:tcW w:type="dxa" w:w="2217"/>
            <w:tcMar>
              <w:top w:type="dxa" w:w="60"/>
              <w:left w:type="dxa" w:w="90"/>
              <w:bottom w:type="dxa" w:w="60"/>
              <w:right w:type="dxa" w:w="90"/>
            </w:tcMar>
          </w:tcPr>
          <w:p>
            <w:pPr>
              <w:keepNext w:val="false"/>
              <w:spacing w:after="0" w:before="0"/>
            </w:pPr>
            <w:r>
              <w:rPr>
                <w:b w:val="false"/>
                <w:bCs w:val="false"/>
                <w:color w:val="162554"/>
                <w:sz w:val="18"/>
                <w:szCs w:val="18"/>
              </w:rPr>
              <w:t xml:space="preserve">50</w:t>
            </w:r>
          </w:p>
        </w:tc>
        <w:tc>
          <w:tcPr>
            <w:tcW w:type="dxa" w:w="903"/>
            <w:tcMar>
              <w:top w:type="dxa" w:w="60"/>
              <w:left w:type="dxa" w:w="90"/>
              <w:bottom w:type="dxa" w:w="60"/>
              <w:right w:type="dxa" w:w="90"/>
            </w:tcMar>
          </w:tcPr>
          <w:p>
            <w:pPr>
              <w:keepNext w:val="false"/>
              <w:spacing w:after="0" w:before="0"/>
            </w:pPr>
            <w:r>
              <w:rPr>
                <w:b w:val="false"/>
                <w:bCs w:val="false"/>
                <w:color w:val="162554"/>
                <w:sz w:val="18"/>
                <w:szCs w:val="18"/>
              </w:rPr>
              <w:t xml:space="preserve">50 %</w:t>
            </w:r>
          </w:p>
        </w:tc>
      </w:tr>
      <w:tr>
        <w:trPr>
          <w:tblHeader w:val="false"/>
        </w:trPr>
        <w:tc>
          <w:tcPr>
            <w:tcW w:type="dxa" w:w="2956"/>
            <w:tcMar>
              <w:top w:type="dxa" w:w="60"/>
              <w:left w:type="dxa" w:w="90"/>
              <w:bottom w:type="dxa" w:w="60"/>
              <w:right w:type="dxa" w:w="90"/>
            </w:tcMar>
          </w:tcPr>
          <w:p>
            <w:pPr>
              <w:keepNext w:val="false"/>
              <w:spacing w:after="0" w:before="0"/>
            </w:pPr>
            <w:r>
              <w:rPr>
                <w:b w:val="false"/>
                <w:bCs w:val="false"/>
                <w:color w:val="162554"/>
                <w:sz w:val="18"/>
                <w:szCs w:val="18"/>
              </w:rPr>
              <w:t xml:space="preserve">43 · Lucrări speciale de construcții</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31.924</w:t>
            </w:r>
          </w:p>
        </w:tc>
        <w:tc>
          <w:tcPr>
            <w:tcW w:type="dxa" w:w="2299"/>
            <w:tcMar>
              <w:top w:type="dxa" w:w="60"/>
              <w:left w:type="dxa" w:w="90"/>
              <w:bottom w:type="dxa" w:w="60"/>
              <w:right w:type="dxa" w:w="90"/>
            </w:tcMar>
          </w:tcPr>
          <w:p>
            <w:pPr>
              <w:keepNext w:val="false"/>
              <w:spacing w:after="0" w:before="0"/>
            </w:pPr>
            <w:r>
              <w:rPr>
                <w:b w:val="false"/>
                <w:bCs w:val="false"/>
                <w:color w:val="162554"/>
                <w:sz w:val="18"/>
                <w:szCs w:val="18"/>
              </w:rPr>
              <w:t xml:space="preserve">1,38</w:t>
            </w:r>
          </w:p>
        </w:tc>
        <w:tc>
          <w:tcPr>
            <w:tcW w:type="dxa" w:w="2217"/>
            <w:tcMar>
              <w:top w:type="dxa" w:w="60"/>
              <w:left w:type="dxa" w:w="90"/>
              <w:bottom w:type="dxa" w:w="60"/>
              <w:right w:type="dxa" w:w="90"/>
            </w:tcMar>
          </w:tcPr>
          <w:p>
            <w:pPr>
              <w:keepNext w:val="false"/>
              <w:spacing w:after="0" w:before="0"/>
            </w:pPr>
            <w:r>
              <w:rPr>
                <w:b w:val="false"/>
                <w:bCs w:val="false"/>
                <w:color w:val="162554"/>
                <w:sz w:val="18"/>
                <w:szCs w:val="18"/>
              </w:rPr>
              <w:t xml:space="preserve">53</w:t>
            </w:r>
          </w:p>
        </w:tc>
        <w:tc>
          <w:tcPr>
            <w:tcW w:type="dxa" w:w="903"/>
            <w:tcMar>
              <w:top w:type="dxa" w:w="60"/>
              <w:left w:type="dxa" w:w="90"/>
              <w:bottom w:type="dxa" w:w="60"/>
              <w:right w:type="dxa" w:w="90"/>
            </w:tcMar>
          </w:tcPr>
          <w:p>
            <w:pPr>
              <w:keepNext w:val="false"/>
              <w:spacing w:after="0" w:before="0"/>
            </w:pPr>
            <w:r>
              <w:rPr>
                <w:b w:val="false"/>
                <w:bCs w:val="false"/>
                <w:color w:val="162554"/>
                <w:sz w:val="18"/>
                <w:szCs w:val="18"/>
              </w:rPr>
              <w:t xml:space="preserve">47 %</w:t>
            </w:r>
          </w:p>
        </w:tc>
      </w:tr>
      <w:tr>
        <w:trPr>
          <w:tblHeader w:val="false"/>
        </w:trPr>
        <w:tc>
          <w:tcPr>
            <w:tcW w:type="dxa" w:w="2956"/>
            <w:tcMar>
              <w:top w:type="dxa" w:w="60"/>
              <w:left w:type="dxa" w:w="90"/>
              <w:bottom w:type="dxa" w:w="60"/>
              <w:right w:type="dxa" w:w="90"/>
            </w:tcMar>
          </w:tcPr>
          <w:p>
            <w:pPr>
              <w:keepNext w:val="false"/>
              <w:spacing w:after="0" w:before="0"/>
            </w:pPr>
            <w:r>
              <w:rPr>
                <w:b w:val="false"/>
                <w:bCs w:val="false"/>
                <w:color w:val="162554"/>
                <w:sz w:val="18"/>
                <w:szCs w:val="18"/>
              </w:rPr>
              <w:t xml:space="preserve">41 · Construcții de clădiri</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36.293</w:t>
            </w:r>
          </w:p>
        </w:tc>
        <w:tc>
          <w:tcPr>
            <w:tcW w:type="dxa" w:w="2299"/>
            <w:tcMar>
              <w:top w:type="dxa" w:w="60"/>
              <w:left w:type="dxa" w:w="90"/>
              <w:bottom w:type="dxa" w:w="60"/>
              <w:right w:type="dxa" w:w="90"/>
            </w:tcMar>
          </w:tcPr>
          <w:p>
            <w:pPr>
              <w:keepNext w:val="false"/>
              <w:spacing w:after="0" w:before="0"/>
            </w:pPr>
            <w:r>
              <w:rPr>
                <w:b w:val="false"/>
                <w:bCs w:val="false"/>
                <w:color w:val="162554"/>
                <w:sz w:val="18"/>
                <w:szCs w:val="18"/>
              </w:rPr>
              <w:t xml:space="preserve">1,24</w:t>
            </w:r>
          </w:p>
        </w:tc>
        <w:tc>
          <w:tcPr>
            <w:tcW w:type="dxa" w:w="2217"/>
            <w:tcMar>
              <w:top w:type="dxa" w:w="60"/>
              <w:left w:type="dxa" w:w="90"/>
              <w:bottom w:type="dxa" w:w="60"/>
              <w:right w:type="dxa" w:w="90"/>
            </w:tcMar>
          </w:tcPr>
          <w:p>
            <w:pPr>
              <w:keepNext w:val="false"/>
              <w:spacing w:after="0" w:before="0"/>
            </w:pPr>
            <w:r>
              <w:rPr>
                <w:b w:val="false"/>
                <w:bCs w:val="false"/>
                <w:color w:val="162554"/>
                <w:sz w:val="18"/>
                <w:szCs w:val="18"/>
              </w:rPr>
              <w:t xml:space="preserve">57</w:t>
            </w:r>
          </w:p>
        </w:tc>
        <w:tc>
          <w:tcPr>
            <w:tcW w:type="dxa" w:w="903"/>
            <w:tcMar>
              <w:top w:type="dxa" w:w="60"/>
              <w:left w:type="dxa" w:w="90"/>
              <w:bottom w:type="dxa" w:w="60"/>
              <w:right w:type="dxa" w:w="90"/>
            </w:tcMar>
          </w:tcPr>
          <w:p>
            <w:pPr>
              <w:keepNext w:val="false"/>
              <w:spacing w:after="0" w:before="0"/>
            </w:pPr>
            <w:r>
              <w:rPr>
                <w:b w:val="false"/>
                <w:bCs w:val="false"/>
                <w:color w:val="162554"/>
                <w:sz w:val="18"/>
                <w:szCs w:val="18"/>
              </w:rPr>
              <w:t xml:space="preserve">44 %</w:t>
            </w:r>
          </w:p>
        </w:tc>
      </w:tr>
      <w:tr>
        <w:trPr>
          <w:tblHeader w:val="false"/>
        </w:trPr>
        <w:tc>
          <w:tcPr>
            <w:tcW w:type="dxa" w:w="2956"/>
            <w:tcMar>
              <w:top w:type="dxa" w:w="60"/>
              <w:left w:type="dxa" w:w="90"/>
              <w:bottom w:type="dxa" w:w="60"/>
              <w:right w:type="dxa" w:w="90"/>
            </w:tcMar>
          </w:tcPr>
          <w:p>
            <w:pPr>
              <w:keepNext w:val="false"/>
              <w:spacing w:after="0" w:before="0"/>
            </w:pPr>
            <w:r>
              <w:rPr>
                <w:b w:val="false"/>
                <w:bCs w:val="false"/>
                <w:color w:val="162554"/>
                <w:sz w:val="18"/>
                <w:szCs w:val="18"/>
              </w:rPr>
              <w:t xml:space="preserve">46 · Comerț cu ridicata</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47.664</w:t>
            </w:r>
          </w:p>
        </w:tc>
        <w:tc>
          <w:tcPr>
            <w:tcW w:type="dxa" w:w="2299"/>
            <w:tcMar>
              <w:top w:type="dxa" w:w="60"/>
              <w:left w:type="dxa" w:w="90"/>
              <w:bottom w:type="dxa" w:w="60"/>
              <w:right w:type="dxa" w:w="90"/>
            </w:tcMar>
          </w:tcPr>
          <w:p>
            <w:pPr>
              <w:keepNext w:val="false"/>
              <w:spacing w:after="0" w:before="0"/>
            </w:pPr>
            <w:r>
              <w:rPr>
                <w:b w:val="false"/>
                <w:bCs w:val="false"/>
                <w:color w:val="162554"/>
                <w:sz w:val="18"/>
                <w:szCs w:val="18"/>
              </w:rPr>
              <w:t xml:space="preserve">1,23</w:t>
            </w:r>
          </w:p>
        </w:tc>
        <w:tc>
          <w:tcPr>
            <w:tcW w:type="dxa" w:w="2217"/>
            <w:tcMar>
              <w:top w:type="dxa" w:w="60"/>
              <w:left w:type="dxa" w:w="90"/>
              <w:bottom w:type="dxa" w:w="60"/>
              <w:right w:type="dxa" w:w="90"/>
            </w:tcMar>
          </w:tcPr>
          <w:p>
            <w:pPr>
              <w:keepNext w:val="false"/>
              <w:spacing w:after="0" w:before="0"/>
            </w:pPr>
            <w:r>
              <w:rPr>
                <w:b w:val="false"/>
                <w:bCs w:val="false"/>
                <w:color w:val="162554"/>
                <w:sz w:val="18"/>
                <w:szCs w:val="18"/>
              </w:rPr>
              <w:t xml:space="preserve">60</w:t>
            </w:r>
          </w:p>
        </w:tc>
        <w:tc>
          <w:tcPr>
            <w:tcW w:type="dxa" w:w="903"/>
            <w:tcMar>
              <w:top w:type="dxa" w:w="60"/>
              <w:left w:type="dxa" w:w="90"/>
              <w:bottom w:type="dxa" w:w="60"/>
              <w:right w:type="dxa" w:w="90"/>
            </w:tcMar>
          </w:tcPr>
          <w:p>
            <w:pPr>
              <w:keepNext w:val="false"/>
              <w:spacing w:after="0" w:before="0"/>
            </w:pPr>
            <w:r>
              <w:rPr>
                <w:b w:val="false"/>
                <w:bCs w:val="false"/>
                <w:color w:val="162554"/>
                <w:sz w:val="18"/>
                <w:szCs w:val="18"/>
              </w:rPr>
              <w:t xml:space="preserve">40 %</w:t>
            </w:r>
          </w:p>
        </w:tc>
      </w:tr>
      <w:tr>
        <w:trPr>
          <w:tblHeader w:val="false"/>
        </w:trPr>
        <w:tc>
          <w:tcPr>
            <w:tcW w:type="dxa" w:w="2956"/>
            <w:tcMar>
              <w:top w:type="dxa" w:w="60"/>
              <w:left w:type="dxa" w:w="90"/>
              <w:bottom w:type="dxa" w:w="60"/>
              <w:right w:type="dxa" w:w="90"/>
            </w:tcMar>
          </w:tcPr>
          <w:p>
            <w:pPr>
              <w:keepNext w:val="false"/>
              <w:spacing w:after="0" w:before="0"/>
            </w:pPr>
            <w:r>
              <w:rPr>
                <w:b w:val="false"/>
                <w:bCs w:val="false"/>
                <w:color w:val="162554"/>
                <w:sz w:val="18"/>
                <w:szCs w:val="18"/>
              </w:rPr>
              <w:t xml:space="preserve">47 · Comerț cu amănuntul</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100.074</w:t>
            </w:r>
          </w:p>
        </w:tc>
        <w:tc>
          <w:tcPr>
            <w:tcW w:type="dxa" w:w="2299"/>
            <w:tcMar>
              <w:top w:type="dxa" w:w="60"/>
              <w:left w:type="dxa" w:w="90"/>
              <w:bottom w:type="dxa" w:w="60"/>
              <w:right w:type="dxa" w:w="90"/>
            </w:tcMar>
          </w:tcPr>
          <w:p>
            <w:pPr>
              <w:keepNext w:val="false"/>
              <w:spacing w:after="0" w:before="0"/>
            </w:pPr>
            <w:r>
              <w:rPr>
                <w:b w:val="false"/>
                <w:bCs w:val="false"/>
                <w:color w:val="162554"/>
                <w:sz w:val="18"/>
                <w:szCs w:val="18"/>
              </w:rPr>
              <w:t xml:space="preserve">1,07</w:t>
            </w:r>
          </w:p>
        </w:tc>
        <w:tc>
          <w:tcPr>
            <w:tcW w:type="dxa" w:w="2217"/>
            <w:tcMar>
              <w:top w:type="dxa" w:w="60"/>
              <w:left w:type="dxa" w:w="90"/>
              <w:bottom w:type="dxa" w:w="60"/>
              <w:right w:type="dxa" w:w="90"/>
            </w:tcMar>
          </w:tcPr>
          <w:p>
            <w:pPr>
              <w:keepNext w:val="false"/>
              <w:spacing w:after="0" w:before="0"/>
            </w:pPr>
            <w:r>
              <w:rPr>
                <w:b w:val="false"/>
                <w:bCs w:val="false"/>
                <w:color w:val="162554"/>
                <w:sz w:val="18"/>
                <w:szCs w:val="18"/>
              </w:rPr>
              <w:t xml:space="preserve">65</w:t>
            </w:r>
          </w:p>
        </w:tc>
        <w:tc>
          <w:tcPr>
            <w:tcW w:type="dxa" w:w="903"/>
            <w:tcMar>
              <w:top w:type="dxa" w:w="60"/>
              <w:left w:type="dxa" w:w="90"/>
              <w:bottom w:type="dxa" w:w="60"/>
              <w:right w:type="dxa" w:w="90"/>
            </w:tcMar>
          </w:tcPr>
          <w:p>
            <w:pPr>
              <w:keepNext w:val="false"/>
              <w:spacing w:after="0" w:before="0"/>
            </w:pPr>
            <w:r>
              <w:rPr>
                <w:b w:val="false"/>
                <w:bCs w:val="false"/>
                <w:color w:val="162554"/>
                <w:sz w:val="18"/>
                <w:szCs w:val="18"/>
              </w:rPr>
              <w:t xml:space="preserve">35 %</w:t>
            </w:r>
          </w:p>
        </w:tc>
      </w:tr>
      <w:tr>
        <w:trPr>
          <w:tblHeader w:val="false"/>
        </w:trPr>
        <w:tc>
          <w:tcPr>
            <w:tcW w:type="dxa" w:w="2956"/>
            <w:tcMar>
              <w:top w:type="dxa" w:w="60"/>
              <w:left w:type="dxa" w:w="90"/>
              <w:bottom w:type="dxa" w:w="60"/>
              <w:right w:type="dxa" w:w="90"/>
            </w:tcMar>
          </w:tcPr>
          <w:p>
            <w:pPr>
              <w:keepNext w:val="false"/>
              <w:spacing w:after="0" w:before="0"/>
            </w:pPr>
            <w:r>
              <w:rPr>
                <w:b w:val="false"/>
                <w:bCs w:val="false"/>
                <w:color w:val="162554"/>
                <w:sz w:val="18"/>
                <w:szCs w:val="18"/>
              </w:rPr>
              <w:t xml:space="preserve">49 · Transporturi terestre</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55.573</w:t>
            </w:r>
          </w:p>
        </w:tc>
        <w:tc>
          <w:tcPr>
            <w:tcW w:type="dxa" w:w="2299"/>
            <w:tcMar>
              <w:top w:type="dxa" w:w="60"/>
              <w:left w:type="dxa" w:w="90"/>
              <w:bottom w:type="dxa" w:w="60"/>
              <w:right w:type="dxa" w:w="90"/>
            </w:tcMar>
          </w:tcPr>
          <w:p>
            <w:pPr>
              <w:keepNext w:val="false"/>
              <w:spacing w:after="0" w:before="0"/>
            </w:pPr>
            <w:r>
              <w:rPr>
                <w:b w:val="false"/>
                <w:bCs w:val="false"/>
                <w:color w:val="162554"/>
                <w:sz w:val="18"/>
                <w:szCs w:val="18"/>
              </w:rPr>
              <w:t xml:space="preserve">0,87</w:t>
            </w:r>
          </w:p>
        </w:tc>
        <w:tc>
          <w:tcPr>
            <w:tcW w:type="dxa" w:w="2217"/>
            <w:tcMar>
              <w:top w:type="dxa" w:w="60"/>
              <w:left w:type="dxa" w:w="90"/>
              <w:bottom w:type="dxa" w:w="60"/>
              <w:right w:type="dxa" w:w="90"/>
            </w:tcMar>
          </w:tcPr>
          <w:p>
            <w:pPr>
              <w:keepNext w:val="false"/>
              <w:spacing w:after="0" w:before="0"/>
            </w:pPr>
            <w:r>
              <w:rPr>
                <w:b w:val="false"/>
                <w:bCs w:val="false"/>
                <w:color w:val="162554"/>
                <w:sz w:val="18"/>
                <w:szCs w:val="18"/>
              </w:rPr>
              <w:t xml:space="preserve">67</w:t>
            </w:r>
          </w:p>
        </w:tc>
        <w:tc>
          <w:tcPr>
            <w:tcW w:type="dxa" w:w="903"/>
            <w:tcMar>
              <w:top w:type="dxa" w:w="60"/>
              <w:left w:type="dxa" w:w="90"/>
              <w:bottom w:type="dxa" w:w="60"/>
              <w:right w:type="dxa" w:w="90"/>
            </w:tcMar>
          </w:tcPr>
          <w:p>
            <w:pPr>
              <w:keepNext w:val="false"/>
              <w:spacing w:after="0" w:before="0"/>
            </w:pPr>
            <w:r>
              <w:rPr>
                <w:b w:val="false"/>
                <w:bCs w:val="false"/>
                <w:color w:val="162554"/>
                <w:sz w:val="18"/>
                <w:szCs w:val="18"/>
              </w:rPr>
              <w:t xml:space="preserve">33 %</w:t>
            </w:r>
          </w:p>
        </w:tc>
      </w:tr>
      <w:tr>
        <w:trPr>
          <w:tblHeader w:val="false"/>
        </w:trPr>
        <w:tc>
          <w:tcPr>
            <w:tcW w:type="dxa" w:w="2956"/>
            <w:tcMar>
              <w:top w:type="dxa" w:w="60"/>
              <w:left w:type="dxa" w:w="90"/>
              <w:bottom w:type="dxa" w:w="60"/>
              <w:right w:type="dxa" w:w="90"/>
            </w:tcMar>
          </w:tcPr>
          <w:p>
            <w:pPr>
              <w:keepNext w:val="false"/>
              <w:spacing w:after="0" w:before="0"/>
            </w:pPr>
            <w:r>
              <w:rPr>
                <w:b w:val="false"/>
                <w:bCs w:val="false"/>
                <w:color w:val="162554"/>
                <w:sz w:val="18"/>
                <w:szCs w:val="18"/>
              </w:rPr>
              <w:t xml:space="preserve">1 · Agricultură</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15.538</w:t>
            </w:r>
          </w:p>
        </w:tc>
        <w:tc>
          <w:tcPr>
            <w:tcW w:type="dxa" w:w="2299"/>
            <w:tcMar>
              <w:top w:type="dxa" w:w="60"/>
              <w:left w:type="dxa" w:w="90"/>
              <w:bottom w:type="dxa" w:w="60"/>
              <w:right w:type="dxa" w:w="90"/>
            </w:tcMar>
          </w:tcPr>
          <w:p>
            <w:pPr>
              <w:keepNext w:val="false"/>
              <w:spacing w:after="0" w:before="0"/>
            </w:pPr>
            <w:r>
              <w:rPr>
                <w:b w:val="false"/>
                <w:bCs w:val="false"/>
                <w:color w:val="162554"/>
                <w:sz w:val="18"/>
                <w:szCs w:val="18"/>
              </w:rPr>
              <w:t xml:space="preserve">0,90</w:t>
            </w:r>
          </w:p>
        </w:tc>
        <w:tc>
          <w:tcPr>
            <w:tcW w:type="dxa" w:w="2217"/>
            <w:tcMar>
              <w:top w:type="dxa" w:w="60"/>
              <w:left w:type="dxa" w:w="90"/>
              <w:bottom w:type="dxa" w:w="60"/>
              <w:right w:type="dxa" w:w="90"/>
            </w:tcMar>
          </w:tcPr>
          <w:p>
            <w:pPr>
              <w:keepNext w:val="false"/>
              <w:spacing w:after="0" w:before="0"/>
            </w:pPr>
            <w:r>
              <w:rPr>
                <w:b w:val="false"/>
                <w:bCs w:val="false"/>
                <w:color w:val="162554"/>
                <w:sz w:val="18"/>
                <w:szCs w:val="18"/>
              </w:rPr>
              <w:t xml:space="preserve">70</w:t>
            </w:r>
          </w:p>
        </w:tc>
        <w:tc>
          <w:tcPr>
            <w:tcW w:type="dxa" w:w="903"/>
            <w:tcMar>
              <w:top w:type="dxa" w:w="60"/>
              <w:left w:type="dxa" w:w="90"/>
              <w:bottom w:type="dxa" w:w="60"/>
              <w:right w:type="dxa" w:w="90"/>
            </w:tcMar>
          </w:tcPr>
          <w:p>
            <w:pPr>
              <w:keepNext w:val="false"/>
              <w:spacing w:after="0" w:before="0"/>
            </w:pPr>
            <w:r>
              <w:rPr>
                <w:b w:val="false"/>
                <w:bCs w:val="false"/>
                <w:color w:val="162554"/>
                <w:sz w:val="18"/>
                <w:szCs w:val="18"/>
              </w:rPr>
              <w:t xml:space="preserve">30 %</w:t>
            </w:r>
          </w:p>
        </w:tc>
      </w:tr>
      <w:tr>
        <w:trPr>
          <w:tblHeader w:val="false"/>
        </w:trPr>
        <w:tc>
          <w:tcPr>
            <w:tcW w:type="dxa" w:w="2956"/>
            <w:tcMar>
              <w:top w:type="dxa" w:w="60"/>
              <w:left w:type="dxa" w:w="90"/>
              <w:bottom w:type="dxa" w:w="60"/>
              <w:right w:type="dxa" w:w="90"/>
            </w:tcMar>
          </w:tcPr>
          <w:p>
            <w:pPr>
              <w:keepNext w:val="false"/>
              <w:spacing w:after="0" w:before="0"/>
            </w:pPr>
            <w:r>
              <w:rPr>
                <w:b w:val="false"/>
                <w:bCs w:val="false"/>
                <w:color w:val="162554"/>
                <w:sz w:val="18"/>
                <w:szCs w:val="18"/>
              </w:rPr>
              <w:t xml:space="preserve">56 · Restaurante</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22.544</w:t>
            </w:r>
          </w:p>
        </w:tc>
        <w:tc>
          <w:tcPr>
            <w:tcW w:type="dxa" w:w="2299"/>
            <w:tcMar>
              <w:top w:type="dxa" w:w="60"/>
              <w:left w:type="dxa" w:w="90"/>
              <w:bottom w:type="dxa" w:w="60"/>
              <w:right w:type="dxa" w:w="90"/>
            </w:tcMar>
          </w:tcPr>
          <w:p>
            <w:pPr>
              <w:keepNext w:val="false"/>
              <w:spacing w:after="0" w:before="0"/>
            </w:pPr>
            <w:r>
              <w:rPr>
                <w:b w:val="false"/>
                <w:bCs w:val="false"/>
                <w:color w:val="162554"/>
                <w:sz w:val="18"/>
                <w:szCs w:val="18"/>
              </w:rPr>
              <w:t xml:space="preserve">0,71</w:t>
            </w:r>
          </w:p>
        </w:tc>
        <w:tc>
          <w:tcPr>
            <w:tcW w:type="dxa" w:w="2217"/>
            <w:tcMar>
              <w:top w:type="dxa" w:w="60"/>
              <w:left w:type="dxa" w:w="90"/>
              <w:bottom w:type="dxa" w:w="60"/>
              <w:right w:type="dxa" w:w="90"/>
            </w:tcMar>
          </w:tcPr>
          <w:p>
            <w:pPr>
              <w:keepNext w:val="false"/>
              <w:spacing w:after="0" w:before="0"/>
            </w:pPr>
            <w:r>
              <w:rPr>
                <w:b w:val="false"/>
                <w:bCs w:val="false"/>
                <w:color w:val="162554"/>
                <w:sz w:val="18"/>
                <w:szCs w:val="18"/>
              </w:rPr>
              <w:t xml:space="preserve">74</w:t>
            </w:r>
          </w:p>
        </w:tc>
        <w:tc>
          <w:tcPr>
            <w:tcW w:type="dxa" w:w="903"/>
            <w:tcMar>
              <w:top w:type="dxa" w:w="60"/>
              <w:left w:type="dxa" w:w="90"/>
              <w:bottom w:type="dxa" w:w="60"/>
              <w:right w:type="dxa" w:w="90"/>
            </w:tcMar>
          </w:tcPr>
          <w:p>
            <w:pPr>
              <w:keepNext w:val="false"/>
              <w:spacing w:after="0" w:before="0"/>
            </w:pPr>
            <w:r>
              <w:rPr>
                <w:b w:val="false"/>
                <w:bCs w:val="false"/>
                <w:color w:val="162554"/>
                <w:sz w:val="18"/>
                <w:szCs w:val="18"/>
              </w:rPr>
              <w:t xml:space="preserve">27 %</w:t>
            </w:r>
          </w:p>
        </w:tc>
      </w:tr>
      <w:tr>
        <w:trPr>
          <w:tblHeader w:val="false"/>
        </w:trPr>
        <w:tc>
          <w:tcPr>
            <w:tcW w:type="dxa" w:w="2956"/>
            <w:tcMar>
              <w:top w:type="dxa" w:w="60"/>
              <w:left w:type="dxa" w:w="90"/>
              <w:bottom w:type="dxa" w:w="60"/>
              <w:right w:type="dxa" w:w="90"/>
            </w:tcMar>
          </w:tcPr>
          <w:p>
            <w:pPr>
              <w:keepNext w:val="false"/>
              <w:spacing w:after="0" w:before="0"/>
            </w:pPr>
            <w:r>
              <w:rPr>
                <w:b w:val="false"/>
                <w:bCs w:val="false"/>
                <w:color w:val="162554"/>
                <w:sz w:val="18"/>
                <w:szCs w:val="18"/>
              </w:rPr>
              <w:t xml:space="preserve">10 · Industria alimentară</w:t>
            </w:r>
          </w:p>
        </w:tc>
        <w:tc>
          <w:tcPr>
            <w:tcW w:type="dxa" w:w="985"/>
            <w:tcMar>
              <w:top w:type="dxa" w:w="60"/>
              <w:left w:type="dxa" w:w="90"/>
              <w:bottom w:type="dxa" w:w="60"/>
              <w:right w:type="dxa" w:w="90"/>
            </w:tcMar>
          </w:tcPr>
          <w:p>
            <w:pPr>
              <w:keepNext w:val="false"/>
              <w:spacing w:after="0" w:before="0"/>
            </w:pPr>
            <w:r>
              <w:rPr>
                <w:b w:val="false"/>
                <w:bCs w:val="false"/>
                <w:color w:val="162554"/>
                <w:sz w:val="18"/>
                <w:szCs w:val="18"/>
              </w:rPr>
              <w:t xml:space="preserve">9.605</w:t>
            </w:r>
          </w:p>
        </w:tc>
        <w:tc>
          <w:tcPr>
            <w:tcW w:type="dxa" w:w="2299"/>
            <w:tcMar>
              <w:top w:type="dxa" w:w="60"/>
              <w:left w:type="dxa" w:w="90"/>
              <w:bottom w:type="dxa" w:w="60"/>
              <w:right w:type="dxa" w:w="90"/>
            </w:tcMar>
          </w:tcPr>
          <w:p>
            <w:pPr>
              <w:keepNext w:val="false"/>
              <w:spacing w:after="0" w:before="0"/>
            </w:pPr>
            <w:r>
              <w:rPr>
                <w:b w:val="false"/>
                <w:bCs w:val="false"/>
                <w:color w:val="162554"/>
                <w:sz w:val="18"/>
                <w:szCs w:val="18"/>
              </w:rPr>
              <w:t xml:space="preserve">0,74</w:t>
            </w:r>
          </w:p>
        </w:tc>
        <w:tc>
          <w:tcPr>
            <w:tcW w:type="dxa" w:w="2217"/>
            <w:tcMar>
              <w:top w:type="dxa" w:w="60"/>
              <w:left w:type="dxa" w:w="90"/>
              <w:bottom w:type="dxa" w:w="60"/>
              <w:right w:type="dxa" w:w="90"/>
            </w:tcMar>
          </w:tcPr>
          <w:p>
            <w:pPr>
              <w:keepNext w:val="false"/>
              <w:spacing w:after="0" w:before="0"/>
            </w:pPr>
            <w:r>
              <w:rPr>
                <w:b w:val="false"/>
                <w:bCs w:val="false"/>
                <w:color w:val="162554"/>
                <w:sz w:val="18"/>
                <w:szCs w:val="18"/>
              </w:rPr>
              <w:t xml:space="preserve">74</w:t>
            </w:r>
          </w:p>
        </w:tc>
        <w:tc>
          <w:tcPr>
            <w:tcW w:type="dxa" w:w="903"/>
            <w:tcMar>
              <w:top w:type="dxa" w:w="60"/>
              <w:left w:type="dxa" w:w="90"/>
              <w:bottom w:type="dxa" w:w="60"/>
              <w:right w:type="dxa" w:w="90"/>
            </w:tcMar>
          </w:tcPr>
          <w:p>
            <w:pPr>
              <w:keepNext w:val="false"/>
              <w:spacing w:after="0" w:before="0"/>
            </w:pPr>
            <w:r>
              <w:rPr>
                <w:b w:val="false"/>
                <w:bCs w:val="false"/>
                <w:color w:val="162554"/>
                <w:sz w:val="18"/>
                <w:szCs w:val="18"/>
              </w:rPr>
              <w:t xml:space="preserve">26 %</w:t>
            </w:r>
          </w:p>
        </w:tc>
      </w:tr>
    </w:tbl>
    <w:p>
      <w:pPr>
        <w:spacing w:after="80"/>
      </w:pPr>
    </w:p>
    <w:p>
      <w:pPr>
        <w:spacing w:after="100"/>
        <w:jc w:val="left"/>
      </w:pPr>
      <w:r>
        <w:t xml:space="preserve">Pe banda de mărime mijlocie (10–50 mil. lei), unde stau clienții tipici de credit, ecartul se lărgește: în IT pragul cade în percentila 39 (trec 61 %), iar în transporturi rutiere în percentila 86 (trec 14 %).</w:t>
      </w:r>
    </w:p>
    <w:p>
      <w:pPr>
        <w:spacing w:after="100"/>
        <w:jc w:val="left"/>
      </w:pPr>
      <w:r>
        <w:t xml:space="preserve">Același prag, „prudent” prin convenție, respinge 27 % din firmele IT și 74 % din firmele din industria alimentară — iar pe firmele medii, 39 % din IT și 86 % din transportatori. Întrebarea de debrief: </w:t>
      </w:r>
      <w:r>
        <w:rPr>
          <w:i/>
          <w:iCs/>
        </w:rPr>
        <w:t xml:space="preserve">pragul tău măsoară sănătatea firmei sau modelul de business al sectorului?</w:t>
      </w:r>
      <w:r>
        <w:t xml:space="preserve"> Apoi partea a doua a exercițiului: recalibrează pragurile scorecardului pe percentile de sector (nota 3 = mediana sectorului) în loc de valori absolute, și vezi ce companii își schimbă clasa.</w:t>
      </w:r>
    </w:p>
    <w:p>
      <w:pPr>
        <w:spacing w:after="100"/>
        <w:jc w:val="left"/>
      </w:pPr>
      <w:r>
        <w:t xml:space="preserve">Reperele pentru cele opt companii din scenariul de la nivelul începător, în comerțul cu amănuntul (toate mărimile,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2"/>
        <w:gridCol w:w="1560"/>
        <w:gridCol w:w="1232"/>
        <w:gridCol w:w="1642"/>
        <w:gridCol w:w="1232"/>
        <w:gridCol w:w="1232"/>
        <w:gridCol w:w="1230"/>
      </w:tblGrid>
      <w:tr>
        <w:trPr>
          <w:tblHeader/>
        </w:trPr>
        <w:tc>
          <w:tcPr>
            <w:tcW w:type="dxa" w:w="1232"/>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Companie</w:t>
            </w:r>
          </w:p>
        </w:tc>
        <w:tc>
          <w:tcPr>
            <w:tcW w:type="dxa" w:w="1560"/>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Lichiditate curentă</w:t>
            </w:r>
          </w:p>
        </w:tc>
        <w:tc>
          <w:tcPr>
            <w:tcW w:type="dxa" w:w="1232"/>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Percentila</w:t>
            </w:r>
          </w:p>
        </w:tc>
        <w:tc>
          <w:tcPr>
            <w:tcW w:type="dxa" w:w="1642"/>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Autonomie financiară</w:t>
            </w:r>
          </w:p>
        </w:tc>
        <w:tc>
          <w:tcPr>
            <w:tcW w:type="dxa" w:w="1232"/>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Percentila</w:t>
            </w:r>
          </w:p>
        </w:tc>
        <w:tc>
          <w:tcPr>
            <w:tcW w:type="dxa" w:w="1232"/>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Marjă netă</w:t>
            </w:r>
          </w:p>
        </w:tc>
        <w:tc>
          <w:tcPr>
            <w:tcW w:type="dxa" w:w="1230"/>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Percentila</w:t>
            </w:r>
          </w:p>
        </w:tc>
      </w:tr>
      <w:tr>
        <w:trPr>
          <w:tblHeader w:val="false"/>
        </w:trPr>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Dedeman</w:t>
            </w:r>
          </w:p>
        </w:tc>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1,23</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57</w:t>
            </w:r>
          </w:p>
        </w:tc>
        <w:tc>
          <w:tcPr>
            <w:tcW w:type="dxa" w:w="1642"/>
            <w:tcMar>
              <w:top w:type="dxa" w:w="60"/>
              <w:left w:type="dxa" w:w="90"/>
              <w:bottom w:type="dxa" w:w="60"/>
              <w:right w:type="dxa" w:w="90"/>
            </w:tcMar>
          </w:tcPr>
          <w:p>
            <w:pPr>
              <w:keepNext w:val="false"/>
              <w:spacing w:after="0" w:before="0"/>
            </w:pPr>
            <w:r>
              <w:rPr>
                <w:b w:val="false"/>
                <w:bCs w:val="false"/>
                <w:color w:val="162554"/>
                <w:sz w:val="18"/>
                <w:szCs w:val="18"/>
              </w:rPr>
              <w:t xml:space="preserve">71 %</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81</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12,4 %</w:t>
            </w:r>
          </w:p>
        </w:tc>
        <w:tc>
          <w:tcPr>
            <w:tcW w:type="dxa" w:w="1230"/>
            <w:tcMar>
              <w:top w:type="dxa" w:w="60"/>
              <w:left w:type="dxa" w:w="90"/>
              <w:bottom w:type="dxa" w:w="60"/>
              <w:right w:type="dxa" w:w="90"/>
            </w:tcMar>
          </w:tcPr>
          <w:p>
            <w:pPr>
              <w:keepNext w:val="false"/>
              <w:spacing w:after="0" w:before="0"/>
            </w:pPr>
            <w:r>
              <w:rPr>
                <w:b w:val="false"/>
                <w:bCs w:val="false"/>
                <w:color w:val="162554"/>
                <w:sz w:val="18"/>
                <w:szCs w:val="18"/>
              </w:rPr>
              <w:t xml:space="preserve">76</w:t>
            </w:r>
          </w:p>
        </w:tc>
      </w:tr>
      <w:tr>
        <w:trPr>
          <w:tblHeader w:val="false"/>
        </w:trPr>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Lidl</w:t>
            </w:r>
          </w:p>
        </w:tc>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1,87</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72</w:t>
            </w:r>
          </w:p>
        </w:tc>
        <w:tc>
          <w:tcPr>
            <w:tcW w:type="dxa" w:w="1642"/>
            <w:tcMar>
              <w:top w:type="dxa" w:w="60"/>
              <w:left w:type="dxa" w:w="90"/>
              <w:bottom w:type="dxa" w:w="60"/>
              <w:right w:type="dxa" w:w="90"/>
            </w:tcMar>
          </w:tcPr>
          <w:p>
            <w:pPr>
              <w:keepNext w:val="false"/>
              <w:spacing w:after="0" w:before="0"/>
            </w:pPr>
            <w:r>
              <w:rPr>
                <w:b w:val="false"/>
                <w:bCs w:val="false"/>
                <w:color w:val="162554"/>
                <w:sz w:val="18"/>
                <w:szCs w:val="18"/>
              </w:rPr>
              <w:t xml:space="preserve">51 %</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68</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5,0 %</w:t>
            </w:r>
          </w:p>
        </w:tc>
        <w:tc>
          <w:tcPr>
            <w:tcW w:type="dxa" w:w="1230"/>
            <w:tcMar>
              <w:top w:type="dxa" w:w="60"/>
              <w:left w:type="dxa" w:w="90"/>
              <w:bottom w:type="dxa" w:w="60"/>
              <w:right w:type="dxa" w:w="90"/>
            </w:tcMar>
          </w:tcPr>
          <w:p>
            <w:pPr>
              <w:keepNext w:val="false"/>
              <w:spacing w:after="0" w:before="0"/>
            </w:pPr>
            <w:r>
              <w:rPr>
                <w:b w:val="false"/>
                <w:bCs w:val="false"/>
                <w:color w:val="162554"/>
                <w:sz w:val="18"/>
                <w:szCs w:val="18"/>
              </w:rPr>
              <w:t xml:space="preserve">59</w:t>
            </w:r>
          </w:p>
        </w:tc>
      </w:tr>
      <w:tr>
        <w:trPr>
          <w:tblHeader w:val="false"/>
        </w:trPr>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Mega Image</w:t>
            </w:r>
          </w:p>
        </w:tc>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1,10</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52</w:t>
            </w:r>
          </w:p>
        </w:tc>
        <w:tc>
          <w:tcPr>
            <w:tcW w:type="dxa" w:w="1642"/>
            <w:tcMar>
              <w:top w:type="dxa" w:w="60"/>
              <w:left w:type="dxa" w:w="90"/>
              <w:bottom w:type="dxa" w:w="60"/>
              <w:right w:type="dxa" w:w="90"/>
            </w:tcMar>
          </w:tcPr>
          <w:p>
            <w:pPr>
              <w:keepNext w:val="false"/>
              <w:spacing w:after="0" w:before="0"/>
            </w:pPr>
            <w:r>
              <w:rPr>
                <w:b w:val="false"/>
                <w:bCs w:val="false"/>
                <w:color w:val="162554"/>
                <w:sz w:val="18"/>
                <w:szCs w:val="18"/>
              </w:rPr>
              <w:t xml:space="preserve">57 %</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72</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0,9 %</w:t>
            </w:r>
          </w:p>
        </w:tc>
        <w:tc>
          <w:tcPr>
            <w:tcW w:type="dxa" w:w="1230"/>
            <w:tcMar>
              <w:top w:type="dxa" w:w="60"/>
              <w:left w:type="dxa" w:w="90"/>
              <w:bottom w:type="dxa" w:w="60"/>
              <w:right w:type="dxa" w:w="90"/>
            </w:tcMar>
          </w:tcPr>
          <w:p>
            <w:pPr>
              <w:keepNext w:val="false"/>
              <w:spacing w:after="0" w:before="0"/>
            </w:pPr>
            <w:r>
              <w:rPr>
                <w:b w:val="false"/>
                <w:bCs w:val="false"/>
                <w:color w:val="162554"/>
                <w:sz w:val="18"/>
                <w:szCs w:val="18"/>
              </w:rPr>
              <w:t xml:space="preserve">43</w:t>
            </w:r>
          </w:p>
        </w:tc>
      </w:tr>
      <w:tr>
        <w:trPr>
          <w:tblHeader w:val="false"/>
        </w:trPr>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Altex</w:t>
            </w:r>
          </w:p>
        </w:tc>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0,81</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37</w:t>
            </w:r>
          </w:p>
        </w:tc>
        <w:tc>
          <w:tcPr>
            <w:tcW w:type="dxa" w:w="1642"/>
            <w:tcMar>
              <w:top w:type="dxa" w:w="60"/>
              <w:left w:type="dxa" w:w="90"/>
              <w:bottom w:type="dxa" w:w="60"/>
              <w:right w:type="dxa" w:w="90"/>
            </w:tcMar>
          </w:tcPr>
          <w:p>
            <w:pPr>
              <w:keepNext w:val="false"/>
              <w:spacing w:after="0" w:before="0"/>
            </w:pPr>
            <w:r>
              <w:rPr>
                <w:b w:val="false"/>
                <w:bCs w:val="false"/>
                <w:color w:val="162554"/>
                <w:sz w:val="18"/>
                <w:szCs w:val="18"/>
              </w:rPr>
              <w:t xml:space="preserve">24 %</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50</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2,8 %</w:t>
            </w:r>
          </w:p>
        </w:tc>
        <w:tc>
          <w:tcPr>
            <w:tcW w:type="dxa" w:w="1230"/>
            <w:tcMar>
              <w:top w:type="dxa" w:w="60"/>
              <w:left w:type="dxa" w:w="90"/>
              <w:bottom w:type="dxa" w:w="60"/>
              <w:right w:type="dxa" w:w="90"/>
            </w:tcMar>
          </w:tcPr>
          <w:p>
            <w:pPr>
              <w:keepNext w:val="false"/>
              <w:spacing w:after="0" w:before="0"/>
            </w:pPr>
            <w:r>
              <w:rPr>
                <w:b w:val="false"/>
                <w:bCs w:val="false"/>
                <w:color w:val="162554"/>
                <w:sz w:val="18"/>
                <w:szCs w:val="18"/>
              </w:rPr>
              <w:t xml:space="preserve">51</w:t>
            </w:r>
          </w:p>
        </w:tc>
      </w:tr>
      <w:tr>
        <w:trPr>
          <w:tblHeader w:val="false"/>
        </w:trPr>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eMAG</w:t>
            </w:r>
          </w:p>
        </w:tc>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0,82</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37</w:t>
            </w:r>
          </w:p>
        </w:tc>
        <w:tc>
          <w:tcPr>
            <w:tcW w:type="dxa" w:w="1642"/>
            <w:tcMar>
              <w:top w:type="dxa" w:w="60"/>
              <w:left w:type="dxa" w:w="90"/>
              <w:bottom w:type="dxa" w:w="60"/>
              <w:right w:type="dxa" w:w="90"/>
            </w:tcMar>
          </w:tcPr>
          <w:p>
            <w:pPr>
              <w:keepNext w:val="false"/>
              <w:spacing w:after="0" w:before="0"/>
            </w:pPr>
            <w:r>
              <w:rPr>
                <w:b w:val="false"/>
                <w:bCs w:val="false"/>
                <w:color w:val="162554"/>
                <w:sz w:val="18"/>
                <w:szCs w:val="18"/>
              </w:rPr>
              <w:t xml:space="preserve">43 %</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63</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−4,1 %</w:t>
            </w:r>
          </w:p>
        </w:tc>
        <w:tc>
          <w:tcPr>
            <w:tcW w:type="dxa" w:w="1230"/>
            <w:tcMar>
              <w:top w:type="dxa" w:w="60"/>
              <w:left w:type="dxa" w:w="90"/>
              <w:bottom w:type="dxa" w:w="60"/>
              <w:right w:type="dxa" w:w="90"/>
            </w:tcMar>
          </w:tcPr>
          <w:p>
            <w:pPr>
              <w:keepNext w:val="false"/>
              <w:spacing w:after="0" w:before="0"/>
            </w:pPr>
            <w:r>
              <w:rPr>
                <w:b w:val="false"/>
                <w:bCs w:val="false"/>
                <w:color w:val="162554"/>
                <w:sz w:val="18"/>
                <w:szCs w:val="18"/>
              </w:rPr>
              <w:t xml:space="preserve">29</w:t>
            </w:r>
          </w:p>
        </w:tc>
      </w:tr>
      <w:tr>
        <w:trPr>
          <w:tblHeader w:val="false"/>
        </w:trPr>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Carrefour</w:t>
            </w:r>
          </w:p>
        </w:tc>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0,66</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31</w:t>
            </w:r>
          </w:p>
        </w:tc>
        <w:tc>
          <w:tcPr>
            <w:tcW w:type="dxa" w:w="1642"/>
            <w:tcMar>
              <w:top w:type="dxa" w:w="60"/>
              <w:left w:type="dxa" w:w="90"/>
              <w:bottom w:type="dxa" w:w="60"/>
              <w:right w:type="dxa" w:w="90"/>
            </w:tcMar>
          </w:tcPr>
          <w:p>
            <w:pPr>
              <w:keepNext w:val="false"/>
              <w:spacing w:after="0" w:before="0"/>
            </w:pPr>
            <w:r>
              <w:rPr>
                <w:b w:val="false"/>
                <w:bCs w:val="false"/>
                <w:color w:val="162554"/>
                <w:sz w:val="18"/>
                <w:szCs w:val="18"/>
              </w:rPr>
              <w:t xml:space="preserve">21 %</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49</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−0,3 %</w:t>
            </w:r>
          </w:p>
        </w:tc>
        <w:tc>
          <w:tcPr>
            <w:tcW w:type="dxa" w:w="1230"/>
            <w:tcMar>
              <w:top w:type="dxa" w:w="60"/>
              <w:left w:type="dxa" w:w="90"/>
              <w:bottom w:type="dxa" w:w="60"/>
              <w:right w:type="dxa" w:w="90"/>
            </w:tcMar>
          </w:tcPr>
          <w:p>
            <w:pPr>
              <w:keepNext w:val="false"/>
              <w:spacing w:after="0" w:before="0"/>
            </w:pPr>
            <w:r>
              <w:rPr>
                <w:b w:val="false"/>
                <w:bCs w:val="false"/>
                <w:color w:val="162554"/>
                <w:sz w:val="18"/>
                <w:szCs w:val="18"/>
              </w:rPr>
              <w:t xml:space="preserve">35</w:t>
            </w:r>
          </w:p>
        </w:tc>
      </w:tr>
      <w:tr>
        <w:trPr>
          <w:tblHeader w:val="false"/>
        </w:trPr>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Profi</w:t>
            </w:r>
          </w:p>
        </w:tc>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0,59</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28</w:t>
            </w:r>
          </w:p>
        </w:tc>
        <w:tc>
          <w:tcPr>
            <w:tcW w:type="dxa" w:w="1642"/>
            <w:tcMar>
              <w:top w:type="dxa" w:w="60"/>
              <w:left w:type="dxa" w:w="90"/>
              <w:bottom w:type="dxa" w:w="60"/>
              <w:right w:type="dxa" w:w="90"/>
            </w:tcMar>
          </w:tcPr>
          <w:p>
            <w:pPr>
              <w:keepNext w:val="false"/>
              <w:spacing w:after="0" w:before="0"/>
            </w:pPr>
            <w:r>
              <w:rPr>
                <w:b w:val="false"/>
                <w:bCs w:val="false"/>
                <w:color w:val="162554"/>
                <w:sz w:val="18"/>
                <w:szCs w:val="18"/>
              </w:rPr>
              <w:t xml:space="preserve">16 %</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45</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−4,2 %</w:t>
            </w:r>
          </w:p>
        </w:tc>
        <w:tc>
          <w:tcPr>
            <w:tcW w:type="dxa" w:w="1230"/>
            <w:tcMar>
              <w:top w:type="dxa" w:w="60"/>
              <w:left w:type="dxa" w:w="90"/>
              <w:bottom w:type="dxa" w:w="60"/>
              <w:right w:type="dxa" w:w="90"/>
            </w:tcMar>
          </w:tcPr>
          <w:p>
            <w:pPr>
              <w:keepNext w:val="false"/>
              <w:spacing w:after="0" w:before="0"/>
            </w:pPr>
            <w:r>
              <w:rPr>
                <w:b w:val="false"/>
                <w:bCs w:val="false"/>
                <w:color w:val="162554"/>
                <w:sz w:val="18"/>
                <w:szCs w:val="18"/>
              </w:rPr>
              <w:t xml:space="preserve">30</w:t>
            </w:r>
          </w:p>
        </w:tc>
      </w:tr>
      <w:tr>
        <w:trPr>
          <w:tblHeader w:val="false"/>
        </w:trPr>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Auchan</w:t>
            </w:r>
          </w:p>
        </w:tc>
        <w:tc>
          <w:tcPr>
            <w:tcW w:type="dxa" w:w="1560"/>
            <w:tcMar>
              <w:top w:type="dxa" w:w="60"/>
              <w:left w:type="dxa" w:w="90"/>
              <w:bottom w:type="dxa" w:w="60"/>
              <w:right w:type="dxa" w:w="90"/>
            </w:tcMar>
          </w:tcPr>
          <w:p>
            <w:pPr>
              <w:keepNext w:val="false"/>
              <w:spacing w:after="0" w:before="0"/>
            </w:pPr>
            <w:r>
              <w:rPr>
                <w:b w:val="false"/>
                <w:bCs w:val="false"/>
                <w:color w:val="162554"/>
                <w:sz w:val="18"/>
                <w:szCs w:val="18"/>
              </w:rPr>
              <w:t xml:space="preserve">0,47</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23</w:t>
            </w:r>
          </w:p>
        </w:tc>
        <w:tc>
          <w:tcPr>
            <w:tcW w:type="dxa" w:w="1642"/>
            <w:tcMar>
              <w:top w:type="dxa" w:w="60"/>
              <w:left w:type="dxa" w:w="90"/>
              <w:bottom w:type="dxa" w:w="60"/>
              <w:right w:type="dxa" w:w="90"/>
            </w:tcMar>
          </w:tcPr>
          <w:p>
            <w:pPr>
              <w:keepNext w:val="false"/>
              <w:spacing w:after="0" w:before="0"/>
            </w:pPr>
            <w:r>
              <w:rPr>
                <w:b w:val="false"/>
                <w:bCs w:val="false"/>
                <w:color w:val="162554"/>
                <w:sz w:val="18"/>
                <w:szCs w:val="18"/>
              </w:rPr>
              <w:t xml:space="preserve">34 %</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58</w:t>
            </w:r>
          </w:p>
        </w:tc>
        <w:tc>
          <w:tcPr>
            <w:tcW w:type="dxa" w:w="1232"/>
            <w:tcMar>
              <w:top w:type="dxa" w:w="60"/>
              <w:left w:type="dxa" w:w="90"/>
              <w:bottom w:type="dxa" w:w="60"/>
              <w:right w:type="dxa" w:w="90"/>
            </w:tcMar>
          </w:tcPr>
          <w:p>
            <w:pPr>
              <w:keepNext w:val="false"/>
              <w:spacing w:after="0" w:before="0"/>
            </w:pPr>
            <w:r>
              <w:rPr>
                <w:b w:val="false"/>
                <w:bCs w:val="false"/>
                <w:color w:val="162554"/>
                <w:sz w:val="18"/>
                <w:szCs w:val="18"/>
              </w:rPr>
              <w:t xml:space="preserve">0,1 %</w:t>
            </w:r>
          </w:p>
        </w:tc>
        <w:tc>
          <w:tcPr>
            <w:tcW w:type="dxa" w:w="1230"/>
            <w:tcMar>
              <w:top w:type="dxa" w:w="60"/>
              <w:left w:type="dxa" w:w="90"/>
              <w:bottom w:type="dxa" w:w="60"/>
              <w:right w:type="dxa" w:w="90"/>
            </w:tcMar>
          </w:tcPr>
          <w:p>
            <w:pPr>
              <w:keepNext w:val="false"/>
              <w:spacing w:after="0" w:before="0"/>
            </w:pPr>
            <w:r>
              <w:rPr>
                <w:b w:val="false"/>
                <w:bCs w:val="false"/>
                <w:color w:val="162554"/>
                <w:sz w:val="18"/>
                <w:szCs w:val="18"/>
              </w:rPr>
              <w:t xml:space="preserve">38</w:t>
            </w:r>
          </w:p>
        </w:tc>
      </w:tr>
    </w:tbl>
    <w:p>
      <w:pPr>
        <w:spacing w:after="80"/>
      </w:pPr>
    </w:p>
    <w:p>
      <w:pPr>
        <w:spacing w:after="100"/>
        <w:jc w:val="left"/>
      </w:pPr>
      <w:r>
        <w:t xml:space="preserve">Constatarea care schimbă discuția din comitetul de credit de la nivelul începător: lichiditatea de 0,47 a Auchan, care acolo arăta ca o anomalie greu de explicat, este percentila 23 în tot comerțul cu amănuntul — adică aproape un retailer din patru trăiește sub ea. Nu o scuză, dar o întrebare mai bună: </w:t>
      </w:r>
      <w:r>
        <w:rPr>
          <w:i/>
          <w:iCs/>
        </w:rPr>
        <w:t xml:space="preserve">ce au ei și nu are Auchan?</w:t>
      </w:r>
      <w:r>
        <w:t xml:space="preserve"> Iar dacă îl comparăm doar cu cei de mărimea lui (549 de retaileri cu peste 50 mil. lei cifră de afaceri, grupul implicit al instrumentului), Auchan cade în percentila 5. Acesta este al doilea exercițiu al blocului: alegerea grupului de referință mută verdictul mai mult decât alegerea pragului.</w:t>
      </w:r>
    </w:p>
    <w:p>
      <w:r>
        <w:br w:type="page"/>
      </w:r>
    </w:p>
    <w:p>
      <w:pPr>
        <w:pStyle w:val="Title"/>
        <w:keepNext/>
        <w:spacing w:after="120" w:before="360" w:line="240" w:lineRule="auto"/>
      </w:pPr>
      <w:r>
        <w:t xml:space="preserve">Toolul 3 · Laboratorul de anomalii: ce nu se vede în cifre</w:t>
      </w:r>
    </w:p>
    <w:p>
      <w:pPr>
        <w:spacing w:after="100"/>
        <w:jc w:val="left"/>
      </w:pPr>
      <w:r>
        <w:rPr>
          <w:b/>
          <w:bCs/>
        </w:rPr>
        <w:t xml:space="preserve">Ce este.</w:t>
      </w:r>
      <w:r>
        <w:t xml:space="preserve"> Patru lentile de investigație pe cele 1,12 milioane de depuneri: verificări de plauzibilitate pe o firmă, discontinuitatea rezultatului la zero, laboratorul Benford (cu o capcană metodologică deliberată) și scanarea de profile atipice într-un sector.</w:t>
      </w:r>
    </w:p>
    <w:p>
      <w:pPr>
        <w:spacing w:after="100"/>
        <w:jc w:val="left"/>
      </w:pPr>
      <w:r>
        <w:rPr>
          <w:b/>
          <w:bCs/>
        </w:rPr>
        <w:t xml:space="preserve">De ce merită un bloc.</w:t>
      </w:r>
      <w:r>
        <w:t xml:space="preserve"> Pentru că răspunde la întrebarea pe care un analist expert o pune despre orice set de date înainte de a-l crede: </w:t>
      </w:r>
      <w:r>
        <w:rPr>
          <w:i/>
          <w:iCs/>
        </w:rPr>
        <w:t xml:space="preserve">cât din ce văd e realitate economică și cât e comportament de raportare?</w:t>
      </w:r>
    </w:p>
    <w:p>
      <w:pPr>
        <w:pStyle w:val="Heading1"/>
        <w:keepNext/>
        <w:spacing w:after="120" w:before="240" w:line="240" w:lineRule="auto"/>
      </w:pPr>
      <w:r>
        <w:t xml:space="preserve">Panoul 1 · Plauzibilitate (igienă de date)</w:t>
      </w:r>
    </w:p>
    <w:p>
      <w:pPr>
        <w:spacing w:after="100"/>
        <w:jc w:val="left"/>
      </w:pPr>
      <w:r>
        <w:t xml:space="preserve">Șapte verificări pe firma căutată, fiecare cu frecvența ei în populație, ca participantul să știe dacă ce a găsit e rar sau banal. Cifrele reale pe 2025 (891.727 de firme cu active pozitive):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30"/>
        <w:gridCol w:w="1197"/>
        <w:gridCol w:w="1633"/>
      </w:tblGrid>
      <w:tr>
        <w:trPr>
          <w:tblHeader/>
        </w:trPr>
        <w:tc>
          <w:tcPr>
            <w:tcW w:type="dxa" w:w="6530"/>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Verificare</w:t>
            </w:r>
          </w:p>
        </w:tc>
        <w:tc>
          <w:tcPr>
            <w:tcW w:type="dxa" w:w="1197"/>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Firme</w:t>
            </w:r>
          </w:p>
        </w:tc>
        <w:tc>
          <w:tcPr>
            <w:tcW w:type="dxa" w:w="1633"/>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 din populație</w:t>
            </w:r>
          </w:p>
        </w:tc>
      </w:tr>
      <w:tr>
        <w:trPr>
          <w:tblHeader w:val="false"/>
        </w:trPr>
        <w:tc>
          <w:tcPr>
            <w:tcW w:type="dxa" w:w="6530"/>
            <w:tcMar>
              <w:top w:type="dxa" w:w="60"/>
              <w:left w:type="dxa" w:w="90"/>
              <w:bottom w:type="dxa" w:w="60"/>
              <w:right w:type="dxa" w:w="90"/>
            </w:tcMar>
          </w:tcPr>
          <w:p>
            <w:pPr>
              <w:keepNext w:val="false"/>
              <w:spacing w:after="0" w:before="0"/>
            </w:pPr>
            <w:r>
              <w:rPr>
                <w:b w:val="false"/>
                <w:bCs w:val="false"/>
                <w:color w:val="162554"/>
                <w:sz w:val="18"/>
                <w:szCs w:val="18"/>
              </w:rPr>
              <w:t xml:space="preserve">Valori negative imposibile (stocuri, creanțe, numerar, imobilizări, datorii)</w:t>
            </w:r>
          </w:p>
        </w:tc>
        <w:tc>
          <w:tcPr>
            <w:tcW w:type="dxa" w:w="1197"/>
            <w:tcMar>
              <w:top w:type="dxa" w:w="60"/>
              <w:left w:type="dxa" w:w="90"/>
              <w:bottom w:type="dxa" w:w="60"/>
              <w:right w:type="dxa" w:w="90"/>
            </w:tcMar>
          </w:tcPr>
          <w:p>
            <w:pPr>
              <w:keepNext w:val="false"/>
              <w:spacing w:after="0" w:before="0"/>
            </w:pPr>
            <w:r>
              <w:rPr>
                <w:b w:val="false"/>
                <w:bCs w:val="false"/>
                <w:color w:val="162554"/>
                <w:sz w:val="18"/>
                <w:szCs w:val="18"/>
              </w:rPr>
              <w:t xml:space="preserve">24.291</w:t>
            </w:r>
          </w:p>
        </w:tc>
        <w:tc>
          <w:tcPr>
            <w:tcW w:type="dxa" w:w="1633"/>
            <w:tcMar>
              <w:top w:type="dxa" w:w="60"/>
              <w:left w:type="dxa" w:w="90"/>
              <w:bottom w:type="dxa" w:w="60"/>
              <w:right w:type="dxa" w:w="90"/>
            </w:tcMar>
          </w:tcPr>
          <w:p>
            <w:pPr>
              <w:keepNext w:val="false"/>
              <w:spacing w:after="0" w:before="0"/>
            </w:pPr>
            <w:r>
              <w:rPr>
                <w:b w:val="false"/>
                <w:bCs w:val="false"/>
                <w:color w:val="162554"/>
                <w:sz w:val="18"/>
                <w:szCs w:val="18"/>
              </w:rPr>
              <w:t xml:space="preserve">2,72 %</w:t>
            </w:r>
          </w:p>
        </w:tc>
      </w:tr>
      <w:tr>
        <w:trPr>
          <w:tblHeader w:val="false"/>
        </w:trPr>
        <w:tc>
          <w:tcPr>
            <w:tcW w:type="dxa" w:w="6530"/>
            <w:tcMar>
              <w:top w:type="dxa" w:w="60"/>
              <w:left w:type="dxa" w:w="90"/>
              <w:bottom w:type="dxa" w:w="60"/>
              <w:right w:type="dxa" w:w="90"/>
            </w:tcMar>
          </w:tcPr>
          <w:p>
            <w:pPr>
              <w:keepNext w:val="false"/>
              <w:spacing w:after="0" w:before="0"/>
            </w:pPr>
            <w:r>
              <w:rPr>
                <w:b w:val="false"/>
                <w:bCs w:val="false"/>
                <w:color w:val="162554"/>
                <w:sz w:val="18"/>
                <w:szCs w:val="18"/>
              </w:rPr>
              <w:t xml:space="preserve">Cifră de afaceri peste 5 mil. lei cu zero salariați raportați</w:t>
            </w:r>
          </w:p>
        </w:tc>
        <w:tc>
          <w:tcPr>
            <w:tcW w:type="dxa" w:w="1197"/>
            <w:tcMar>
              <w:top w:type="dxa" w:w="60"/>
              <w:left w:type="dxa" w:w="90"/>
              <w:bottom w:type="dxa" w:w="60"/>
              <w:right w:type="dxa" w:w="90"/>
            </w:tcMar>
          </w:tcPr>
          <w:p>
            <w:pPr>
              <w:keepNext w:val="false"/>
              <w:spacing w:after="0" w:before="0"/>
            </w:pPr>
            <w:r>
              <w:rPr>
                <w:b w:val="false"/>
                <w:bCs w:val="false"/>
                <w:color w:val="162554"/>
                <w:sz w:val="18"/>
                <w:szCs w:val="18"/>
              </w:rPr>
              <w:t xml:space="preserve">1.801</w:t>
            </w:r>
          </w:p>
        </w:tc>
        <w:tc>
          <w:tcPr>
            <w:tcW w:type="dxa" w:w="1633"/>
            <w:tcMar>
              <w:top w:type="dxa" w:w="60"/>
              <w:left w:type="dxa" w:w="90"/>
              <w:bottom w:type="dxa" w:w="60"/>
              <w:right w:type="dxa" w:w="90"/>
            </w:tcMar>
          </w:tcPr>
          <w:p>
            <w:pPr>
              <w:keepNext w:val="false"/>
              <w:spacing w:after="0" w:before="0"/>
            </w:pPr>
            <w:r>
              <w:rPr>
                <w:b w:val="false"/>
                <w:bCs w:val="false"/>
                <w:color w:val="162554"/>
                <w:sz w:val="18"/>
                <w:szCs w:val="18"/>
              </w:rPr>
              <w:t xml:space="preserve">0,20 %</w:t>
            </w:r>
          </w:p>
        </w:tc>
      </w:tr>
      <w:tr>
        <w:trPr>
          <w:tblHeader w:val="false"/>
        </w:trPr>
        <w:tc>
          <w:tcPr>
            <w:tcW w:type="dxa" w:w="6530"/>
            <w:tcMar>
              <w:top w:type="dxa" w:w="60"/>
              <w:left w:type="dxa" w:w="90"/>
              <w:bottom w:type="dxa" w:w="60"/>
              <w:right w:type="dxa" w:w="90"/>
            </w:tcMar>
          </w:tcPr>
          <w:p>
            <w:pPr>
              <w:keepNext w:val="false"/>
              <w:spacing w:after="0" w:before="0"/>
            </w:pPr>
            <w:r>
              <w:rPr>
                <w:b w:val="false"/>
                <w:bCs w:val="false"/>
                <w:color w:val="162554"/>
                <w:sz w:val="18"/>
                <w:szCs w:val="18"/>
              </w:rPr>
              <w:t xml:space="preserve">Rezultat net mai mare decât rezultatul brut</w:t>
            </w:r>
          </w:p>
        </w:tc>
        <w:tc>
          <w:tcPr>
            <w:tcW w:type="dxa" w:w="1197"/>
            <w:tcMar>
              <w:top w:type="dxa" w:w="60"/>
              <w:left w:type="dxa" w:w="90"/>
              <w:bottom w:type="dxa" w:w="60"/>
              <w:right w:type="dxa" w:w="90"/>
            </w:tcMar>
          </w:tcPr>
          <w:p>
            <w:pPr>
              <w:keepNext w:val="false"/>
              <w:spacing w:after="0" w:before="0"/>
            </w:pPr>
            <w:r>
              <w:rPr>
                <w:b w:val="false"/>
                <w:bCs w:val="false"/>
                <w:color w:val="162554"/>
                <w:sz w:val="18"/>
                <w:szCs w:val="18"/>
              </w:rPr>
              <w:t xml:space="preserve">295</w:t>
            </w:r>
          </w:p>
        </w:tc>
        <w:tc>
          <w:tcPr>
            <w:tcW w:type="dxa" w:w="1633"/>
            <w:tcMar>
              <w:top w:type="dxa" w:w="60"/>
              <w:left w:type="dxa" w:w="90"/>
              <w:bottom w:type="dxa" w:w="60"/>
              <w:right w:type="dxa" w:w="90"/>
            </w:tcMar>
          </w:tcPr>
          <w:p>
            <w:pPr>
              <w:keepNext w:val="false"/>
              <w:spacing w:after="0" w:before="0"/>
            </w:pPr>
            <w:r>
              <w:rPr>
                <w:b w:val="false"/>
                <w:bCs w:val="false"/>
                <w:color w:val="162554"/>
                <w:sz w:val="18"/>
                <w:szCs w:val="18"/>
              </w:rPr>
              <w:t xml:space="preserve">0,03 %</w:t>
            </w:r>
          </w:p>
        </w:tc>
      </w:tr>
      <w:tr>
        <w:trPr>
          <w:tblHeader w:val="false"/>
        </w:trPr>
        <w:tc>
          <w:tcPr>
            <w:tcW w:type="dxa" w:w="6530"/>
            <w:tcMar>
              <w:top w:type="dxa" w:w="60"/>
              <w:left w:type="dxa" w:w="90"/>
              <w:bottom w:type="dxa" w:w="60"/>
              <w:right w:type="dxa" w:w="90"/>
            </w:tcMar>
          </w:tcPr>
          <w:p>
            <w:pPr>
              <w:keepNext w:val="false"/>
              <w:spacing w:after="0" w:before="0"/>
            </w:pPr>
            <w:r>
              <w:rPr>
                <w:b w:val="false"/>
                <w:bCs w:val="false"/>
                <w:color w:val="162554"/>
                <w:sz w:val="18"/>
                <w:szCs w:val="18"/>
              </w:rPr>
              <w:t xml:space="preserve">Stocuri + creanțe + numerar mai mari decât activele circulante</w:t>
            </w:r>
          </w:p>
        </w:tc>
        <w:tc>
          <w:tcPr>
            <w:tcW w:type="dxa" w:w="1197"/>
            <w:tcMar>
              <w:top w:type="dxa" w:w="60"/>
              <w:left w:type="dxa" w:w="90"/>
              <w:bottom w:type="dxa" w:w="60"/>
              <w:right w:type="dxa" w:w="90"/>
            </w:tcMar>
          </w:tcPr>
          <w:p>
            <w:pPr>
              <w:keepNext w:val="false"/>
              <w:spacing w:after="0" w:before="0"/>
            </w:pPr>
            <w:r>
              <w:rPr>
                <w:b w:val="false"/>
                <w:bCs w:val="false"/>
                <w:color w:val="162554"/>
                <w:sz w:val="18"/>
                <w:szCs w:val="18"/>
              </w:rPr>
              <w:t xml:space="preserve">137</w:t>
            </w:r>
          </w:p>
        </w:tc>
        <w:tc>
          <w:tcPr>
            <w:tcW w:type="dxa" w:w="1633"/>
            <w:tcMar>
              <w:top w:type="dxa" w:w="60"/>
              <w:left w:type="dxa" w:w="90"/>
              <w:bottom w:type="dxa" w:w="60"/>
              <w:right w:type="dxa" w:w="90"/>
            </w:tcMar>
          </w:tcPr>
          <w:p>
            <w:pPr>
              <w:keepNext w:val="false"/>
              <w:spacing w:after="0" w:before="0"/>
            </w:pPr>
            <w:r>
              <w:rPr>
                <w:b w:val="false"/>
                <w:bCs w:val="false"/>
                <w:color w:val="162554"/>
                <w:sz w:val="18"/>
                <w:szCs w:val="18"/>
              </w:rPr>
              <w:t xml:space="preserve">0,02 %</w:t>
            </w:r>
          </w:p>
        </w:tc>
      </w:tr>
      <w:tr>
        <w:trPr>
          <w:tblHeader w:val="false"/>
        </w:trPr>
        <w:tc>
          <w:tcPr>
            <w:tcW w:type="dxa" w:w="6530"/>
            <w:tcMar>
              <w:top w:type="dxa" w:w="60"/>
              <w:left w:type="dxa" w:w="90"/>
              <w:bottom w:type="dxa" w:w="60"/>
              <w:right w:type="dxa" w:w="90"/>
            </w:tcMar>
          </w:tcPr>
          <w:p>
            <w:pPr>
              <w:keepNext w:val="false"/>
              <w:spacing w:after="0" w:before="0"/>
            </w:pPr>
            <w:r>
              <w:rPr>
                <w:b w:val="false"/>
                <w:bCs w:val="false"/>
                <w:color w:val="162554"/>
                <w:sz w:val="18"/>
                <w:szCs w:val="18"/>
              </w:rPr>
              <w:t xml:space="preserve">Bilanțul nu se închide (activ ≠ pasiv, toleranță 0,5 %)</w:t>
            </w:r>
          </w:p>
        </w:tc>
        <w:tc>
          <w:tcPr>
            <w:tcW w:type="dxa" w:w="1197"/>
            <w:tcMar>
              <w:top w:type="dxa" w:w="60"/>
              <w:left w:type="dxa" w:w="90"/>
              <w:bottom w:type="dxa" w:w="60"/>
              <w:right w:type="dxa" w:w="90"/>
            </w:tcMar>
          </w:tcPr>
          <w:p>
            <w:pPr>
              <w:keepNext w:val="false"/>
              <w:spacing w:after="0" w:before="0"/>
            </w:pPr>
            <w:r>
              <w:rPr>
                <w:b w:val="false"/>
                <w:bCs w:val="false"/>
                <w:color w:val="162554"/>
                <w:sz w:val="18"/>
                <w:szCs w:val="18"/>
              </w:rPr>
              <w:t xml:space="preserve">11</w:t>
            </w:r>
          </w:p>
        </w:tc>
        <w:tc>
          <w:tcPr>
            <w:tcW w:type="dxa" w:w="1633"/>
            <w:tcMar>
              <w:top w:type="dxa" w:w="60"/>
              <w:left w:type="dxa" w:w="90"/>
              <w:bottom w:type="dxa" w:w="60"/>
              <w:right w:type="dxa" w:w="90"/>
            </w:tcMar>
          </w:tcPr>
          <w:p>
            <w:pPr>
              <w:keepNext w:val="false"/>
              <w:spacing w:after="0" w:before="0"/>
            </w:pPr>
            <w:r>
              <w:rPr>
                <w:b w:val="false"/>
                <w:bCs w:val="false"/>
                <w:color w:val="162554"/>
                <w:sz w:val="18"/>
                <w:szCs w:val="18"/>
              </w:rPr>
              <w:t xml:space="preserve">0,00 %</w:t>
            </w:r>
          </w:p>
        </w:tc>
      </w:tr>
      <w:tr>
        <w:trPr>
          <w:tblHeader w:val="false"/>
        </w:trPr>
        <w:tc>
          <w:tcPr>
            <w:tcW w:type="dxa" w:w="6530"/>
            <w:tcMar>
              <w:top w:type="dxa" w:w="60"/>
              <w:left w:type="dxa" w:w="90"/>
              <w:bottom w:type="dxa" w:w="60"/>
              <w:right w:type="dxa" w:w="90"/>
            </w:tcMar>
          </w:tcPr>
          <w:p>
            <w:pPr>
              <w:keepNext w:val="false"/>
              <w:spacing w:after="0" w:before="0"/>
            </w:pPr>
            <w:r>
              <w:rPr>
                <w:b w:val="false"/>
                <w:bCs w:val="false"/>
                <w:color w:val="162554"/>
                <w:sz w:val="18"/>
                <w:szCs w:val="18"/>
              </w:rPr>
              <w:t xml:space="preserve">Venituri − cheltuieli ≠ rezultat brut</w:t>
            </w:r>
          </w:p>
        </w:tc>
        <w:tc>
          <w:tcPr>
            <w:tcW w:type="dxa" w:w="1197"/>
            <w:tcMar>
              <w:top w:type="dxa" w:w="60"/>
              <w:left w:type="dxa" w:w="90"/>
              <w:bottom w:type="dxa" w:w="60"/>
              <w:right w:type="dxa" w:w="90"/>
            </w:tcMar>
          </w:tcPr>
          <w:p>
            <w:pPr>
              <w:keepNext w:val="false"/>
              <w:spacing w:after="0" w:before="0"/>
            </w:pPr>
            <w:r>
              <w:rPr>
                <w:b w:val="false"/>
                <w:bCs w:val="false"/>
                <w:color w:val="162554"/>
                <w:sz w:val="18"/>
                <w:szCs w:val="18"/>
              </w:rPr>
              <w:t xml:space="preserve">0</w:t>
            </w:r>
          </w:p>
        </w:tc>
        <w:tc>
          <w:tcPr>
            <w:tcW w:type="dxa" w:w="1633"/>
            <w:tcMar>
              <w:top w:type="dxa" w:w="60"/>
              <w:left w:type="dxa" w:w="90"/>
              <w:bottom w:type="dxa" w:w="60"/>
              <w:right w:type="dxa" w:w="90"/>
            </w:tcMar>
          </w:tcPr>
          <w:p>
            <w:pPr>
              <w:keepNext w:val="false"/>
              <w:spacing w:after="0" w:before="0"/>
            </w:pPr>
            <w:r>
              <w:rPr>
                <w:b w:val="false"/>
                <w:bCs w:val="false"/>
                <w:color w:val="162554"/>
                <w:sz w:val="18"/>
                <w:szCs w:val="18"/>
              </w:rPr>
              <w:t xml:space="preserve">0,00 %</w:t>
            </w:r>
          </w:p>
        </w:tc>
      </w:tr>
      <w:tr>
        <w:trPr>
          <w:tblHeader w:val="false"/>
        </w:trPr>
        <w:tc>
          <w:tcPr>
            <w:tcW w:type="dxa" w:w="6530"/>
            <w:tcMar>
              <w:top w:type="dxa" w:w="60"/>
              <w:left w:type="dxa" w:w="90"/>
              <w:bottom w:type="dxa" w:w="60"/>
              <w:right w:type="dxa" w:w="90"/>
            </w:tcMar>
          </w:tcPr>
          <w:p>
            <w:pPr>
              <w:keepNext w:val="false"/>
              <w:spacing w:after="0" w:before="0"/>
            </w:pPr>
            <w:r>
              <w:rPr>
                <w:b w:val="false"/>
                <w:bCs w:val="false"/>
                <w:color w:val="162554"/>
                <w:sz w:val="18"/>
                <w:szCs w:val="18"/>
              </w:rPr>
              <w:t xml:space="preserve">Cel puțin o problemă</w:t>
            </w:r>
          </w:p>
        </w:tc>
        <w:tc>
          <w:tcPr>
            <w:tcW w:type="dxa" w:w="1197"/>
            <w:tcMar>
              <w:top w:type="dxa" w:w="60"/>
              <w:left w:type="dxa" w:w="90"/>
              <w:bottom w:type="dxa" w:w="60"/>
              <w:right w:type="dxa" w:w="90"/>
            </w:tcMar>
          </w:tcPr>
          <w:p>
            <w:pPr>
              <w:keepNext w:val="false"/>
              <w:spacing w:after="0" w:before="0"/>
            </w:pPr>
            <w:r>
              <w:rPr>
                <w:b w:val="false"/>
                <w:bCs w:val="false"/>
                <w:color w:val="162554"/>
                <w:sz w:val="18"/>
                <w:szCs w:val="18"/>
              </w:rPr>
              <w:t xml:space="preserve">26.464</w:t>
            </w:r>
          </w:p>
        </w:tc>
        <w:tc>
          <w:tcPr>
            <w:tcW w:type="dxa" w:w="1633"/>
            <w:tcMar>
              <w:top w:type="dxa" w:w="60"/>
              <w:left w:type="dxa" w:w="90"/>
              <w:bottom w:type="dxa" w:w="60"/>
              <w:right w:type="dxa" w:w="90"/>
            </w:tcMar>
          </w:tcPr>
          <w:p>
            <w:pPr>
              <w:keepNext w:val="false"/>
              <w:spacing w:after="0" w:before="0"/>
            </w:pPr>
            <w:r>
              <w:rPr>
                <w:b w:val="false"/>
                <w:bCs w:val="false"/>
                <w:color w:val="162554"/>
                <w:sz w:val="18"/>
                <w:szCs w:val="18"/>
              </w:rPr>
              <w:t xml:space="preserve">2,97 %</w:t>
            </w:r>
          </w:p>
        </w:tc>
      </w:tr>
    </w:tbl>
    <w:p>
      <w:pPr>
        <w:spacing w:after="80"/>
      </w:pPr>
    </w:p>
    <w:p>
      <w:pPr>
        <w:spacing w:after="100"/>
        <w:jc w:val="left"/>
      </w:pPr>
      <w:r>
        <w:t xml:space="preserve">Mesajul, spus explicit pe ecran: aritmetica depunerilor este curată pentru că este validată electronic la depunere. Cine caută fraudă în aritmetică pierde timpul. Ce rămâne e igienă de date, adică motive de întrebare, nu de acuzație — și chiar și acolo explicația e de obicei banală. Descompunerea valorilor negative arată de ce: 17.911 de cazuri sunt numerar negativ, 4.619 creanțe negative, 1.895 datorii negative, 37 stocuri negative. Numerarul negativ este aproape sigur un descoperit de cont trecut pe linia de trezorerie, adică o convenție de raportare, nu o imposibilitate. De aceea panoul afișează, lângă fiecare verificare, frecvența în populație </w:t>
      </w:r>
      <w:r>
        <w:rPr>
          <w:b/>
          <w:bCs/>
        </w:rPr>
        <w:t xml:space="preserve">și</w:t>
      </w:r>
      <w:r>
        <w:t xml:space="preserve"> explicația cea mai probabilă; un analist care nu știe că 2 % din firme raportează numerar negativ va trata un client normal ca pe un caz.</w:t>
      </w:r>
    </w:p>
    <w:p>
      <w:pPr>
        <w:pStyle w:val="Heading1"/>
        <w:keepNext/>
        <w:spacing w:after="120" w:before="240" w:line="240" w:lineRule="auto"/>
      </w:pPr>
      <w:r>
        <w:t xml:space="preserve">Panoul 2 · Discontinuitatea la zero — constatarea centrală</w:t>
      </w:r>
    </w:p>
    <w:p>
      <w:pPr>
        <w:spacing w:after="100"/>
        <w:jc w:val="left"/>
      </w:pPr>
      <w:r>
        <w:t xml:space="preserve">Histograma rezultatului net raportat la active, cu pas de un punct procentual, filtrabilă pe sector, bandă de mărime și an. Ce va vedea participantul, pe date reale, 2025, firme cu active și cifră de afaceri peste 100.000 lei: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Interval rezultat net / active</w:t>
            </w:r>
          </w:p>
        </w:tc>
        <w:tc>
          <w:tcPr>
            <w:tcW w:type="dxa" w:w="3120"/>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Firme</w:t>
            </w:r>
          </w:p>
        </w:tc>
      </w:tr>
      <w:tr>
        <w:trPr>
          <w:tblHeader w:val="false"/>
        </w:trPr>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−3 %…−2 %</w:t>
            </w:r>
          </w:p>
        </w:tc>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3.344</w:t>
            </w:r>
          </w:p>
        </w:tc>
      </w:tr>
      <w:tr>
        <w:trPr>
          <w:tblHeader w:val="false"/>
        </w:trPr>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−2 %…−1 %</w:t>
            </w:r>
          </w:p>
        </w:tc>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3.600</w:t>
            </w:r>
          </w:p>
        </w:tc>
      </w:tr>
      <w:tr>
        <w:trPr>
          <w:tblHeader w:val="false"/>
        </w:trPr>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−1 %…0 %</w:t>
            </w:r>
          </w:p>
        </w:tc>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3.761</w:t>
            </w:r>
          </w:p>
        </w:tc>
      </w:tr>
      <w:tr>
        <w:trPr>
          <w:tblHeader w:val="false"/>
        </w:trPr>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0 %…+1 %</w:t>
            </w:r>
          </w:p>
        </w:tc>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21.918</w:t>
            </w:r>
          </w:p>
        </w:tc>
      </w:tr>
      <w:tr>
        <w:trPr>
          <w:tblHeader w:val="false"/>
        </w:trPr>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+1 %…+2 %</w:t>
            </w:r>
          </w:p>
        </w:tc>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14.402</w:t>
            </w:r>
          </w:p>
        </w:tc>
      </w:tr>
      <w:tr>
        <w:trPr>
          <w:tblHeader w:val="false"/>
        </w:trPr>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+2 %…+3 %</w:t>
            </w:r>
          </w:p>
        </w:tc>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11.712</w:t>
            </w:r>
          </w:p>
        </w:tc>
      </w:tr>
    </w:tbl>
    <w:p>
      <w:pPr>
        <w:spacing w:after="80"/>
      </w:pPr>
    </w:p>
    <w:p>
      <w:pPr>
        <w:spacing w:after="100"/>
        <w:jc w:val="left"/>
      </w:pPr>
      <w:r>
        <w:t xml:space="preserve">Distribuția urcă lin dinspre pierderi, apoi sare de 5,83 ori exact la trecerea peste zero și coboară lin după. Interpretarea standard în literatură (Burgstahler-Dichev, 1997) este evitarea raportării pierderilor mici: când rezultatul iese ușor negativ, se găsește o ajustare care îl aduce ușor pozitiv. Deficitul intervalului de sub zero este de 58 %, măsurat față de o interpolare între intervalul −2 %…−1 % și intervalul +1 %…+2 %; intervalul imediat de peste zero nu se folosește ca ancoră, fiind tocmai cel umflat de fenomen.</w:t>
      </w:r>
    </w:p>
    <w:p>
      <w:pPr>
        <w:spacing w:after="100"/>
        <w:jc w:val="left"/>
      </w:pPr>
      <w:r>
        <w:t xml:space="preserve">Stabilitatea și structura, tot din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79"/>
        <w:gridCol w:w="2091"/>
        <w:gridCol w:w="2390"/>
      </w:tblGrid>
      <w:tr>
        <w:trPr>
          <w:tblHeader/>
        </w:trPr>
        <w:tc>
          <w:tcPr>
            <w:tcW w:type="dxa" w:w="4879"/>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Tăietură</w:t>
            </w:r>
          </w:p>
        </w:tc>
        <w:tc>
          <w:tcPr>
            <w:tcW w:type="dxa" w:w="2091"/>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Raport peste/sub zero</w:t>
            </w:r>
          </w:p>
        </w:tc>
        <w:tc>
          <w:tcPr>
            <w:tcW w:type="dxa" w:w="2390"/>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Deficit de pierderi mici</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2023</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5,70×</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59,6 %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2024</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5,44×</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56,6 %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2025</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5,83×</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58,2 %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Micro (sub 2 mil. lei)</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5,10×</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52,8 %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Mică (2–10 mil. lei)</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9,32×</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72,0 %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Medie (10–50 mil. lei)</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7,85×</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70,9 %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Mare (peste 50 mil. lei)</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5,42×</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63,2 %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CAEN 69 · activități juridice și de contabilitate</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12,25×</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86,2 %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CAEN 1 · agricultură</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10,81×</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82,4 %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CAEN 10 · industria alimentară</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10,51×</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82,3 %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CAEN 56 · restaurante</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9,33×</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79,8 %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CAEN 49 · transporturi rutiere</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9,06×</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79,6 %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CAEN 70 · consultanță de management</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3,21×</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50,5 %</w:t>
            </w:r>
          </w:p>
        </w:tc>
      </w:tr>
      <w:tr>
        <w:trPr>
          <w:tblHeader w:val="false"/>
        </w:trPr>
        <w:tc>
          <w:tcPr>
            <w:tcW w:type="dxa" w:w="4879"/>
            <w:tcMar>
              <w:top w:type="dxa" w:w="60"/>
              <w:left w:type="dxa" w:w="90"/>
              <w:bottom w:type="dxa" w:w="60"/>
              <w:right w:type="dxa" w:w="90"/>
            </w:tcMar>
          </w:tcPr>
          <w:p>
            <w:pPr>
              <w:keepNext w:val="false"/>
              <w:spacing w:after="0" w:before="0"/>
            </w:pPr>
            <w:r>
              <w:rPr>
                <w:b w:val="false"/>
                <w:bCs w:val="false"/>
                <w:color w:val="162554"/>
                <w:sz w:val="18"/>
                <w:szCs w:val="18"/>
              </w:rPr>
              <w:t xml:space="preserve">CAEN 68 · tranzacții imobiliare</w:t>
            </w:r>
          </w:p>
        </w:tc>
        <w:tc>
          <w:tcPr>
            <w:tcW w:type="dxa" w:w="2091"/>
            <w:tcMar>
              <w:top w:type="dxa" w:w="60"/>
              <w:left w:type="dxa" w:w="90"/>
              <w:bottom w:type="dxa" w:w="60"/>
              <w:right w:type="dxa" w:w="90"/>
            </w:tcMar>
          </w:tcPr>
          <w:p>
            <w:pPr>
              <w:keepNext w:val="false"/>
              <w:spacing w:after="0" w:before="0"/>
            </w:pPr>
            <w:r>
              <w:rPr>
                <w:b w:val="false"/>
                <w:bCs w:val="false"/>
                <w:color w:val="162554"/>
                <w:sz w:val="18"/>
                <w:szCs w:val="18"/>
              </w:rPr>
              <w:t xml:space="preserve">2,38×</w:t>
            </w:r>
          </w:p>
        </w:tc>
        <w:tc>
          <w:tcPr>
            <w:tcW w:type="dxa" w:w="2390"/>
            <w:tcMar>
              <w:top w:type="dxa" w:w="60"/>
              <w:left w:type="dxa" w:w="90"/>
              <w:bottom w:type="dxa" w:w="60"/>
              <w:right w:type="dxa" w:w="90"/>
            </w:tcMar>
          </w:tcPr>
          <w:p>
            <w:pPr>
              <w:keepNext w:val="false"/>
              <w:spacing w:after="0" w:before="0"/>
            </w:pPr>
            <w:r>
              <w:rPr>
                <w:b w:val="false"/>
                <w:bCs w:val="false"/>
                <w:color w:val="162554"/>
                <w:sz w:val="18"/>
                <w:szCs w:val="18"/>
              </w:rPr>
              <w:t xml:space="preserve">35,5 %</w:t>
            </w:r>
          </w:p>
        </w:tc>
      </w:tr>
    </w:tbl>
    <w:p>
      <w:pPr>
        <w:spacing w:after="80"/>
      </w:pPr>
    </w:p>
    <w:p>
      <w:pPr>
        <w:spacing w:after="100"/>
        <w:jc w:val="left"/>
      </w:pPr>
      <w:r>
        <w:t xml:space="preserve">Înainte de a folosi constatarea, toolul arată că nu e artefact — și e un exercițiu de metodă în sine. Saltul rezistă la lățimea intervalului (6,96× la 0,5 pp, 5,83× la 1 pp, 4,99× la 2 pp), rezistă la schimbarea numitorului din active în cifra de afaceri (6,97× / 6,41× / 5,48×), iar o mărime de control fără semnificație de prag — creanțe raportate la active — nu prezintă niciun salt în aceeași histogramă. Trei teste, aceeași concluzie.</w:t>
      </w:r>
    </w:p>
    <w:p>
      <w:pPr>
        <w:spacing w:after="100"/>
        <w:jc w:val="left"/>
      </w:pPr>
      <w:r>
        <w:t xml:space="preserve">Trei lucruri de exploatat la debrief. Fenomenul este cel mai puternic exact în segmentul de firme mici și medii care formează portofoliul de creditare al unei bănci comerciale (9,32× la 2–10 mil. lei). Sectorul cu cea mai mare evitare a pierderilor mici este cel al firmelor de contabilitate și avocatură — cei care știu cel mai bine cum se face. Iar consecința practică pentru analist: un profit raportat de 0,5 % din active este, statistic, mai probabil o pierdere mică aranjată decât un profit real, deci pragul „firma e pe profit” nu este o informație; distanța de la zero este.</w:t>
      </w:r>
    </w:p>
    <w:p>
      <w:pPr>
        <w:pStyle w:val="Heading1"/>
        <w:keepNext/>
        <w:spacing w:after="120" w:before="240" w:line="240" w:lineRule="auto"/>
      </w:pPr>
      <w:r>
        <w:t xml:space="preserve">Panoul 3 · Laboratorul Benford, cu capcană</w:t>
      </w:r>
    </w:p>
    <w:p>
      <w:pPr>
        <w:spacing w:after="100"/>
        <w:jc w:val="left"/>
      </w:pPr>
      <w:r>
        <w:t xml:space="preserve">Distribuția primei cifre pentru valorile raportate, cu MAD-ul lui Nigrini și pragurile lui, plus selectoare pentru câmpurile incluse, sectorul și banda de mărime. Rezultatul global, pe 6.978.640 de valori din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1"/>
        <w:gridCol w:w="970"/>
        <w:gridCol w:w="970"/>
        <w:gridCol w:w="970"/>
        <w:gridCol w:w="900"/>
        <w:gridCol w:w="900"/>
        <w:gridCol w:w="900"/>
        <w:gridCol w:w="900"/>
        <w:gridCol w:w="900"/>
        <w:gridCol w:w="899"/>
      </w:tblGrid>
      <w:tr>
        <w:trPr>
          <w:tblHeader/>
        </w:trPr>
        <w:tc>
          <w:tcPr>
            <w:tcW w:type="dxa" w:w="1051"/>
            <w:shd w:fill="EDF3FF" w:color="auto" w:val="clear"/>
            <w:tcMar>
              <w:top w:type="dxa" w:w="60"/>
              <w:left w:type="dxa" w:w="90"/>
              <w:bottom w:type="dxa" w:w="60"/>
              <w:right w:type="dxa" w:w="90"/>
            </w:tcMar>
          </w:tcPr>
          <w:p>
            <w:pPr>
              <w:keepNext/>
              <w:spacing w:after="0" w:before="0"/>
            </w:pPr>
            <w:r>
              <w:rPr>
                <w:b/>
                <w:bCs/>
                <w:color w:val="1A35A8"/>
                <w:sz w:val="18"/>
                <w:szCs w:val="18"/>
              </w:rPr>
              <w:t xml:space="preserve">Cifra</w:t>
            </w:r>
          </w:p>
        </w:tc>
        <w:tc>
          <w:tcPr>
            <w:tcW w:type="dxa" w:w="970"/>
            <w:shd w:fill="EDF3FF" w:color="auto" w:val="clear"/>
            <w:tcMar>
              <w:top w:type="dxa" w:w="60"/>
              <w:left w:type="dxa" w:w="90"/>
              <w:bottom w:type="dxa" w:w="60"/>
              <w:right w:type="dxa" w:w="90"/>
            </w:tcMar>
          </w:tcPr>
          <w:p>
            <w:pPr>
              <w:keepNext/>
              <w:spacing w:after="0" w:before="0"/>
            </w:pPr>
            <w:r>
              <w:rPr>
                <w:b/>
                <w:bCs/>
                <w:color w:val="1A35A8"/>
                <w:sz w:val="18"/>
                <w:szCs w:val="18"/>
              </w:rPr>
              <w:t xml:space="preserve">1</w:t>
            </w:r>
          </w:p>
        </w:tc>
        <w:tc>
          <w:tcPr>
            <w:tcW w:type="dxa" w:w="970"/>
            <w:shd w:fill="EDF3FF" w:color="auto" w:val="clear"/>
            <w:tcMar>
              <w:top w:type="dxa" w:w="60"/>
              <w:left w:type="dxa" w:w="90"/>
              <w:bottom w:type="dxa" w:w="60"/>
              <w:right w:type="dxa" w:w="90"/>
            </w:tcMar>
          </w:tcPr>
          <w:p>
            <w:pPr>
              <w:keepNext/>
              <w:spacing w:after="0" w:before="0"/>
            </w:pPr>
            <w:r>
              <w:rPr>
                <w:b/>
                <w:bCs/>
                <w:color w:val="1A35A8"/>
                <w:sz w:val="18"/>
                <w:szCs w:val="18"/>
              </w:rPr>
              <w:t xml:space="preserve">2</w:t>
            </w:r>
          </w:p>
        </w:tc>
        <w:tc>
          <w:tcPr>
            <w:tcW w:type="dxa" w:w="970"/>
            <w:shd w:fill="EDF3FF" w:color="auto" w:val="clear"/>
            <w:tcMar>
              <w:top w:type="dxa" w:w="60"/>
              <w:left w:type="dxa" w:w="90"/>
              <w:bottom w:type="dxa" w:w="60"/>
              <w:right w:type="dxa" w:w="90"/>
            </w:tcMar>
          </w:tcPr>
          <w:p>
            <w:pPr>
              <w:keepNext/>
              <w:spacing w:after="0" w:before="0"/>
            </w:pPr>
            <w:r>
              <w:rPr>
                <w:b/>
                <w:bCs/>
                <w:color w:val="1A35A8"/>
                <w:sz w:val="18"/>
                <w:szCs w:val="18"/>
              </w:rPr>
              <w:t xml:space="preserve">3</w:t>
            </w:r>
          </w:p>
        </w:tc>
        <w:tc>
          <w:tcPr>
            <w:tcW w:type="dxa" w:w="900"/>
            <w:shd w:fill="EDF3FF" w:color="auto" w:val="clear"/>
            <w:tcMar>
              <w:top w:type="dxa" w:w="60"/>
              <w:left w:type="dxa" w:w="90"/>
              <w:bottom w:type="dxa" w:w="60"/>
              <w:right w:type="dxa" w:w="90"/>
            </w:tcMar>
          </w:tcPr>
          <w:p>
            <w:pPr>
              <w:keepNext/>
              <w:spacing w:after="0" w:before="0"/>
            </w:pPr>
            <w:r>
              <w:rPr>
                <w:b/>
                <w:bCs/>
                <w:color w:val="1A35A8"/>
                <w:sz w:val="18"/>
                <w:szCs w:val="18"/>
              </w:rPr>
              <w:t xml:space="preserve">4</w:t>
            </w:r>
          </w:p>
        </w:tc>
        <w:tc>
          <w:tcPr>
            <w:tcW w:type="dxa" w:w="900"/>
            <w:shd w:fill="EDF3FF" w:color="auto" w:val="clear"/>
            <w:tcMar>
              <w:top w:type="dxa" w:w="60"/>
              <w:left w:type="dxa" w:w="90"/>
              <w:bottom w:type="dxa" w:w="60"/>
              <w:right w:type="dxa" w:w="90"/>
            </w:tcMar>
          </w:tcPr>
          <w:p>
            <w:pPr>
              <w:keepNext/>
              <w:spacing w:after="0" w:before="0"/>
            </w:pPr>
            <w:r>
              <w:rPr>
                <w:b/>
                <w:bCs/>
                <w:color w:val="1A35A8"/>
                <w:sz w:val="18"/>
                <w:szCs w:val="18"/>
              </w:rPr>
              <w:t xml:space="preserve">5</w:t>
            </w:r>
          </w:p>
        </w:tc>
        <w:tc>
          <w:tcPr>
            <w:tcW w:type="dxa" w:w="900"/>
            <w:shd w:fill="EDF3FF" w:color="auto" w:val="clear"/>
            <w:tcMar>
              <w:top w:type="dxa" w:w="60"/>
              <w:left w:type="dxa" w:w="90"/>
              <w:bottom w:type="dxa" w:w="60"/>
              <w:right w:type="dxa" w:w="90"/>
            </w:tcMar>
          </w:tcPr>
          <w:p>
            <w:pPr>
              <w:keepNext/>
              <w:spacing w:after="0" w:before="0"/>
            </w:pPr>
            <w:r>
              <w:rPr>
                <w:b/>
                <w:bCs/>
                <w:color w:val="1A35A8"/>
                <w:sz w:val="18"/>
                <w:szCs w:val="18"/>
              </w:rPr>
              <w:t xml:space="preserve">6</w:t>
            </w:r>
          </w:p>
        </w:tc>
        <w:tc>
          <w:tcPr>
            <w:tcW w:type="dxa" w:w="900"/>
            <w:shd w:fill="EDF3FF" w:color="auto" w:val="clear"/>
            <w:tcMar>
              <w:top w:type="dxa" w:w="60"/>
              <w:left w:type="dxa" w:w="90"/>
              <w:bottom w:type="dxa" w:w="60"/>
              <w:right w:type="dxa" w:w="90"/>
            </w:tcMar>
          </w:tcPr>
          <w:p>
            <w:pPr>
              <w:keepNext/>
              <w:spacing w:after="0" w:before="0"/>
            </w:pPr>
            <w:r>
              <w:rPr>
                <w:b/>
                <w:bCs/>
                <w:color w:val="1A35A8"/>
                <w:sz w:val="18"/>
                <w:szCs w:val="18"/>
              </w:rPr>
              <w:t xml:space="preserve">7</w:t>
            </w:r>
          </w:p>
        </w:tc>
        <w:tc>
          <w:tcPr>
            <w:tcW w:type="dxa" w:w="900"/>
            <w:shd w:fill="EDF3FF" w:color="auto" w:val="clear"/>
            <w:tcMar>
              <w:top w:type="dxa" w:w="60"/>
              <w:left w:type="dxa" w:w="90"/>
              <w:bottom w:type="dxa" w:w="60"/>
              <w:right w:type="dxa" w:w="90"/>
            </w:tcMar>
          </w:tcPr>
          <w:p>
            <w:pPr>
              <w:keepNext/>
              <w:spacing w:after="0" w:before="0"/>
            </w:pPr>
            <w:r>
              <w:rPr>
                <w:b/>
                <w:bCs/>
                <w:color w:val="1A35A8"/>
                <w:sz w:val="18"/>
                <w:szCs w:val="18"/>
              </w:rPr>
              <w:t xml:space="preserve">8</w:t>
            </w:r>
          </w:p>
        </w:tc>
        <w:tc>
          <w:tcPr>
            <w:tcW w:type="dxa" w:w="899"/>
            <w:shd w:fill="EDF3FF" w:color="auto" w:val="clear"/>
            <w:tcMar>
              <w:top w:type="dxa" w:w="60"/>
              <w:left w:type="dxa" w:w="90"/>
              <w:bottom w:type="dxa" w:w="60"/>
              <w:right w:type="dxa" w:w="90"/>
            </w:tcMar>
          </w:tcPr>
          <w:p>
            <w:pPr>
              <w:keepNext/>
              <w:spacing w:after="0" w:before="0"/>
            </w:pPr>
            <w:r>
              <w:rPr>
                <w:b/>
                <w:bCs/>
                <w:color w:val="1A35A8"/>
                <w:sz w:val="18"/>
                <w:szCs w:val="18"/>
              </w:rPr>
              <w:t xml:space="preserve">9</w:t>
            </w:r>
          </w:p>
        </w:tc>
      </w:tr>
      <w:tr>
        <w:trPr>
          <w:tblHeader w:val="false"/>
        </w:trPr>
        <w:tc>
          <w:tcPr>
            <w:tcW w:type="dxa" w:w="1051"/>
            <w:tcMar>
              <w:top w:type="dxa" w:w="60"/>
              <w:left w:type="dxa" w:w="90"/>
              <w:bottom w:type="dxa" w:w="60"/>
              <w:right w:type="dxa" w:w="90"/>
            </w:tcMar>
          </w:tcPr>
          <w:p>
            <w:pPr>
              <w:keepNext/>
              <w:spacing w:after="0" w:before="0"/>
            </w:pPr>
            <w:r>
              <w:rPr>
                <w:b w:val="false"/>
                <w:bCs w:val="false"/>
                <w:color w:val="162554"/>
                <w:sz w:val="18"/>
                <w:szCs w:val="18"/>
              </w:rPr>
              <w:t xml:space="preserve">Observat</w:t>
            </w:r>
          </w:p>
        </w:tc>
        <w:tc>
          <w:tcPr>
            <w:tcW w:type="dxa" w:w="970"/>
            <w:tcMar>
              <w:top w:type="dxa" w:w="60"/>
              <w:left w:type="dxa" w:w="90"/>
              <w:bottom w:type="dxa" w:w="60"/>
              <w:right w:type="dxa" w:w="90"/>
            </w:tcMar>
          </w:tcPr>
          <w:p>
            <w:pPr>
              <w:keepNext/>
              <w:spacing w:after="0" w:before="0"/>
            </w:pPr>
            <w:r>
              <w:rPr>
                <w:b w:val="false"/>
                <w:bCs w:val="false"/>
                <w:color w:val="162554"/>
                <w:sz w:val="18"/>
                <w:szCs w:val="18"/>
              </w:rPr>
              <w:t xml:space="preserve">30,72 %</w:t>
            </w:r>
          </w:p>
        </w:tc>
        <w:tc>
          <w:tcPr>
            <w:tcW w:type="dxa" w:w="970"/>
            <w:tcMar>
              <w:top w:type="dxa" w:w="60"/>
              <w:left w:type="dxa" w:w="90"/>
              <w:bottom w:type="dxa" w:w="60"/>
              <w:right w:type="dxa" w:w="90"/>
            </w:tcMar>
          </w:tcPr>
          <w:p>
            <w:pPr>
              <w:keepNext/>
              <w:spacing w:after="0" w:before="0"/>
            </w:pPr>
            <w:r>
              <w:rPr>
                <w:b w:val="false"/>
                <w:bCs w:val="false"/>
                <w:color w:val="162554"/>
                <w:sz w:val="18"/>
                <w:szCs w:val="18"/>
              </w:rPr>
              <w:t xml:space="preserve">18,35 %</w:t>
            </w:r>
          </w:p>
        </w:tc>
        <w:tc>
          <w:tcPr>
            <w:tcW w:type="dxa" w:w="970"/>
            <w:tcMar>
              <w:top w:type="dxa" w:w="60"/>
              <w:left w:type="dxa" w:w="90"/>
              <w:bottom w:type="dxa" w:w="60"/>
              <w:right w:type="dxa" w:w="90"/>
            </w:tcMar>
          </w:tcPr>
          <w:p>
            <w:pPr>
              <w:keepNext/>
              <w:spacing w:after="0" w:before="0"/>
            </w:pPr>
            <w:r>
              <w:rPr>
                <w:b w:val="false"/>
                <w:bCs w:val="false"/>
                <w:color w:val="162554"/>
                <w:sz w:val="18"/>
                <w:szCs w:val="18"/>
              </w:rPr>
              <w:t xml:space="preserve">12,82 %</w:t>
            </w:r>
          </w:p>
        </w:tc>
        <w:tc>
          <w:tcPr>
            <w:tcW w:type="dxa" w:w="900"/>
            <w:tcMar>
              <w:top w:type="dxa" w:w="60"/>
              <w:left w:type="dxa" w:w="90"/>
              <w:bottom w:type="dxa" w:w="60"/>
              <w:right w:type="dxa" w:w="90"/>
            </w:tcMar>
          </w:tcPr>
          <w:p>
            <w:pPr>
              <w:keepNext/>
              <w:spacing w:after="0" w:before="0"/>
            </w:pPr>
            <w:r>
              <w:rPr>
                <w:b w:val="false"/>
                <w:bCs w:val="false"/>
                <w:color w:val="162554"/>
                <w:sz w:val="18"/>
                <w:szCs w:val="18"/>
              </w:rPr>
              <w:t xml:space="preserve">9,63 %</w:t>
            </w:r>
          </w:p>
        </w:tc>
        <w:tc>
          <w:tcPr>
            <w:tcW w:type="dxa" w:w="900"/>
            <w:tcMar>
              <w:top w:type="dxa" w:w="60"/>
              <w:left w:type="dxa" w:w="90"/>
              <w:bottom w:type="dxa" w:w="60"/>
              <w:right w:type="dxa" w:w="90"/>
            </w:tcMar>
          </w:tcPr>
          <w:p>
            <w:pPr>
              <w:keepNext/>
              <w:spacing w:after="0" w:before="0"/>
            </w:pPr>
            <w:r>
              <w:rPr>
                <w:b w:val="false"/>
                <w:bCs w:val="false"/>
                <w:color w:val="162554"/>
                <w:sz w:val="18"/>
                <w:szCs w:val="18"/>
              </w:rPr>
              <w:t xml:space="preserve">7,63 %</w:t>
            </w:r>
          </w:p>
        </w:tc>
        <w:tc>
          <w:tcPr>
            <w:tcW w:type="dxa" w:w="900"/>
            <w:tcMar>
              <w:top w:type="dxa" w:w="60"/>
              <w:left w:type="dxa" w:w="90"/>
              <w:bottom w:type="dxa" w:w="60"/>
              <w:right w:type="dxa" w:w="90"/>
            </w:tcMar>
          </w:tcPr>
          <w:p>
            <w:pPr>
              <w:keepNext/>
              <w:spacing w:after="0" w:before="0"/>
            </w:pPr>
            <w:r>
              <w:rPr>
                <w:b w:val="false"/>
                <w:bCs w:val="false"/>
                <w:color w:val="162554"/>
                <w:sz w:val="18"/>
                <w:szCs w:val="18"/>
              </w:rPr>
              <w:t xml:space="preserve">6,34 %</w:t>
            </w:r>
          </w:p>
        </w:tc>
        <w:tc>
          <w:tcPr>
            <w:tcW w:type="dxa" w:w="900"/>
            <w:tcMar>
              <w:top w:type="dxa" w:w="60"/>
              <w:left w:type="dxa" w:w="90"/>
              <w:bottom w:type="dxa" w:w="60"/>
              <w:right w:type="dxa" w:w="90"/>
            </w:tcMar>
          </w:tcPr>
          <w:p>
            <w:pPr>
              <w:keepNext/>
              <w:spacing w:after="0" w:before="0"/>
            </w:pPr>
            <w:r>
              <w:rPr>
                <w:b w:val="false"/>
                <w:bCs w:val="false"/>
                <w:color w:val="162554"/>
                <w:sz w:val="18"/>
                <w:szCs w:val="18"/>
              </w:rPr>
              <w:t xml:space="preserve">5,46 %</w:t>
            </w:r>
          </w:p>
        </w:tc>
        <w:tc>
          <w:tcPr>
            <w:tcW w:type="dxa" w:w="900"/>
            <w:tcMar>
              <w:top w:type="dxa" w:w="60"/>
              <w:left w:type="dxa" w:w="90"/>
              <w:bottom w:type="dxa" w:w="60"/>
              <w:right w:type="dxa" w:w="90"/>
            </w:tcMar>
          </w:tcPr>
          <w:p>
            <w:pPr>
              <w:keepNext/>
              <w:spacing w:after="0" w:before="0"/>
            </w:pPr>
            <w:r>
              <w:rPr>
                <w:b w:val="false"/>
                <w:bCs w:val="false"/>
                <w:color w:val="162554"/>
                <w:sz w:val="18"/>
                <w:szCs w:val="18"/>
              </w:rPr>
              <w:t xml:space="preserve">4,78 %</w:t>
            </w:r>
          </w:p>
        </w:tc>
        <w:tc>
          <w:tcPr>
            <w:tcW w:type="dxa" w:w="899"/>
            <w:tcMar>
              <w:top w:type="dxa" w:w="60"/>
              <w:left w:type="dxa" w:w="90"/>
              <w:bottom w:type="dxa" w:w="60"/>
              <w:right w:type="dxa" w:w="90"/>
            </w:tcMar>
          </w:tcPr>
          <w:p>
            <w:pPr>
              <w:keepNext/>
              <w:spacing w:after="0" w:before="0"/>
            </w:pPr>
            <w:r>
              <w:rPr>
                <w:b w:val="false"/>
                <w:bCs w:val="false"/>
                <w:color w:val="162554"/>
                <w:sz w:val="18"/>
                <w:szCs w:val="18"/>
              </w:rPr>
              <w:t xml:space="preserve">4,27 %</w:t>
            </w:r>
          </w:p>
        </w:tc>
      </w:tr>
      <w:tr>
        <w:trPr>
          <w:tblHeader w:val="false"/>
        </w:trPr>
        <w:tc>
          <w:tcPr>
            <w:tcW w:type="dxa" w:w="1051"/>
            <w:tcMar>
              <w:top w:type="dxa" w:w="60"/>
              <w:left w:type="dxa" w:w="90"/>
              <w:bottom w:type="dxa" w:w="60"/>
              <w:right w:type="dxa" w:w="90"/>
            </w:tcMar>
          </w:tcPr>
          <w:p>
            <w:pPr>
              <w:keepNext w:val="false"/>
              <w:spacing w:after="0" w:before="0"/>
            </w:pPr>
            <w:r>
              <w:rPr>
                <w:b w:val="false"/>
                <w:bCs w:val="false"/>
                <w:color w:val="162554"/>
                <w:sz w:val="18"/>
                <w:szCs w:val="18"/>
              </w:rPr>
              <w:t xml:space="preserve">Benford</w:t>
            </w:r>
          </w:p>
        </w:tc>
        <w:tc>
          <w:tcPr>
            <w:tcW w:type="dxa" w:w="970"/>
            <w:tcMar>
              <w:top w:type="dxa" w:w="60"/>
              <w:left w:type="dxa" w:w="90"/>
              <w:bottom w:type="dxa" w:w="60"/>
              <w:right w:type="dxa" w:w="90"/>
            </w:tcMar>
          </w:tcPr>
          <w:p>
            <w:pPr>
              <w:keepNext w:val="false"/>
              <w:spacing w:after="0" w:before="0"/>
            </w:pPr>
            <w:r>
              <w:rPr>
                <w:b w:val="false"/>
                <w:bCs w:val="false"/>
                <w:color w:val="162554"/>
                <w:sz w:val="18"/>
                <w:szCs w:val="18"/>
              </w:rPr>
              <w:t xml:space="preserve">30,10 %</w:t>
            </w:r>
          </w:p>
        </w:tc>
        <w:tc>
          <w:tcPr>
            <w:tcW w:type="dxa" w:w="970"/>
            <w:tcMar>
              <w:top w:type="dxa" w:w="60"/>
              <w:left w:type="dxa" w:w="90"/>
              <w:bottom w:type="dxa" w:w="60"/>
              <w:right w:type="dxa" w:w="90"/>
            </w:tcMar>
          </w:tcPr>
          <w:p>
            <w:pPr>
              <w:keepNext w:val="false"/>
              <w:spacing w:after="0" w:before="0"/>
            </w:pPr>
            <w:r>
              <w:rPr>
                <w:b w:val="false"/>
                <w:bCs w:val="false"/>
                <w:color w:val="162554"/>
                <w:sz w:val="18"/>
                <w:szCs w:val="18"/>
              </w:rPr>
              <w:t xml:space="preserve">17,61 %</w:t>
            </w:r>
          </w:p>
        </w:tc>
        <w:tc>
          <w:tcPr>
            <w:tcW w:type="dxa" w:w="970"/>
            <w:tcMar>
              <w:top w:type="dxa" w:w="60"/>
              <w:left w:type="dxa" w:w="90"/>
              <w:bottom w:type="dxa" w:w="60"/>
              <w:right w:type="dxa" w:w="90"/>
            </w:tcMar>
          </w:tcPr>
          <w:p>
            <w:pPr>
              <w:keepNext w:val="false"/>
              <w:spacing w:after="0" w:before="0"/>
            </w:pPr>
            <w:r>
              <w:rPr>
                <w:b w:val="false"/>
                <w:bCs w:val="false"/>
                <w:color w:val="162554"/>
                <w:sz w:val="18"/>
                <w:szCs w:val="18"/>
              </w:rPr>
              <w:t xml:space="preserve">12,49 %</w:t>
            </w:r>
          </w:p>
        </w:tc>
        <w:tc>
          <w:tcPr>
            <w:tcW w:type="dxa" w:w="900"/>
            <w:tcMar>
              <w:top w:type="dxa" w:w="60"/>
              <w:left w:type="dxa" w:w="90"/>
              <w:bottom w:type="dxa" w:w="60"/>
              <w:right w:type="dxa" w:w="90"/>
            </w:tcMar>
          </w:tcPr>
          <w:p>
            <w:pPr>
              <w:keepNext w:val="false"/>
              <w:spacing w:after="0" w:before="0"/>
            </w:pPr>
            <w:r>
              <w:rPr>
                <w:b w:val="false"/>
                <w:bCs w:val="false"/>
                <w:color w:val="162554"/>
                <w:sz w:val="18"/>
                <w:szCs w:val="18"/>
              </w:rPr>
              <w:t xml:space="preserve">9,69 %</w:t>
            </w:r>
          </w:p>
        </w:tc>
        <w:tc>
          <w:tcPr>
            <w:tcW w:type="dxa" w:w="900"/>
            <w:tcMar>
              <w:top w:type="dxa" w:w="60"/>
              <w:left w:type="dxa" w:w="90"/>
              <w:bottom w:type="dxa" w:w="60"/>
              <w:right w:type="dxa" w:w="90"/>
            </w:tcMar>
          </w:tcPr>
          <w:p>
            <w:pPr>
              <w:keepNext w:val="false"/>
              <w:spacing w:after="0" w:before="0"/>
            </w:pPr>
            <w:r>
              <w:rPr>
                <w:b w:val="false"/>
                <w:bCs w:val="false"/>
                <w:color w:val="162554"/>
                <w:sz w:val="18"/>
                <w:szCs w:val="18"/>
              </w:rPr>
              <w:t xml:space="preserve">7,92 %</w:t>
            </w:r>
          </w:p>
        </w:tc>
        <w:tc>
          <w:tcPr>
            <w:tcW w:type="dxa" w:w="900"/>
            <w:tcMar>
              <w:top w:type="dxa" w:w="60"/>
              <w:left w:type="dxa" w:w="90"/>
              <w:bottom w:type="dxa" w:w="60"/>
              <w:right w:type="dxa" w:w="90"/>
            </w:tcMar>
          </w:tcPr>
          <w:p>
            <w:pPr>
              <w:keepNext w:val="false"/>
              <w:spacing w:after="0" w:before="0"/>
            </w:pPr>
            <w:r>
              <w:rPr>
                <w:b w:val="false"/>
                <w:bCs w:val="false"/>
                <w:color w:val="162554"/>
                <w:sz w:val="18"/>
                <w:szCs w:val="18"/>
              </w:rPr>
              <w:t xml:space="preserve">6,69 %</w:t>
            </w:r>
          </w:p>
        </w:tc>
        <w:tc>
          <w:tcPr>
            <w:tcW w:type="dxa" w:w="900"/>
            <w:tcMar>
              <w:top w:type="dxa" w:w="60"/>
              <w:left w:type="dxa" w:w="90"/>
              <w:bottom w:type="dxa" w:w="60"/>
              <w:right w:type="dxa" w:w="90"/>
            </w:tcMar>
          </w:tcPr>
          <w:p>
            <w:pPr>
              <w:keepNext w:val="false"/>
              <w:spacing w:after="0" w:before="0"/>
            </w:pPr>
            <w:r>
              <w:rPr>
                <w:b w:val="false"/>
                <w:bCs w:val="false"/>
                <w:color w:val="162554"/>
                <w:sz w:val="18"/>
                <w:szCs w:val="18"/>
              </w:rPr>
              <w:t xml:space="preserve">5,80 %</w:t>
            </w:r>
          </w:p>
        </w:tc>
        <w:tc>
          <w:tcPr>
            <w:tcW w:type="dxa" w:w="900"/>
            <w:tcMar>
              <w:top w:type="dxa" w:w="60"/>
              <w:left w:type="dxa" w:w="90"/>
              <w:bottom w:type="dxa" w:w="60"/>
              <w:right w:type="dxa" w:w="90"/>
            </w:tcMar>
          </w:tcPr>
          <w:p>
            <w:pPr>
              <w:keepNext w:val="false"/>
              <w:spacing w:after="0" w:before="0"/>
            </w:pPr>
            <w:r>
              <w:rPr>
                <w:b w:val="false"/>
                <w:bCs w:val="false"/>
                <w:color w:val="162554"/>
                <w:sz w:val="18"/>
                <w:szCs w:val="18"/>
              </w:rPr>
              <w:t xml:space="preserve">5,12 %</w:t>
            </w:r>
          </w:p>
        </w:tc>
        <w:tc>
          <w:tcPr>
            <w:tcW w:type="dxa" w:w="899"/>
            <w:tcMar>
              <w:top w:type="dxa" w:w="60"/>
              <w:left w:type="dxa" w:w="90"/>
              <w:bottom w:type="dxa" w:w="60"/>
              <w:right w:type="dxa" w:w="90"/>
            </w:tcMar>
          </w:tcPr>
          <w:p>
            <w:pPr>
              <w:keepNext w:val="false"/>
              <w:spacing w:after="0" w:before="0"/>
            </w:pPr>
            <w:r>
              <w:rPr>
                <w:b w:val="false"/>
                <w:bCs w:val="false"/>
                <w:color w:val="162554"/>
                <w:sz w:val="18"/>
                <w:szCs w:val="18"/>
              </w:rPr>
              <w:t xml:space="preserve">4,58 %</w:t>
            </w:r>
          </w:p>
        </w:tc>
      </w:tr>
    </w:tbl>
    <w:p>
      <w:pPr>
        <w:spacing w:after="80"/>
      </w:pPr>
    </w:p>
    <w:p>
      <w:pPr>
        <w:spacing w:after="100"/>
        <w:jc w:val="left"/>
      </w:pPr>
      <w:r>
        <w:t xml:space="preserve">MAD 0,0038, adică </w:t>
      </w:r>
      <w:r>
        <w:rPr>
          <w:i/>
          <w:iCs/>
        </w:rPr>
        <w:t xml:space="preserve">conformitate strânsă</w:t>
      </w:r>
      <w:r>
        <w:t xml:space="preserve"> — Benford nu găsește nimic la nivel de populație. Capcana didactică vine din selectorul de bandă de mărime, care produce acest rezultat: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97"/>
        <w:gridCol w:w="1886"/>
        <w:gridCol w:w="3423"/>
        <w:gridCol w:w="2654"/>
      </w:tblGrid>
      <w:tr>
        <w:trPr>
          <w:tblHeader/>
        </w:trPr>
        <w:tc>
          <w:tcPr>
            <w:tcW w:type="dxa" w:w="1397"/>
            <w:shd w:fill="EDF3FF" w:color="auto" w:val="clear"/>
            <w:tcMar>
              <w:top w:type="dxa" w:w="60"/>
              <w:left w:type="dxa" w:w="90"/>
              <w:bottom w:type="dxa" w:w="60"/>
              <w:right w:type="dxa" w:w="90"/>
            </w:tcMar>
          </w:tcPr>
          <w:p>
            <w:pPr>
              <w:keepNext/>
              <w:spacing w:after="0" w:before="0"/>
            </w:pPr>
            <w:r>
              <w:rPr>
                <w:b/>
                <w:bCs/>
                <w:color w:val="1A35A8"/>
                <w:sz w:val="18"/>
                <w:szCs w:val="18"/>
              </w:rPr>
              <w:t xml:space="preserve">Bandă de mărime</w:t>
            </w:r>
          </w:p>
        </w:tc>
        <w:tc>
          <w:tcPr>
            <w:tcW w:type="dxa" w:w="1886"/>
            <w:shd w:fill="EDF3FF" w:color="auto" w:val="clear"/>
            <w:tcMar>
              <w:top w:type="dxa" w:w="60"/>
              <w:left w:type="dxa" w:w="90"/>
              <w:bottom w:type="dxa" w:w="60"/>
              <w:right w:type="dxa" w:w="90"/>
            </w:tcMar>
          </w:tcPr>
          <w:p>
            <w:pPr>
              <w:keepNext/>
              <w:spacing w:after="0" w:before="0"/>
            </w:pPr>
            <w:r>
              <w:rPr>
                <w:b/>
                <w:bCs/>
                <w:color w:val="1A35A8"/>
                <w:sz w:val="18"/>
                <w:szCs w:val="18"/>
              </w:rPr>
              <w:t xml:space="preserve">MAD cu toate câmpurile</w:t>
            </w:r>
          </w:p>
        </w:tc>
        <w:tc>
          <w:tcPr>
            <w:tcW w:type="dxa" w:w="3423"/>
            <w:shd w:fill="EDF3FF" w:color="auto" w:val="clear"/>
            <w:tcMar>
              <w:top w:type="dxa" w:w="60"/>
              <w:left w:type="dxa" w:w="90"/>
              <w:bottom w:type="dxa" w:w="60"/>
              <w:right w:type="dxa" w:w="90"/>
            </w:tcMar>
          </w:tcPr>
          <w:p>
            <w:pPr>
              <w:keepNext/>
              <w:spacing w:after="0" w:before="0"/>
            </w:pPr>
            <w:r>
              <w:rPr>
                <w:b/>
                <w:bCs/>
                <w:color w:val="1A35A8"/>
                <w:sz w:val="18"/>
                <w:szCs w:val="18"/>
              </w:rPr>
              <w:t xml:space="preserve">MAD fără cifra de afaceri, venituri și cheltuieli</w:t>
            </w:r>
          </w:p>
        </w:tc>
        <w:tc>
          <w:tcPr>
            <w:tcW w:type="dxa" w:w="2654"/>
            <w:shd w:fill="EDF3FF" w:color="auto" w:val="clear"/>
            <w:tcMar>
              <w:top w:type="dxa" w:w="60"/>
              <w:left w:type="dxa" w:w="90"/>
              <w:bottom w:type="dxa" w:w="60"/>
              <w:right w:type="dxa" w:w="90"/>
            </w:tcMar>
          </w:tcPr>
          <w:p>
            <w:pPr>
              <w:keepNext/>
              <w:spacing w:after="0" w:before="0"/>
            </w:pPr>
            <w:r>
              <w:rPr>
                <w:b/>
                <w:bCs/>
                <w:color w:val="1A35A8"/>
                <w:sz w:val="18"/>
                <w:szCs w:val="18"/>
              </w:rPr>
              <w:t xml:space="preserve">Eșantion aleator de aceeași dimensiune</w:t>
            </w:r>
          </w:p>
        </w:tc>
      </w:tr>
      <w:tr>
        <w:trPr>
          <w:tblHeader w:val="false"/>
        </w:trPr>
        <w:tc>
          <w:tcPr>
            <w:tcW w:type="dxa" w:w="1397"/>
            <w:tcMar>
              <w:top w:type="dxa" w:w="60"/>
              <w:left w:type="dxa" w:w="90"/>
              <w:bottom w:type="dxa" w:w="60"/>
              <w:right w:type="dxa" w:w="90"/>
            </w:tcMar>
          </w:tcPr>
          <w:p>
            <w:pPr>
              <w:keepNext/>
              <w:spacing w:after="0" w:before="0"/>
            </w:pPr>
            <w:r>
              <w:rPr>
                <w:b w:val="false"/>
                <w:bCs w:val="false"/>
                <w:color w:val="162554"/>
                <w:sz w:val="18"/>
                <w:szCs w:val="18"/>
              </w:rPr>
              <w:t xml:space="preserve">Micro</w:t>
            </w:r>
          </w:p>
        </w:tc>
        <w:tc>
          <w:tcPr>
            <w:tcW w:type="dxa" w:w="1886"/>
            <w:tcMar>
              <w:top w:type="dxa" w:w="60"/>
              <w:left w:type="dxa" w:w="90"/>
              <w:bottom w:type="dxa" w:w="60"/>
              <w:right w:type="dxa" w:w="90"/>
            </w:tcMar>
          </w:tcPr>
          <w:p>
            <w:pPr>
              <w:keepNext/>
              <w:spacing w:after="0" w:before="0"/>
            </w:pPr>
            <w:r>
              <w:rPr>
                <w:b w:val="false"/>
                <w:bCs w:val="false"/>
                <w:color w:val="162554"/>
                <w:sz w:val="18"/>
                <w:szCs w:val="18"/>
              </w:rPr>
              <w:t xml:space="preserve">0,0040</w:t>
            </w:r>
          </w:p>
        </w:tc>
        <w:tc>
          <w:tcPr>
            <w:tcW w:type="dxa" w:w="3423"/>
            <w:tcMar>
              <w:top w:type="dxa" w:w="60"/>
              <w:left w:type="dxa" w:w="90"/>
              <w:bottom w:type="dxa" w:w="60"/>
              <w:right w:type="dxa" w:w="90"/>
            </w:tcMar>
          </w:tcPr>
          <w:p>
            <w:pPr>
              <w:keepNext/>
              <w:spacing w:after="0" w:before="0"/>
            </w:pPr>
            <w:r>
              <w:rPr>
                <w:b w:val="false"/>
                <w:bCs w:val="false"/>
                <w:color w:val="162554"/>
                <w:sz w:val="18"/>
                <w:szCs w:val="18"/>
              </w:rPr>
              <w:t xml:space="preserve">0,0040</w:t>
            </w:r>
          </w:p>
        </w:tc>
        <w:tc>
          <w:tcPr>
            <w:tcW w:type="dxa" w:w="2654"/>
            <w:tcMar>
              <w:top w:type="dxa" w:w="60"/>
              <w:left w:type="dxa" w:w="90"/>
              <w:bottom w:type="dxa" w:w="60"/>
              <w:right w:type="dxa" w:w="90"/>
            </w:tcMar>
          </w:tcPr>
          <w:p>
            <w:pPr>
              <w:keepNext/>
              <w:spacing w:after="0" w:before="0"/>
            </w:pPr>
            <w:r>
              <w:rPr>
                <w:b w:val="false"/>
                <w:bCs w:val="false"/>
                <w:color w:val="162554"/>
                <w:sz w:val="18"/>
                <w:szCs w:val="18"/>
              </w:rPr>
              <w:t xml:space="preserve">0,0038</w:t>
            </w:r>
          </w:p>
        </w:tc>
      </w:tr>
      <w:tr>
        <w:trPr>
          <w:tblHeader w:val="false"/>
        </w:trPr>
        <w:tc>
          <w:tcPr>
            <w:tcW w:type="dxa" w:w="1397"/>
            <w:tcMar>
              <w:top w:type="dxa" w:w="60"/>
              <w:left w:type="dxa" w:w="90"/>
              <w:bottom w:type="dxa" w:w="60"/>
              <w:right w:type="dxa" w:w="90"/>
            </w:tcMar>
          </w:tcPr>
          <w:p>
            <w:pPr>
              <w:keepNext/>
              <w:spacing w:after="0" w:before="0"/>
            </w:pPr>
            <w:r>
              <w:rPr>
                <w:b w:val="false"/>
                <w:bCs w:val="false"/>
                <w:color w:val="162554"/>
                <w:sz w:val="18"/>
                <w:szCs w:val="18"/>
              </w:rPr>
              <w:t xml:space="preserve">Mică (2–10 mil.)</w:t>
            </w:r>
          </w:p>
        </w:tc>
        <w:tc>
          <w:tcPr>
            <w:tcW w:type="dxa" w:w="1886"/>
            <w:tcMar>
              <w:top w:type="dxa" w:w="60"/>
              <w:left w:type="dxa" w:w="90"/>
              <w:bottom w:type="dxa" w:w="60"/>
              <w:right w:type="dxa" w:w="90"/>
            </w:tcMar>
          </w:tcPr>
          <w:p>
            <w:pPr>
              <w:keepNext/>
              <w:spacing w:after="0" w:before="0"/>
            </w:pPr>
            <w:r>
              <w:rPr>
                <w:b w:val="false"/>
                <w:bCs w:val="false"/>
                <w:color w:val="162554"/>
                <w:sz w:val="18"/>
                <w:szCs w:val="18"/>
              </w:rPr>
              <w:t xml:space="preserve">0,0174</w:t>
            </w:r>
            <w:r>
              <w:rPr>
                <w:b w:val="false"/>
                <w:bCs w:val="false"/>
                <w:color w:val="162554"/>
                <w:sz w:val="18"/>
                <w:szCs w:val="18"/>
              </w:rPr>
              <w:t xml:space="preserve"> (neconformitate)</w:t>
            </w:r>
          </w:p>
        </w:tc>
        <w:tc>
          <w:tcPr>
            <w:tcW w:type="dxa" w:w="3423"/>
            <w:tcMar>
              <w:top w:type="dxa" w:w="60"/>
              <w:left w:type="dxa" w:w="90"/>
              <w:bottom w:type="dxa" w:w="60"/>
              <w:right w:type="dxa" w:w="90"/>
            </w:tcMar>
          </w:tcPr>
          <w:p>
            <w:pPr>
              <w:keepNext/>
              <w:spacing w:after="0" w:before="0"/>
            </w:pPr>
            <w:r>
              <w:rPr>
                <w:b w:val="false"/>
                <w:bCs w:val="false"/>
                <w:color w:val="162554"/>
                <w:sz w:val="18"/>
                <w:szCs w:val="18"/>
              </w:rPr>
              <w:t xml:space="preserve">0,0020</w:t>
            </w:r>
          </w:p>
        </w:tc>
        <w:tc>
          <w:tcPr>
            <w:tcW w:type="dxa" w:w="2654"/>
            <w:tcMar>
              <w:top w:type="dxa" w:w="60"/>
              <w:left w:type="dxa" w:w="90"/>
              <w:bottom w:type="dxa" w:w="60"/>
              <w:right w:type="dxa" w:w="90"/>
            </w:tcMar>
          </w:tcPr>
          <w:p>
            <w:pPr>
              <w:keepNext/>
              <w:spacing w:after="0" w:before="0"/>
            </w:pPr>
            <w:r>
              <w:rPr>
                <w:b w:val="false"/>
                <w:bCs w:val="false"/>
                <w:color w:val="162554"/>
                <w:sz w:val="18"/>
                <w:szCs w:val="18"/>
              </w:rPr>
              <w:t xml:space="preserve">0,0039</w:t>
            </w:r>
          </w:p>
        </w:tc>
      </w:tr>
      <w:tr>
        <w:trPr>
          <w:tblHeader w:val="false"/>
        </w:trPr>
        <w:tc>
          <w:tcPr>
            <w:tcW w:type="dxa" w:w="1397"/>
            <w:tcMar>
              <w:top w:type="dxa" w:w="60"/>
              <w:left w:type="dxa" w:w="90"/>
              <w:bottom w:type="dxa" w:w="60"/>
              <w:right w:type="dxa" w:w="90"/>
            </w:tcMar>
          </w:tcPr>
          <w:p>
            <w:pPr>
              <w:keepNext/>
              <w:spacing w:after="0" w:before="0"/>
            </w:pPr>
            <w:r>
              <w:rPr>
                <w:b w:val="false"/>
                <w:bCs w:val="false"/>
                <w:color w:val="162554"/>
                <w:sz w:val="18"/>
                <w:szCs w:val="18"/>
              </w:rPr>
              <w:t xml:space="preserve">Medie (10–50 mil.)</w:t>
            </w:r>
          </w:p>
        </w:tc>
        <w:tc>
          <w:tcPr>
            <w:tcW w:type="dxa" w:w="1886"/>
            <w:tcMar>
              <w:top w:type="dxa" w:w="60"/>
              <w:left w:type="dxa" w:w="90"/>
              <w:bottom w:type="dxa" w:w="60"/>
              <w:right w:type="dxa" w:w="90"/>
            </w:tcMar>
          </w:tcPr>
          <w:p>
            <w:pPr>
              <w:keepNext/>
              <w:spacing w:after="0" w:before="0"/>
            </w:pPr>
            <w:r>
              <w:rPr>
                <w:b w:val="false"/>
                <w:bCs w:val="false"/>
                <w:color w:val="162554"/>
                <w:sz w:val="18"/>
                <w:szCs w:val="18"/>
              </w:rPr>
              <w:t xml:space="preserve">0,0172</w:t>
            </w:r>
            <w:r>
              <w:rPr>
                <w:b w:val="false"/>
                <w:bCs w:val="false"/>
                <w:color w:val="162554"/>
                <w:sz w:val="18"/>
                <w:szCs w:val="18"/>
              </w:rPr>
              <w:t xml:space="preserve"> (neconformitate)</w:t>
            </w:r>
          </w:p>
        </w:tc>
        <w:tc>
          <w:tcPr>
            <w:tcW w:type="dxa" w:w="3423"/>
            <w:tcMar>
              <w:top w:type="dxa" w:w="60"/>
              <w:left w:type="dxa" w:w="90"/>
              <w:bottom w:type="dxa" w:w="60"/>
              <w:right w:type="dxa" w:w="90"/>
            </w:tcMar>
          </w:tcPr>
          <w:p>
            <w:pPr>
              <w:keepNext/>
              <w:spacing w:after="0" w:before="0"/>
            </w:pPr>
            <w:r>
              <w:rPr>
                <w:b w:val="false"/>
                <w:bCs w:val="false"/>
                <w:color w:val="162554"/>
                <w:sz w:val="18"/>
                <w:szCs w:val="18"/>
              </w:rPr>
              <w:t xml:space="preserve">0,0035</w:t>
            </w:r>
          </w:p>
        </w:tc>
        <w:tc>
          <w:tcPr>
            <w:tcW w:type="dxa" w:w="2654"/>
            <w:tcMar>
              <w:top w:type="dxa" w:w="60"/>
              <w:left w:type="dxa" w:w="90"/>
              <w:bottom w:type="dxa" w:w="60"/>
              <w:right w:type="dxa" w:w="90"/>
            </w:tcMar>
          </w:tcPr>
          <w:p>
            <w:pPr>
              <w:keepNext/>
              <w:spacing w:after="0" w:before="0"/>
            </w:pPr>
            <w:r>
              <w:rPr>
                <w:b w:val="false"/>
                <w:bCs w:val="false"/>
                <w:color w:val="162554"/>
                <w:sz w:val="18"/>
                <w:szCs w:val="18"/>
              </w:rPr>
              <w:t xml:space="preserve">0,0039</w:t>
            </w:r>
          </w:p>
        </w:tc>
      </w:tr>
      <w:tr>
        <w:trPr>
          <w:tblHeader w:val="false"/>
        </w:trPr>
        <w:tc>
          <w:tcPr>
            <w:tcW w:type="dxa" w:w="1397"/>
            <w:tcMar>
              <w:top w:type="dxa" w:w="60"/>
              <w:left w:type="dxa" w:w="90"/>
              <w:bottom w:type="dxa" w:w="60"/>
              <w:right w:type="dxa" w:w="90"/>
            </w:tcMar>
          </w:tcPr>
          <w:p>
            <w:pPr>
              <w:keepNext w:val="false"/>
              <w:spacing w:after="0" w:before="0"/>
            </w:pPr>
            <w:r>
              <w:rPr>
                <w:b w:val="false"/>
                <w:bCs w:val="false"/>
                <w:color w:val="162554"/>
                <w:sz w:val="18"/>
                <w:szCs w:val="18"/>
              </w:rPr>
              <w:t xml:space="preserve">Mare (peste 50 mil.)</w:t>
            </w:r>
          </w:p>
        </w:tc>
        <w:tc>
          <w:tcPr>
            <w:tcW w:type="dxa" w:w="1886"/>
            <w:tcMar>
              <w:top w:type="dxa" w:w="60"/>
              <w:left w:type="dxa" w:w="90"/>
              <w:bottom w:type="dxa" w:w="60"/>
              <w:right w:type="dxa" w:w="90"/>
            </w:tcMar>
          </w:tcPr>
          <w:p>
            <w:pPr>
              <w:keepNext w:val="false"/>
              <w:spacing w:after="0" w:before="0"/>
            </w:pPr>
            <w:r>
              <w:rPr>
                <w:b w:val="false"/>
                <w:bCs w:val="false"/>
                <w:color w:val="162554"/>
                <w:sz w:val="18"/>
                <w:szCs w:val="18"/>
              </w:rPr>
              <w:t xml:space="preserve">0,0120 (marginal)</w:t>
            </w:r>
          </w:p>
        </w:tc>
        <w:tc>
          <w:tcPr>
            <w:tcW w:type="dxa" w:w="3423"/>
            <w:tcMar>
              <w:top w:type="dxa" w:w="60"/>
              <w:left w:type="dxa" w:w="90"/>
              <w:bottom w:type="dxa" w:w="60"/>
              <w:right w:type="dxa" w:w="90"/>
            </w:tcMar>
          </w:tcPr>
          <w:p>
            <w:pPr>
              <w:keepNext w:val="false"/>
              <w:spacing w:after="0" w:before="0"/>
            </w:pPr>
            <w:r>
              <w:rPr>
                <w:b w:val="false"/>
                <w:bCs w:val="false"/>
                <w:color w:val="162554"/>
                <w:sz w:val="18"/>
                <w:szCs w:val="18"/>
              </w:rPr>
              <w:t xml:space="preserve">0,0027</w:t>
            </w:r>
          </w:p>
        </w:tc>
        <w:tc>
          <w:tcPr>
            <w:tcW w:type="dxa" w:w="2654"/>
            <w:tcMar>
              <w:top w:type="dxa" w:w="60"/>
              <w:left w:type="dxa" w:w="90"/>
              <w:bottom w:type="dxa" w:w="60"/>
              <w:right w:type="dxa" w:w="90"/>
            </w:tcMar>
          </w:tcPr>
          <w:p>
            <w:pPr>
              <w:keepNext w:val="false"/>
              <w:spacing w:after="0" w:before="0"/>
            </w:pPr>
            <w:r>
              <w:rPr>
                <w:b w:val="false"/>
                <w:bCs w:val="false"/>
                <w:color w:val="162554"/>
                <w:sz w:val="18"/>
                <w:szCs w:val="18"/>
              </w:rPr>
              <w:t xml:space="preserve">0,0039</w:t>
            </w:r>
          </w:p>
        </w:tc>
      </w:tr>
    </w:tbl>
    <w:p>
      <w:pPr>
        <w:spacing w:after="80"/>
      </w:pPr>
    </w:p>
    <w:p>
      <w:pPr>
        <w:spacing w:after="100"/>
        <w:jc w:val="left"/>
      </w:pPr>
      <w:r>
        <w:t xml:space="preserve">Participantul va filtra pe „firme mici”, va vedea MAD 0,0174, adică neconformitate după Nigrini, și va crede că a găsit ceva. Nu a găsit: banda de mărime este </w:t>
      </w:r>
      <w:r>
        <w:rPr>
          <w:i/>
          <w:iCs/>
        </w:rPr>
        <w:t xml:space="preserve">definită</w:t>
      </w:r>
      <w:r>
        <w:t xml:space="preserve"> prin cifra de afaceri, deci filtrarea comprimă intervalul de valori al variabilei pe care apoi o testezi, iar testul Benford presupune valori care se întind pe mai multe ordine de mărime. Dovada e în ultimele două coloane: scoți cele trei câmpuri afectate și deviația dispare; iar eșantioanele aleatoare de aceeași dimensiune dau toate 0,0039, deci nu e efect de volum. Aceasta e lecția de metodă a atelierului: </w:t>
      </w:r>
      <w:r>
        <w:rPr>
          <w:b/>
          <w:bCs/>
        </w:rPr>
        <w:t xml:space="preserve">un instrument care produce un indicator produce și iluzia unei descoperiri</w:t>
      </w:r>
      <w:r>
        <w:t xml:space="preserve">; diferența o face designul testului, nu softul. Este exact eroarea pe care o va face un asistent AI pus să „caute anomalii” într-un set de date.</w:t>
      </w:r>
    </w:p>
    <w:p>
      <w:pPr>
        <w:pStyle w:val="Heading1"/>
        <w:keepNext/>
        <w:spacing w:after="120" w:before="240" w:line="240" w:lineRule="auto"/>
      </w:pPr>
      <w:r>
        <w:t xml:space="preserve">Panoul 4 · Profile atipice în sector</w:t>
      </w:r>
    </w:p>
    <w:p>
      <w:pPr>
        <w:spacing w:after="100"/>
        <w:jc w:val="left"/>
      </w:pPr>
      <w:r>
        <w:t xml:space="preserve">Distanță Mahalanobis robustă pe nouă structuri de bilanț și de rezultat, calculată în interiorul diviziunii CAEN și al benzii de mărime, cu afișarea celor două dimensiuni care produc devierea. Pe comerțul cu amănuntul, firme cu cifră de afaceri peste 10 mil. lei (2.890 de firme), primele profile atipice ies cu marje nete la 45–50 de deviații robuste peste mediana sectorului sau cu raporturi cifră de afaceri/active imposibile pentru un retailer.</w:t>
      </w:r>
    </w:p>
    <w:p>
      <w:pPr>
        <w:pBdr>
          <w:left w:val="single" w:color="D9720F" w:sz="18" w:space="8"/>
        </w:pBdr>
        <w:shd w:fill="FFF4E6" w:color="auto" w:val="clear"/>
        <w:spacing w:after="40" w:before="40"/>
        <w:ind w:left="200"/>
      </w:pPr>
      <w:r>
        <w:rPr>
          <w:b/>
          <w:bCs/>
          <w:color w:val="162554"/>
          <w:sz w:val="20"/>
          <w:szCs w:val="20"/>
        </w:rPr>
        <w:t xml:space="preserve">Decizie de luat, nu tehnică.</w:t>
      </w:r>
      <w:r>
        <w:rPr>
          <w:color w:val="162554"/>
          <w:sz w:val="20"/>
          <w:szCs w:val="20"/>
        </w:rPr>
        <w:t xml:space="preserve"> Toolul va fi public pe GitHub Pages. O listă de firme reale, cu nume, sub un titlu care sugerează raportări suspecte, este un risc reputațional și juridic pentru tine — o distanță statistică nu este o acuzație, dar o captură de ecran circulă ca una. Recomandarea mea: în clasament se afișează </w:t>
      </w:r>
      <w:r>
        <w:rPr>
          <w:b/>
          <w:bCs/>
          <w:color w:val="162554"/>
          <w:sz w:val="20"/>
          <w:szCs w:val="20"/>
        </w:rPr>
        <w:t xml:space="preserve">doar CUI-ul, sectorul și dimensiunile devierii</w:t>
      </w:r>
      <w:r>
        <w:rPr>
          <w:color w:val="162554"/>
          <w:sz w:val="20"/>
          <w:szCs w:val="20"/>
        </w:rPr>
        <w:t xml:space="preserve">, numele apare numai la căutare explicită după CUI, iar panoul se numește „profile atipice”, cu o notă permanentă pe ecran: </w:t>
      </w:r>
      <w:r>
        <w:rPr>
          <w:i/>
          <w:iCs/>
          <w:color w:val="162554"/>
          <w:sz w:val="20"/>
          <w:szCs w:val="20"/>
        </w:rPr>
        <w:t xml:space="preserve">o deviere statistică nu indică nici fraudă, nici eroare; indică o firmă care merită întrebări</w:t>
      </w:r>
      <w:r>
        <w:rPr>
          <w:color w:val="162554"/>
          <w:sz w:val="20"/>
          <w:szCs w:val="20"/>
        </w:rPr>
        <w:t xml:space="preserve">. Dacă preferi, putem elimina complet clasamentul și păstra doar verificarea pe o firmă căutată.</w:t>
      </w:r>
    </w:p>
    <w:p>
      <w:pPr>
        <w:pStyle w:val="Heading1"/>
        <w:keepNext/>
        <w:spacing w:after="120" w:before="240" w:line="240" w:lineRule="auto"/>
      </w:pPr>
      <w:r>
        <w:t xml:space="preserve">Exercițiul 4 · Trei lentile pe compania ta (25 de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30"/>
        <w:gridCol w:w="4230"/>
      </w:tblGrid>
      <w:tr>
        <w:trPr>
          <w:tblHeader/>
        </w:trPr>
        <w:tc>
          <w:tcPr>
            <w:tcW w:type="dxa" w:w="900"/>
            <w:shd w:fill="EDF3FF" w:color="auto" w:val="clear"/>
            <w:tcMar>
              <w:top w:type="dxa" w:w="60"/>
              <w:left w:type="dxa" w:w="90"/>
              <w:bottom w:type="dxa" w:w="60"/>
              <w:right w:type="dxa" w:w="90"/>
            </w:tcMar>
          </w:tcPr>
          <w:p>
            <w:pPr>
              <w:keepNext/>
              <w:spacing w:after="0" w:before="0"/>
            </w:pPr>
            <w:r>
              <w:rPr>
                <w:b/>
                <w:bCs/>
                <w:color w:val="1A35A8"/>
                <w:sz w:val="18"/>
                <w:szCs w:val="18"/>
              </w:rPr>
              <w:t xml:space="preserve">Pas</w:t>
            </w:r>
          </w:p>
        </w:tc>
        <w:tc>
          <w:tcPr>
            <w:tcW w:type="dxa" w:w="4230"/>
            <w:shd w:fill="EDF3FF" w:color="auto" w:val="clear"/>
            <w:tcMar>
              <w:top w:type="dxa" w:w="60"/>
              <w:left w:type="dxa" w:w="90"/>
              <w:bottom w:type="dxa" w:w="60"/>
              <w:right w:type="dxa" w:w="90"/>
            </w:tcMar>
          </w:tcPr>
          <w:p>
            <w:pPr>
              <w:keepNext/>
              <w:spacing w:after="0" w:before="0"/>
            </w:pPr>
            <w:r>
              <w:rPr>
                <w:b/>
                <w:bCs/>
                <w:color w:val="1A35A8"/>
                <w:sz w:val="18"/>
                <w:szCs w:val="18"/>
              </w:rPr>
              <w:t xml:space="preserve">Ce face participantul</w:t>
            </w:r>
          </w:p>
        </w:tc>
        <w:tc>
          <w:tcPr>
            <w:tcW w:type="dxa" w:w="4230"/>
            <w:shd w:fill="EDF3FF" w:color="auto" w:val="clear"/>
            <w:tcMar>
              <w:top w:type="dxa" w:w="60"/>
              <w:left w:type="dxa" w:w="90"/>
              <w:bottom w:type="dxa" w:w="60"/>
              <w:right w:type="dxa" w:w="90"/>
            </w:tcMar>
          </w:tcPr>
          <w:p>
            <w:pPr>
              <w:keepNext/>
              <w:spacing w:after="0" w:before="0"/>
            </w:pPr>
            <w:r>
              <w:rPr>
                <w:b/>
                <w:bCs/>
                <w:color w:val="1A35A8"/>
                <w:sz w:val="18"/>
                <w:szCs w:val="18"/>
              </w:rPr>
              <w:t xml:space="preserve">Ce notează</w:t>
            </w:r>
          </w:p>
        </w:tc>
      </w:tr>
      <w:tr>
        <w:trPr>
          <w:tblHeader w:val="false"/>
        </w:trPr>
        <w:tc>
          <w:tcPr>
            <w:tcW w:type="dxa" w:w="900"/>
            <w:tcMar>
              <w:top w:type="dxa" w:w="60"/>
              <w:left w:type="dxa" w:w="90"/>
              <w:bottom w:type="dxa" w:w="60"/>
              <w:right w:type="dxa" w:w="90"/>
            </w:tcMar>
          </w:tcPr>
          <w:p>
            <w:pPr>
              <w:keepNext/>
              <w:spacing w:after="0" w:before="0"/>
            </w:pPr>
            <w:r>
              <w:rPr>
                <w:b w:val="false"/>
                <w:bCs w:val="false"/>
                <w:color w:val="162554"/>
                <w:sz w:val="18"/>
                <w:szCs w:val="18"/>
              </w:rPr>
              <w:t xml:space="preserve">1</w:t>
            </w:r>
          </w:p>
        </w:tc>
        <w:tc>
          <w:tcPr>
            <w:tcW w:type="dxa" w:w="4230"/>
            <w:tcMar>
              <w:top w:type="dxa" w:w="60"/>
              <w:left w:type="dxa" w:w="90"/>
              <w:bottom w:type="dxa" w:w="60"/>
              <w:right w:type="dxa" w:w="90"/>
            </w:tcMar>
          </w:tcPr>
          <w:p>
            <w:pPr>
              <w:keepNext/>
              <w:spacing w:after="0" w:before="0"/>
            </w:pPr>
            <w:r>
              <w:rPr>
                <w:b w:val="false"/>
                <w:bCs w:val="false"/>
                <w:color w:val="162554"/>
                <w:sz w:val="18"/>
                <w:szCs w:val="18"/>
              </w:rPr>
              <w:t xml:space="preserve">Rulează verificările de plauzibilitate pe compania lui și pe încă două din portofoliul lui real</w:t>
            </w:r>
          </w:p>
        </w:tc>
        <w:tc>
          <w:tcPr>
            <w:tcW w:type="dxa" w:w="4230"/>
            <w:tcMar>
              <w:top w:type="dxa" w:w="60"/>
              <w:left w:type="dxa" w:w="90"/>
              <w:bottom w:type="dxa" w:w="60"/>
              <w:right w:type="dxa" w:w="90"/>
            </w:tcMar>
          </w:tcPr>
          <w:p>
            <w:pPr>
              <w:keepNext/>
              <w:spacing w:after="0" w:before="0"/>
            </w:pPr>
            <w:r>
              <w:rPr>
                <w:b w:val="false"/>
                <w:bCs w:val="false"/>
                <w:color w:val="162554"/>
                <w:sz w:val="18"/>
                <w:szCs w:val="18"/>
              </w:rPr>
              <w:t xml:space="preserve">Ce a ieșit și cât de frecvent e în populație</w:t>
            </w:r>
          </w:p>
        </w:tc>
      </w:tr>
      <w:tr>
        <w:trPr>
          <w:tblHeader w:val="false"/>
        </w:trPr>
        <w:tc>
          <w:tcPr>
            <w:tcW w:type="dxa" w:w="900"/>
            <w:tcMar>
              <w:top w:type="dxa" w:w="60"/>
              <w:left w:type="dxa" w:w="90"/>
              <w:bottom w:type="dxa" w:w="60"/>
              <w:right w:type="dxa" w:w="90"/>
            </w:tcMar>
          </w:tcPr>
          <w:p>
            <w:pPr>
              <w:keepNext/>
              <w:spacing w:after="0" w:before="0"/>
            </w:pPr>
            <w:r>
              <w:rPr>
                <w:b w:val="false"/>
                <w:bCs w:val="false"/>
                <w:color w:val="162554"/>
                <w:sz w:val="18"/>
                <w:szCs w:val="18"/>
              </w:rPr>
              <w:t xml:space="preserve">2</w:t>
            </w:r>
          </w:p>
        </w:tc>
        <w:tc>
          <w:tcPr>
            <w:tcW w:type="dxa" w:w="4230"/>
            <w:tcMar>
              <w:top w:type="dxa" w:w="60"/>
              <w:left w:type="dxa" w:w="90"/>
              <w:bottom w:type="dxa" w:w="60"/>
              <w:right w:type="dxa" w:w="90"/>
            </w:tcMar>
          </w:tcPr>
          <w:p>
            <w:pPr>
              <w:keepNext/>
              <w:spacing w:after="0" w:before="0"/>
            </w:pPr>
            <w:r>
              <w:rPr>
                <w:b w:val="false"/>
                <w:bCs w:val="false"/>
                <w:color w:val="162554"/>
                <w:sz w:val="18"/>
                <w:szCs w:val="18"/>
              </w:rPr>
              <w:t xml:space="preserve">Filtrează histograma de la zero pe sectorul și banda companiei lui</w:t>
            </w:r>
          </w:p>
        </w:tc>
        <w:tc>
          <w:tcPr>
            <w:tcW w:type="dxa" w:w="4230"/>
            <w:tcMar>
              <w:top w:type="dxa" w:w="60"/>
              <w:left w:type="dxa" w:w="90"/>
              <w:bottom w:type="dxa" w:w="60"/>
              <w:right w:type="dxa" w:w="90"/>
            </w:tcMar>
          </w:tcPr>
          <w:p>
            <w:pPr>
              <w:keepNext/>
              <w:spacing w:after="0" w:before="0"/>
            </w:pPr>
            <w:r>
              <w:rPr>
                <w:b w:val="false"/>
                <w:bCs w:val="false"/>
                <w:color w:val="162554"/>
                <w:sz w:val="18"/>
                <w:szCs w:val="18"/>
              </w:rPr>
              <w:t xml:space="preserve">Raportul peste/sub zero din sectorul lui, și unde cade compania față de zero</w:t>
            </w:r>
          </w:p>
        </w:tc>
      </w:tr>
      <w:tr>
        <w:trPr>
          <w:tblHeader w:val="false"/>
        </w:trPr>
        <w:tc>
          <w:tcPr>
            <w:tcW w:type="dxa" w:w="900"/>
            <w:tcMar>
              <w:top w:type="dxa" w:w="60"/>
              <w:left w:type="dxa" w:w="90"/>
              <w:bottom w:type="dxa" w:w="60"/>
              <w:right w:type="dxa" w:w="90"/>
            </w:tcMar>
          </w:tcPr>
          <w:p>
            <w:pPr>
              <w:keepNext/>
              <w:spacing w:after="0" w:before="0"/>
            </w:pPr>
            <w:r>
              <w:rPr>
                <w:b w:val="false"/>
                <w:bCs w:val="false"/>
                <w:color w:val="162554"/>
                <w:sz w:val="18"/>
                <w:szCs w:val="18"/>
              </w:rPr>
              <w:t xml:space="preserve">3</w:t>
            </w:r>
          </w:p>
        </w:tc>
        <w:tc>
          <w:tcPr>
            <w:tcW w:type="dxa" w:w="4230"/>
            <w:tcMar>
              <w:top w:type="dxa" w:w="60"/>
              <w:left w:type="dxa" w:w="90"/>
              <w:bottom w:type="dxa" w:w="60"/>
              <w:right w:type="dxa" w:w="90"/>
            </w:tcMar>
          </w:tcPr>
          <w:p>
            <w:pPr>
              <w:keepNext/>
              <w:spacing w:after="0" w:before="0"/>
            </w:pPr>
            <w:r>
              <w:rPr>
                <w:b w:val="false"/>
                <w:bCs w:val="false"/>
                <w:color w:val="162554"/>
                <w:sz w:val="18"/>
                <w:szCs w:val="18"/>
              </w:rPr>
              <w:t xml:space="preserve">Reproduce capcana Benford: filtrează pe banda de mărime, notează MAD-ul, apoi scoate câmpurile de venituri</w:t>
            </w:r>
          </w:p>
        </w:tc>
        <w:tc>
          <w:tcPr>
            <w:tcW w:type="dxa" w:w="4230"/>
            <w:tcMar>
              <w:top w:type="dxa" w:w="60"/>
              <w:left w:type="dxa" w:w="90"/>
              <w:bottom w:type="dxa" w:w="60"/>
              <w:right w:type="dxa" w:w="90"/>
            </w:tcMar>
          </w:tcPr>
          <w:p>
            <w:pPr>
              <w:keepNext/>
              <w:spacing w:after="0" w:before="0"/>
            </w:pPr>
            <w:r>
              <w:rPr>
                <w:b w:val="false"/>
                <w:bCs w:val="false"/>
                <w:color w:val="162554"/>
                <w:sz w:val="18"/>
                <w:szCs w:val="18"/>
              </w:rPr>
              <w:t xml:space="preserve">Cele două valori și explicația, într-o propoziție</w:t>
            </w:r>
          </w:p>
        </w:tc>
      </w:tr>
      <w:tr>
        <w:trPr>
          <w:tblHeader w:val="false"/>
        </w:trPr>
        <w:tc>
          <w:tcPr>
            <w:tcW w:type="dxa" w:w="900"/>
            <w:tcMar>
              <w:top w:type="dxa" w:w="60"/>
              <w:left w:type="dxa" w:w="90"/>
              <w:bottom w:type="dxa" w:w="60"/>
              <w:right w:type="dxa" w:w="90"/>
            </w:tcMar>
          </w:tcPr>
          <w:p>
            <w:pPr>
              <w:keepNext w:val="false"/>
              <w:spacing w:after="0" w:before="0"/>
            </w:pPr>
            <w:r>
              <w:rPr>
                <w:b w:val="false"/>
                <w:bCs w:val="false"/>
                <w:color w:val="162554"/>
                <w:sz w:val="18"/>
                <w:szCs w:val="18"/>
              </w:rPr>
              <w:t xml:space="preserve">4</w:t>
            </w:r>
          </w:p>
        </w:tc>
        <w:tc>
          <w:tcPr>
            <w:tcW w:type="dxa" w:w="4230"/>
            <w:tcMar>
              <w:top w:type="dxa" w:w="60"/>
              <w:left w:type="dxa" w:w="90"/>
              <w:bottom w:type="dxa" w:w="60"/>
              <w:right w:type="dxa" w:w="90"/>
            </w:tcMar>
          </w:tcPr>
          <w:p>
            <w:pPr>
              <w:keepNext w:val="false"/>
              <w:spacing w:after="0" w:before="0"/>
            </w:pPr>
            <w:r>
              <w:rPr>
                <w:b w:val="false"/>
                <w:bCs w:val="false"/>
                <w:color w:val="162554"/>
                <w:sz w:val="18"/>
                <w:szCs w:val="18"/>
              </w:rPr>
              <w:t xml:space="preserve">Scanează profilele atipice din sectorul lui</w:t>
            </w:r>
          </w:p>
        </w:tc>
        <w:tc>
          <w:tcPr>
            <w:tcW w:type="dxa" w:w="4230"/>
            <w:tcMar>
              <w:top w:type="dxa" w:w="60"/>
              <w:left w:type="dxa" w:w="90"/>
              <w:bottom w:type="dxa" w:w="60"/>
              <w:right w:type="dxa" w:w="90"/>
            </w:tcMar>
          </w:tcPr>
          <w:p>
            <w:pPr>
              <w:keepNext w:val="false"/>
              <w:spacing w:after="0" w:before="0"/>
            </w:pPr>
            <w:r>
              <w:rPr>
                <w:b w:val="false"/>
                <w:bCs w:val="false"/>
                <w:color w:val="162554"/>
                <w:sz w:val="18"/>
                <w:szCs w:val="18"/>
              </w:rPr>
              <w:t xml:space="preserve">O firmă atipică și întrebarea pe care i-ar pune-o</w:t>
            </w:r>
          </w:p>
        </w:tc>
      </w:tr>
    </w:tbl>
    <w:p>
      <w:pPr>
        <w:spacing w:after="80"/>
      </w:pPr>
    </w:p>
    <w:p>
      <w:pPr>
        <w:spacing w:after="100"/>
        <w:jc w:val="left"/>
      </w:pPr>
      <w:r>
        <w:t xml:space="preserve">În chat: raportul peste/sub zero din sectorul lui și o propoziție despre ce înseamnă pentru citirea unui profit mic raportat.</w:t>
      </w:r>
    </w:p>
    <w:p>
      <w:r>
        <w:br w:type="page"/>
      </w:r>
    </w:p>
    <w:p>
      <w:pPr>
        <w:pStyle w:val="Title"/>
        <w:keepNext/>
        <w:spacing w:after="120" w:before="360" w:line="240" w:lineRule="auto"/>
      </w:pPr>
      <w:r>
        <w:t xml:space="preserve">Încadrarea sesiunii de 4 ore</w:t>
      </w:r>
    </w:p>
    <w:p>
      <w:pPr>
        <w:spacing w:after="100"/>
        <w:jc w:val="left"/>
      </w:pPr>
      <w:r>
        <w:t xml:space="preserve">Audiență mixtă, online, patru ore. Două constrângeri pe care le iau în serios: cei care au făcut nivelul începător nu trebuie să stea printr-un rezumat, iar patru ore online cer trei pauze și blocuri de expunere de maximum 20 de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2"/>
        <w:gridCol w:w="5059"/>
        <w:gridCol w:w="1434"/>
        <w:gridCol w:w="1855"/>
      </w:tblGrid>
      <w:tr>
        <w:trPr>
          <w:tblHeader/>
        </w:trPr>
        <w:tc>
          <w:tcPr>
            <w:tcW w:type="dxa" w:w="1012"/>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Timp</w:t>
            </w:r>
          </w:p>
        </w:tc>
        <w:tc>
          <w:tcPr>
            <w:tcW w:type="dxa" w:w="5059"/>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Bloc</w:t>
            </w:r>
          </w:p>
        </w:tc>
        <w:tc>
          <w:tcPr>
            <w:tcW w:type="dxa" w:w="1434"/>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Format</w:t>
            </w:r>
          </w:p>
        </w:tc>
        <w:tc>
          <w:tcPr>
            <w:tcW w:type="dxa" w:w="1855"/>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Instrument</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0–15</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Deschidere. Recapitularea se face ca </w:t>
            </w:r>
            <w:r>
              <w:rPr>
                <w:b w:val="false"/>
                <w:bCs w:val="false"/>
                <w:color w:val="162554"/>
                <w:sz w:val="18"/>
                <w:szCs w:val="18"/>
              </w:rPr>
              <w:t xml:space="preserve">provocare</w:t>
            </w:r>
            <w:r>
              <w:rPr>
                <w:b w:val="false"/>
                <w:bCs w:val="false"/>
                <w:color w:val="162554"/>
                <w:sz w:val="18"/>
                <w:szCs w:val="18"/>
              </w:rPr>
              <w:t xml:space="preserve">, nu ca rezumat: scorecardul de la nivelul începător pe ecran, cu întrebarea „ce lipsește din el?”. Cei noi primesc contextul din răspunsurile colegilor</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plenar</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tool 2 nivel începător</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15–30</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De la praguri la populație: ce se schimbă când ai 1,12 milioane de bilanțuri în loc de unul. Cele trei tooluri, anunțate ca trei întrebări</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expunere</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30–50</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Percentile pe sector: mecanica și demonstrația pe Auchan și Altex</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expunere + demo</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tool percentile</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50–70</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Exercițiul 3</w:t>
            </w:r>
            <w:r>
              <w:rPr>
                <w:b w:val="false"/>
                <w:bCs w:val="false"/>
                <w:color w:val="162554"/>
                <w:sz w:val="18"/>
                <w:szCs w:val="18"/>
              </w:rPr>
              <w:t xml:space="preserve"> · pragul tău măsurat pe populație</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individual + chat</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tool percentile</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70–80</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Debrief: pragul măsoară sectorul sau firma?</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plenar</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80–90</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Pauză</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90–110</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De la scorecard la model: eveniment, variabile, antrenare, AUC, calibrare</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expunere + demo</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tool model</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110–125</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Exercițiul 1</w:t>
            </w:r>
            <w:r>
              <w:rPr>
                <w:b w:val="false"/>
                <w:bCs w:val="false"/>
                <w:color w:val="162554"/>
                <w:sz w:val="18"/>
                <w:szCs w:val="18"/>
              </w:rPr>
              <w:t xml:space="preserve"> · eticheta decide modelul</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individual + chat</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tool model</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125–140</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Debrief: capcana etichetei C și scurgerea de informație</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plenar</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140–155</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Exercițiul 2</w:t>
            </w:r>
            <w:r>
              <w:rPr>
                <w:b w:val="false"/>
                <w:bCs w:val="false"/>
                <w:color w:val="162554"/>
                <w:sz w:val="18"/>
                <w:szCs w:val="18"/>
              </w:rPr>
              <w:t xml:space="preserve"> · semnele coeficienților și calibrarea</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individual + chat</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tool model</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155–170</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Debrief: PD-urile celor nouă retaileri, modelul liniar vs neliniar vs scorecardul vostru manual</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plenar</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170–180</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Pauză</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180–200</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Anomalii: cele patru lentile, cu demonstrația discontinuității la zero</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expunere + demo</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tool anomalii</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200–225</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Exercițiul 4</w:t>
            </w:r>
            <w:r>
              <w:rPr>
                <w:b w:val="false"/>
                <w:bCs w:val="false"/>
                <w:color w:val="162554"/>
                <w:sz w:val="18"/>
                <w:szCs w:val="18"/>
              </w:rPr>
              <w:t xml:space="preserve"> · trei lentile pe compania ta</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individual + chat</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tool anomalii</w:t>
            </w:r>
          </w:p>
        </w:tc>
      </w:tr>
      <w:tr>
        <w:trPr>
          <w:tblHeader w:val="false"/>
        </w:trPr>
        <w:tc>
          <w:tcPr>
            <w:tcW w:type="dxa" w:w="1012"/>
            <w:tcMar>
              <w:top w:type="dxa" w:w="60"/>
              <w:left w:type="dxa" w:w="90"/>
              <w:bottom w:type="dxa" w:w="60"/>
              <w:right w:type="dxa" w:w="90"/>
            </w:tcMar>
          </w:tcPr>
          <w:p>
            <w:pPr>
              <w:keepNext w:val="false"/>
              <w:spacing w:after="0" w:before="0"/>
            </w:pPr>
            <w:r>
              <w:rPr>
                <w:b w:val="false"/>
                <w:bCs w:val="false"/>
                <w:color w:val="162554"/>
                <w:sz w:val="18"/>
                <w:szCs w:val="18"/>
              </w:rPr>
              <w:t xml:space="preserve">225–240</w:t>
            </w:r>
          </w:p>
        </w:tc>
        <w:tc>
          <w:tcPr>
            <w:tcW w:type="dxa" w:w="5059"/>
            <w:tcMar>
              <w:top w:type="dxa" w:w="60"/>
              <w:left w:type="dxa" w:w="90"/>
              <w:bottom w:type="dxa" w:w="60"/>
              <w:right w:type="dxa" w:w="90"/>
            </w:tcMar>
          </w:tcPr>
          <w:p>
            <w:pPr>
              <w:keepNext w:val="false"/>
              <w:spacing w:after="0" w:before="0"/>
            </w:pPr>
            <w:r>
              <w:rPr>
                <w:b w:val="false"/>
                <w:bCs w:val="false"/>
                <w:color w:val="162554"/>
                <w:sz w:val="18"/>
                <w:szCs w:val="18"/>
              </w:rPr>
              <w:t xml:space="preserve">Închidere: cele trei întrebări pentru orice model care ți se pune pe masă — pe ce eveniment e antrenat, cu ce populație de referință, și ce ar trebui să fie fals ca să greșească</w:t>
            </w:r>
          </w:p>
        </w:tc>
        <w:tc>
          <w:tcPr>
            <w:tcW w:type="dxa" w:w="1434"/>
            <w:tcMar>
              <w:top w:type="dxa" w:w="60"/>
              <w:left w:type="dxa" w:w="90"/>
              <w:bottom w:type="dxa" w:w="60"/>
              <w:right w:type="dxa" w:w="90"/>
            </w:tcMar>
          </w:tcPr>
          <w:p>
            <w:pPr>
              <w:keepNext w:val="false"/>
              <w:spacing w:after="0" w:before="0"/>
            </w:pPr>
            <w:r>
              <w:rPr>
                <w:b w:val="false"/>
                <w:bCs w:val="false"/>
                <w:color w:val="162554"/>
                <w:sz w:val="18"/>
                <w:szCs w:val="18"/>
              </w:rPr>
              <w:t xml:space="preserve">plenar</w:t>
            </w:r>
          </w:p>
        </w:tc>
        <w:tc>
          <w:tcPr>
            <w:tcW w:type="dxa" w:w="1855"/>
            <w:tcMar>
              <w:top w:type="dxa" w:w="60"/>
              <w:left w:type="dxa" w:w="90"/>
              <w:bottom w:type="dxa" w:w="60"/>
              <w:right w:type="dxa" w:w="90"/>
            </w:tcMar>
          </w:tcPr>
          <w:p>
            <w:pPr>
              <w:keepNext w:val="false"/>
              <w:spacing w:after="0" w:before="0"/>
            </w:pPr>
            <w:r>
              <w:rPr>
                <w:b w:val="false"/>
                <w:bCs w:val="false"/>
                <w:color w:val="162554"/>
                <w:sz w:val="18"/>
                <w:szCs w:val="18"/>
              </w:rPr>
              <w:t xml:space="preserve">—</w:t>
            </w:r>
          </w:p>
        </w:tc>
      </w:tr>
    </w:tbl>
    <w:p>
      <w:pPr>
        <w:spacing w:after="80"/>
      </w:pPr>
    </w:p>
    <w:p>
      <w:pPr>
        <w:spacing w:after="100"/>
        <w:jc w:val="left"/>
      </w:pPr>
      <w:r>
        <w:t xml:space="preserve">Dacă grupul rămâne în urmă, blocul care se taie primul este exercițiul 2 (semne și calibrare), care se poate face ca demonstrație de cinci minute pe ecranul tău. Blocul care nu se taie este debriefingul de la 125–140: capcana etichetei este singurul moment din sesiune care nu poate fi recuperat din fișă.</w:t>
      </w:r>
    </w:p>
    <w:p>
      <w:pPr>
        <w:pStyle w:val="Title"/>
        <w:keepNext/>
        <w:spacing w:after="120" w:before="360" w:line="240" w:lineRule="auto"/>
      </w:pPr>
      <w:r>
        <w:t xml:space="preserve">Plan tehnic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Element</w:t>
            </w:r>
          </w:p>
        </w:tc>
        <w:tc>
          <w:tcPr>
            <w:tcW w:type="dxa" w:w="6240"/>
            <w:shd w:fill="EDF3FF" w:color="auto" w:val="clear"/>
            <w:tcMar>
              <w:top w:type="dxa" w:w="60"/>
              <w:left w:type="dxa" w:w="90"/>
              <w:bottom w:type="dxa" w:w="60"/>
              <w:right w:type="dxa" w:w="90"/>
            </w:tcMar>
          </w:tcPr>
          <w:p>
            <w:pPr>
              <w:keepNext w:val="false"/>
              <w:spacing w:after="0" w:before="0"/>
            </w:pPr>
            <w:r>
              <w:rPr>
                <w:b/>
                <w:bCs/>
                <w:color w:val="1A35A8"/>
                <w:sz w:val="18"/>
                <w:szCs w:val="18"/>
              </w:rPr>
              <w:t xml:space="preserve">Decizie</w:t>
            </w:r>
          </w:p>
        </w:tc>
      </w:tr>
      <w:tr>
        <w:trPr>
          <w:tblHeader w:val="false"/>
        </w:trPr>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Repo</w:t>
            </w:r>
          </w:p>
        </w:tc>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Nou: </w:t>
            </w:r>
            <w:r>
              <w:rPr>
                <w:rFonts w:ascii="Consolas" w:cs="Consolas" w:eastAsia="Consolas" w:hAnsi="Consolas"/>
                <w:b w:val="false"/>
                <w:bCs w:val="false"/>
                <w:color w:val="162554"/>
                <w:sz w:val="18"/>
                <w:szCs w:val="18"/>
              </w:rPr>
              <w:t xml:space="preserve">analiza_financiara_avansat</w:t>
            </w:r>
            <w:r>
              <w:rPr>
                <w:b w:val="false"/>
                <w:bCs w:val="false"/>
                <w:color w:val="162554"/>
                <w:sz w:val="18"/>
                <w:szCs w:val="18"/>
              </w:rPr>
              <w:t xml:space="preserve">, GitHub Pages, aceeași identitate vizuală și același comutator RO/EN</w:t>
            </w:r>
          </w:p>
        </w:tc>
      </w:tr>
      <w:tr>
        <w:trPr>
          <w:tblHeader w:val="false"/>
        </w:trPr>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Refolosit din repo-ul existent</w:t>
            </w:r>
          </w:p>
        </w:tc>
        <w:tc>
          <w:tcPr>
            <w:tcW w:type="dxa" w:w="6240"/>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styles.css</w:t>
            </w:r>
            <w:r>
              <w:rPr>
                <w:b w:val="false"/>
                <w:bCs w:val="false"/>
                <w:color w:val="162554"/>
                <w:sz w:val="18"/>
                <w:szCs w:val="18"/>
              </w:rPr>
              <w:t xml:space="preserve">, motorul de i18n și de formatare din </w:t>
            </w:r>
            <w:r>
              <w:rPr>
                <w:rFonts w:ascii="Consolas" w:cs="Consolas" w:eastAsia="Consolas" w:hAnsi="Consolas"/>
                <w:b w:val="false"/>
                <w:bCs w:val="false"/>
                <w:color w:val="162554"/>
                <w:sz w:val="18"/>
                <w:szCs w:val="18"/>
              </w:rPr>
              <w:t xml:space="preserve">common.js</w:t>
            </w:r>
            <w:r>
              <w:rPr>
                <w:b w:val="false"/>
                <w:bCs w:val="false"/>
                <w:color w:val="162554"/>
                <w:sz w:val="18"/>
                <w:szCs w:val="18"/>
              </w:rPr>
              <w:t xml:space="preserve">, ecranul de căutare după CUI din </w:t>
            </w:r>
            <w:r>
              <w:rPr>
                <w:rFonts w:ascii="Consolas" w:cs="Consolas" w:eastAsia="Consolas" w:hAnsi="Consolas"/>
                <w:b w:val="false"/>
                <w:bCs w:val="false"/>
                <w:color w:val="162554"/>
                <w:sz w:val="18"/>
                <w:szCs w:val="18"/>
              </w:rPr>
              <w:t xml:space="preserve">entry.js</w:t>
            </w:r>
            <w:r>
              <w:rPr>
                <w:b w:val="false"/>
                <w:bCs w:val="false"/>
                <w:color w:val="162554"/>
                <w:sz w:val="18"/>
                <w:szCs w:val="18"/>
              </w:rPr>
              <w:t xml:space="preserve">, indexul de 1.000 de shard-uri (124 MB) copiat ca atare</w:t>
            </w:r>
          </w:p>
        </w:tc>
      </w:tr>
      <w:tr>
        <w:trPr>
          <w:tblHeader w:val="false"/>
        </w:trPr>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Construit nou</w:t>
            </w:r>
          </w:p>
        </w:tc>
        <w:tc>
          <w:tcPr>
            <w:tcW w:type="dxa" w:w="6240"/>
            <w:tcMar>
              <w:top w:type="dxa" w:w="60"/>
              <w:left w:type="dxa" w:w="90"/>
              <w:bottom w:type="dxa" w:w="60"/>
              <w:right w:type="dxa" w:w="90"/>
            </w:tcMar>
          </w:tcPr>
          <w:p>
            <w:pPr>
              <w:keepNext w:val="false"/>
              <w:spacing w:after="0" w:before="0"/>
            </w:pPr>
            <w:r>
              <w:rPr>
                <w:rFonts w:ascii="Consolas" w:cs="Consolas" w:eastAsia="Consolas" w:hAnsi="Consolas"/>
                <w:b w:val="false"/>
                <w:bCs w:val="false"/>
                <w:color w:val="162554"/>
                <w:sz w:val="18"/>
                <w:szCs w:val="18"/>
              </w:rPr>
              <w:t xml:space="preserve">model.js</w:t>
            </w:r>
            <w:r>
              <w:rPr>
                <w:b w:val="false"/>
                <w:bCs w:val="false"/>
                <w:color w:val="162554"/>
                <w:sz w:val="18"/>
                <w:szCs w:val="18"/>
              </w:rPr>
              <w:t xml:space="preserve"> (regresie logistică în browser, ROC, calibrare), </w:t>
            </w:r>
            <w:r>
              <w:rPr>
                <w:rFonts w:ascii="Consolas" w:cs="Consolas" w:eastAsia="Consolas" w:hAnsi="Consolas"/>
                <w:b w:val="false"/>
                <w:bCs w:val="false"/>
                <w:color w:val="162554"/>
                <w:sz w:val="18"/>
                <w:szCs w:val="18"/>
              </w:rPr>
              <w:t xml:space="preserve">peers.js</w:t>
            </w:r>
            <w:r>
              <w:rPr>
                <w:b w:val="false"/>
                <w:bCs w:val="false"/>
                <w:color w:val="162554"/>
                <w:sz w:val="18"/>
                <w:szCs w:val="18"/>
              </w:rPr>
              <w:t xml:space="preserve">, </w:t>
            </w:r>
            <w:r>
              <w:rPr>
                <w:rFonts w:ascii="Consolas" w:cs="Consolas" w:eastAsia="Consolas" w:hAnsi="Consolas"/>
                <w:b w:val="false"/>
                <w:bCs w:val="false"/>
                <w:color w:val="162554"/>
                <w:sz w:val="18"/>
                <w:szCs w:val="18"/>
              </w:rPr>
              <w:t xml:space="preserve">forensics.js</w:t>
            </w:r>
            <w:r>
              <w:rPr>
                <w:b w:val="false"/>
                <w:bCs w:val="false"/>
                <w:color w:val="162554"/>
                <w:sz w:val="18"/>
                <w:szCs w:val="18"/>
              </w:rPr>
              <w:t xml:space="preserve">, plus un script Python care produce seturile derivate</w:t>
            </w:r>
          </w:p>
        </w:tc>
      </w:tr>
      <w:tr>
        <w:trPr>
          <w:tblHeader w:val="false"/>
        </w:trPr>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Seturi derivate livrate</w:t>
            </w:r>
          </w:p>
        </w:tc>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eșantion de antrenare (120.000 firme × 12 variabile + 5 etichete + scorurile de referință, 4,3 MB); tabel de PD de referință pentru 147.699 de firme cu cifră de afaceri peste 1 mil. lei (1,6 MB); tabele de percentile (0,6 MB); agregate de anomalii (24 KB); profile atipice pe 34 de diviziuni (14 KB). </w:t>
            </w:r>
            <w:r>
              <w:rPr>
                <w:b w:val="false"/>
                <w:bCs w:val="false"/>
                <w:color w:val="162554"/>
                <w:sz w:val="18"/>
                <w:szCs w:val="18"/>
              </w:rPr>
              <w:t xml:space="preserve">Total 6,6 MB.</w:t>
            </w:r>
          </w:p>
        </w:tc>
      </w:tr>
      <w:tr>
        <w:trPr>
          <w:tblHeader w:val="false"/>
        </w:trPr>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Indexul de CUI</w:t>
            </w:r>
          </w:p>
        </w:tc>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Nu se duplică.</w:t>
            </w:r>
            <w:r>
              <w:rPr>
                <w:b w:val="false"/>
                <w:bCs w:val="false"/>
                <w:color w:val="162554"/>
                <w:sz w:val="18"/>
                <w:szCs w:val="18"/>
              </w:rPr>
              <w:t xml:space="preserve"> Aplicația citește indexul de 124 MB direct din repo-ul nivelului începător (raw.githubusercontent.com, care trimite antetul CORS necesar, cu jsDelivr ca rezervă). Repo-ul nou rămâne la ~7 MB, iar datele au un singur loc de actualizare</w:t>
            </w:r>
          </w:p>
        </w:tc>
      </w:tr>
      <w:tr>
        <w:trPr>
          <w:tblHeader w:val="false"/>
        </w:trPr>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Atenție la push</w:t>
            </w:r>
          </w:p>
        </w:tc>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Nu mai există riscul de data trecută: fără shard-uri, tot repo-ul intră într-un singur push de câțiva MB</w:t>
            </w:r>
          </w:p>
        </w:tc>
      </w:tr>
      <w:tr>
        <w:trPr>
          <w:tblHeader w:val="false"/>
        </w:trPr>
        <w:tc>
          <w:tcPr>
            <w:tcW w:type="dxa" w:w="3120"/>
            <w:tcMar>
              <w:top w:type="dxa" w:w="60"/>
              <w:left w:type="dxa" w:w="90"/>
              <w:bottom w:type="dxa" w:w="60"/>
              <w:right w:type="dxa" w:w="90"/>
            </w:tcMar>
          </w:tcPr>
          <w:p>
            <w:pPr>
              <w:keepNext w:val="false"/>
              <w:spacing w:after="0" w:before="0"/>
            </w:pPr>
            <w:r>
              <w:rPr>
                <w:b w:val="false"/>
                <w:bCs w:val="false"/>
                <w:color w:val="162554"/>
                <w:sz w:val="18"/>
                <w:szCs w:val="18"/>
              </w:rPr>
              <w:t xml:space="preserve">Stare</w:t>
            </w:r>
          </w:p>
        </w:tc>
        <w:tc>
          <w:tcPr>
            <w:tcW w:type="dxa" w:w="6240"/>
            <w:tcMar>
              <w:top w:type="dxa" w:w="60"/>
              <w:left w:type="dxa" w:w="90"/>
              <w:bottom w:type="dxa" w:w="60"/>
              <w:right w:type="dxa" w:w="90"/>
            </w:tcMar>
          </w:tcPr>
          <w:p>
            <w:pPr>
              <w:keepNext w:val="false"/>
              <w:spacing w:after="0" w:before="0"/>
            </w:pPr>
            <w:r>
              <w:rPr>
                <w:b w:val="false"/>
                <w:bCs w:val="false"/>
                <w:color w:val="162554"/>
                <w:sz w:val="18"/>
                <w:szCs w:val="18"/>
              </w:rPr>
              <w:t xml:space="preserve">Cele trei instrumente sunt </w:t>
            </w:r>
            <w:r>
              <w:rPr>
                <w:b w:val="false"/>
                <w:bCs w:val="false"/>
                <w:color w:val="162554"/>
                <w:sz w:val="18"/>
                <w:szCs w:val="18"/>
              </w:rPr>
              <w:t xml:space="preserve">construite și testate</w:t>
            </w:r>
            <w:r>
              <w:rPr>
                <w:b w:val="false"/>
                <w:bCs w:val="false"/>
                <w:color w:val="162554"/>
                <w:sz w:val="18"/>
                <w:szCs w:val="18"/>
              </w:rPr>
              <w:t xml:space="preserve">, cu cifrele verificate față de calculele independente din Python. Rămân de scris fișele de participant și speaking notes (circa 1 zi)</w:t>
            </w:r>
          </w:p>
        </w:tc>
      </w:tr>
    </w:tbl>
    <w:p>
      <w:pPr>
        <w:spacing w:after="80"/>
      </w:pPr>
    </w:p>
    <w:p>
      <w:pPr>
        <w:pStyle w:val="Title"/>
        <w:keepNext/>
        <w:spacing w:after="120" w:before="360" w:line="240" w:lineRule="auto"/>
      </w:pPr>
      <w:r>
        <w:t xml:space="preserve">Riscuri și ce nu poate face materialul</w:t>
      </w:r>
    </w:p>
    <w:p>
      <w:pPr>
        <w:spacing w:after="100"/>
        <w:jc w:val="left"/>
      </w:pPr>
      <w:r>
        <w:t xml:space="preserve">Modelul PD nu are etichetă de default real, deci nu produce PD-uri comparabile cu un model intern de bancă — este un laborator de metodă, iar fiecare ecran trebuie să spună asta. Lipsa scadenței datoriilor, a dobânzilor și a EBITDA-ului din datele publice înseamnă că variabila cea mai predictivă într-o bancă, acoperirea serviciului datoriei, rămâne în afara tuturor celor trei tooluri; la nivel avansat asta cere un mod de introducere manuală detaliată, care merită construit dacă apare o a doua sesiune. Clasamentul de profile atipice are riscul discutat mai sus și cere o decizie de la tine înainte de implementare. În sfârșit, discontinuitatea la zero este o constatare statistică solidă pe populație, dar nu spune nimic despre o firmă anume: un profit de 0,4 % din active poate fi perfect real, iar toolul trebuie să reziste tentației de a-l marca drept suspect.</w:t>
      </w:r>
    </w:p>
    <w:p>
      <w:pPr>
        <w:spacing w:after="100"/>
        <w:jc w:val="left"/>
      </w:pPr>
      <w:r>
        <w:rPr>
          <w:i/>
          <w:iCs/>
        </w:rPr>
        <w:t xml:space="preserve">Toate cifrele din acest document sunt calculate pe indexul complet de 1.122.150 de firme (Ministerul Finanțelor, data.gov.ro, exerciții 2023–2025) la 17 septembrie 2026. Scripturile de verificare sunt păstrate și pot fi rulate din nou.</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86"/>
        <w:sz w:val="16"/>
        <w:szCs w:val="16"/>
      </w:rPr>
      <w:t xml:space="preserve">Specificație · Nivel avansat · Analiză financiară și instrumente AI · pagina </w:t>
    </w:r>
    <w:r>
      <w:rPr>
        <w:color w:val="5B67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554"/>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line="240" w:lineRule="auto"/>
    </w:pPr>
    <w:rPr>
      <w:rFonts w:ascii="Georgia" w:cs="Georgia" w:eastAsia="Georgia" w:hAnsi="Georgia"/>
      <w:b/>
      <w:bCs/>
      <w:color w:val="1A35A8"/>
      <w:sz w:val="44"/>
      <w:szCs w:val="44"/>
    </w:rPr>
  </w:style>
  <w:style w:type="paragraph" w:styleId="Heading1">
    <w:name w:val="Heading 1"/>
    <w:basedOn w:val="Normal"/>
    <w:next w:val="Normal"/>
    <w:qFormat/>
    <w:pPr>
      <w:spacing w:after="120" w:before="360" w:line="240" w:lineRule="auto"/>
      <w:outlineLvl w:val="0"/>
    </w:pPr>
    <w:rPr>
      <w:rFonts w:ascii="Georgia" w:cs="Georgia" w:eastAsia="Georgia" w:hAnsi="Georgia"/>
      <w:b/>
      <w:bCs/>
      <w:color w:val="1A35A8"/>
      <w:sz w:val="32"/>
      <w:szCs w:val="32"/>
    </w:rPr>
  </w:style>
  <w:style w:type="paragraph" w:styleId="Heading2">
    <w:name w:val="Heading 2"/>
    <w:basedOn w:val="Normal"/>
    <w:next w:val="Normal"/>
    <w:qFormat/>
    <w:pPr>
      <w:spacing w:after="100" w:before="280" w:line="240" w:lineRule="auto"/>
      <w:outlineLvl w:val="1"/>
    </w:pPr>
    <w:rPr>
      <w:rFonts w:ascii="Georgia" w:cs="Georgia" w:eastAsia="Georgia" w:hAnsi="Georgia"/>
      <w:b/>
      <w:bCs/>
      <w:color w:val="162554"/>
      <w:sz w:val="26"/>
      <w:szCs w:val="26"/>
    </w:rPr>
  </w:style>
  <w:style w:type="paragraph" w:styleId="Heading3">
    <w:name w:val="Heading 3"/>
    <w:basedOn w:val="Normal"/>
    <w:next w:val="Normal"/>
    <w:qFormat/>
    <w:pPr>
      <w:spacing w:after="80" w:before="220"/>
      <w:outlineLvl w:val="2"/>
    </w:pPr>
    <w:rPr>
      <w:b/>
      <w:bCs/>
      <w:caps/>
      <w:color w:val="6F9A12"/>
      <w:spacing w:val="1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Speaking notes – Ateliere AI, Analiză financiară</dc:title>
  <dc:creator>Cezar Chirila</dc:creator>
  <cp:lastModifiedBy>Un-named</cp:lastModifiedBy>
  <cp:revision>1</cp:revision>
  <dcterms:created xsi:type="dcterms:W3CDTF">2026-09-17T20:20:03.631Z</dcterms:created>
  <dcterms:modified xsi:type="dcterms:W3CDTF">2026-09-17T20:20:03.640Z</dcterms:modified>
</cp:coreProperties>
</file>

<file path=docProps/custom.xml><?xml version="1.0" encoding="utf-8"?>
<Properties xmlns="http://schemas.openxmlformats.org/officeDocument/2006/custom-properties" xmlns:vt="http://schemas.openxmlformats.org/officeDocument/2006/docPropsVTypes"/>
</file>