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360" w:line="240" w:lineRule="auto"/>
      </w:pPr>
      <w:r>
        <w:t xml:space="preserve">Speaking notes · Laboratorul de model</w:t>
      </w:r>
    </w:p>
    <w:p>
      <w:pPr>
        <w:spacing w:after="100"/>
        <w:jc w:val="left"/>
      </w:pPr>
      <w:r>
        <w:t xml:space="preserve">Nivel avansat · blocul „De la scorecard la probabilitate de default” · 80 de minute din sesiunea de 4 ore · instrument: https://cezar-constantin.github.io/analiza_financiara_cu_ai_avansat/model.html</w:t>
      </w:r>
    </w:p>
    <w:p>
      <w:pPr>
        <w:pBdr>
          <w:left w:val="single" w:color="D9720F" w:sz="18" w:space="8"/>
        </w:pBdr>
        <w:shd w:fill="FFF4E6" w:color="auto" w:val="clear"/>
        <w:spacing w:after="40" w:before="40"/>
        <w:ind w:left="200"/>
      </w:pPr>
      <w:r>
        <w:rPr>
          <w:b/>
          <w:bCs/>
          <w:color w:val="162554"/>
          <w:sz w:val="20"/>
          <w:szCs w:val="20"/>
        </w:rPr>
        <w:t xml:space="preserve">Mesajul blocului, într-o propoziție.</w:t>
      </w:r>
      <w:r>
        <w:rPr>
          <w:color w:val="162554"/>
          <w:sz w:val="20"/>
          <w:szCs w:val="20"/>
        </w:rPr>
        <w:t xml:space="preserve"> Definiția evenimentului pe care îl prezici contează mai mult decât algoritmul cu care îl prezici — și un model cu AUC bun poate avea coeficienți economic absurzi, pe care doar un om îi observă.</w:t>
      </w:r>
    </w:p>
    <w:p>
      <w:pPr>
        <w:pStyle w:val="Heading1"/>
        <w:keepNext/>
        <w:spacing w:after="120" w:before="240" w:line="240" w:lineRule="auto"/>
      </w:pPr>
      <w:r>
        <w:t xml:space="preserve">Ce trebuie pregătit înainte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DF3FF" w:color="auto" w:val="clear"/>
            <w:tcMar>
              <w:top w:type="dxa" w:w="60"/>
              <w:left w:type="dxa" w:w="90"/>
              <w:bottom w:type="dxa" w:w="60"/>
              <w:right w:type="dxa" w:w="90"/>
            </w:tcMar>
          </w:tcPr>
          <w:p>
            <w:pPr>
              <w:keepNext/>
              <w:spacing w:after="0" w:before="0"/>
            </w:pPr>
            <w:r>
              <w:rPr>
                <w:b/>
                <w:bCs/>
                <w:color w:val="1A35A8"/>
                <w:sz w:val="18"/>
                <w:szCs w:val="18"/>
              </w:rPr>
              <w:t xml:space="preserve">Element</w:t>
            </w:r>
          </w:p>
        </w:tc>
        <w:tc>
          <w:tcPr>
            <w:tcW w:type="dxa" w:w="6240"/>
            <w:shd w:fill="EDF3FF" w:color="auto" w:val="clear"/>
            <w:tcMar>
              <w:top w:type="dxa" w:w="60"/>
              <w:left w:type="dxa" w:w="90"/>
              <w:bottom w:type="dxa" w:w="60"/>
              <w:right w:type="dxa" w:w="90"/>
            </w:tcMar>
          </w:tcPr>
          <w:p>
            <w:pPr>
              <w:keepNext/>
              <w:spacing w:after="0" w:before="0"/>
            </w:pPr>
            <w:r>
              <w:rPr>
                <w:b/>
                <w:bCs/>
                <w:color w:val="1A35A8"/>
                <w:sz w:val="18"/>
                <w:szCs w:val="18"/>
              </w:rPr>
              <w:t xml:space="preserve">Detaliu</w:t>
            </w:r>
          </w:p>
        </w:tc>
      </w:tr>
      <w:tr>
        <w:trPr>
          <w:tblHeader w:val="false"/>
        </w:trPr>
        <w:tc>
          <w:tcPr>
            <w:tcW w:type="dxa" w:w="3120"/>
            <w:tcMar>
              <w:top w:type="dxa" w:w="60"/>
              <w:left w:type="dxa" w:w="90"/>
              <w:bottom w:type="dxa" w:w="60"/>
              <w:right w:type="dxa" w:w="90"/>
            </w:tcMar>
          </w:tcPr>
          <w:p>
            <w:pPr>
              <w:keepNext/>
              <w:spacing w:after="0" w:before="0"/>
            </w:pPr>
            <w:r>
              <w:rPr>
                <w:b w:val="false"/>
                <w:bCs w:val="false"/>
                <w:color w:val="162554"/>
                <w:sz w:val="18"/>
                <w:szCs w:val="18"/>
              </w:rPr>
              <w:t xml:space="preserve">Ecranul tău</w:t>
            </w:r>
          </w:p>
        </w:tc>
        <w:tc>
          <w:tcPr>
            <w:tcW w:type="dxa" w:w="6240"/>
            <w:tcMar>
              <w:top w:type="dxa" w:w="60"/>
              <w:left w:type="dxa" w:w="90"/>
              <w:bottom w:type="dxa" w:w="60"/>
              <w:right w:type="dxa" w:w="90"/>
            </w:tcMar>
          </w:tcPr>
          <w:p>
            <w:pPr>
              <w:keepNext/>
              <w:spacing w:after="0" w:before="0"/>
            </w:pPr>
            <w:r>
              <w:rPr>
                <w:b w:val="false"/>
                <w:bCs w:val="false"/>
                <w:color w:val="162554"/>
                <w:sz w:val="18"/>
                <w:szCs w:val="18"/>
              </w:rPr>
              <w:t xml:space="preserve">Instrumentul deschis pe </w:t>
            </w:r>
            <w:r>
              <w:rPr>
                <w:rFonts w:ascii="Consolas" w:cs="Consolas" w:eastAsia="Consolas" w:hAnsi="Consolas"/>
                <w:b w:val="false"/>
                <w:bCs w:val="false"/>
                <w:color w:val="162554"/>
                <w:sz w:val="18"/>
                <w:szCs w:val="18"/>
              </w:rPr>
              <w:t xml:space="preserve">model.html</w:t>
            </w:r>
            <w:r>
              <w:rPr>
                <w:b w:val="false"/>
                <w:bCs w:val="false"/>
                <w:color w:val="162554"/>
                <w:sz w:val="18"/>
                <w:szCs w:val="18"/>
              </w:rPr>
              <w:t xml:space="preserve">, cu eticheta compusă selectată și modelul </w:t>
            </w:r>
            <w:r>
              <w:rPr>
                <w:b w:val="false"/>
                <w:bCs w:val="false"/>
                <w:color w:val="162554"/>
                <w:sz w:val="18"/>
                <w:szCs w:val="18"/>
              </w:rPr>
              <w:t xml:space="preserve">deja antrenat o dată</w:t>
            </w:r>
            <w:r>
              <w:rPr>
                <w:b w:val="false"/>
                <w:bCs w:val="false"/>
                <w:color w:val="162554"/>
                <w:sz w:val="18"/>
                <w:szCs w:val="18"/>
              </w:rPr>
              <w:t xml:space="preserve"> (prima antrenare durează câteva secunde; nu o face live la minutul zero)</w:t>
            </w:r>
          </w:p>
        </w:tc>
      </w:tr>
      <w:tr>
        <w:trPr>
          <w:tblHeader w:val="false"/>
        </w:trPr>
        <w:tc>
          <w:tcPr>
            <w:tcW w:type="dxa" w:w="3120"/>
            <w:tcMar>
              <w:top w:type="dxa" w:w="60"/>
              <w:left w:type="dxa" w:w="90"/>
              <w:bottom w:type="dxa" w:w="60"/>
              <w:right w:type="dxa" w:w="90"/>
            </w:tcMar>
          </w:tcPr>
          <w:p>
            <w:pPr>
              <w:keepNext/>
              <w:spacing w:after="0" w:before="0"/>
            </w:pPr>
            <w:r>
              <w:rPr>
                <w:b w:val="false"/>
                <w:bCs w:val="false"/>
                <w:color w:val="162554"/>
                <w:sz w:val="18"/>
                <w:szCs w:val="18"/>
              </w:rPr>
              <w:t xml:space="preserve">Al doilea tab</w:t>
            </w:r>
          </w:p>
        </w:tc>
        <w:tc>
          <w:tcPr>
            <w:tcW w:type="dxa" w:w="6240"/>
            <w:tcMar>
              <w:top w:type="dxa" w:w="60"/>
              <w:left w:type="dxa" w:w="90"/>
              <w:bottom w:type="dxa" w:w="60"/>
              <w:right w:type="dxa" w:w="90"/>
            </w:tcMar>
          </w:tcPr>
          <w:p>
            <w:pPr>
              <w:keepNext/>
              <w:spacing w:after="0" w:before="0"/>
            </w:pPr>
            <w:r>
              <w:rPr>
                <w:rFonts w:ascii="Consolas" w:cs="Consolas" w:eastAsia="Consolas" w:hAnsi="Consolas"/>
                <w:b w:val="false"/>
                <w:bCs w:val="false"/>
                <w:color w:val="162554"/>
                <w:sz w:val="18"/>
                <w:szCs w:val="18"/>
              </w:rPr>
              <w:t xml:space="preserve">tool2.html</w:t>
            </w:r>
            <w:r>
              <w:rPr>
                <w:b w:val="false"/>
                <w:bCs w:val="false"/>
                <w:color w:val="162554"/>
                <w:sz w:val="18"/>
                <w:szCs w:val="18"/>
              </w:rPr>
              <w:t xml:space="preserve"> de la nivelul început, pe Altex, ca să poți arăta scorecardul manual în 5 secunde când ajungi la comparație</w:t>
            </w:r>
          </w:p>
        </w:tc>
      </w:tr>
      <w:tr>
        <w:trPr>
          <w:tblHeader w:val="false"/>
        </w:trPr>
        <w:tc>
          <w:tcPr>
            <w:tcW w:type="dxa" w:w="3120"/>
            <w:tcMar>
              <w:top w:type="dxa" w:w="60"/>
              <w:left w:type="dxa" w:w="90"/>
              <w:bottom w:type="dxa" w:w="60"/>
              <w:right w:type="dxa" w:w="90"/>
            </w:tcMar>
          </w:tcPr>
          <w:p>
            <w:pPr>
              <w:keepNext/>
              <w:spacing w:after="0" w:before="0"/>
            </w:pPr>
            <w:r>
              <w:rPr>
                <w:b w:val="false"/>
                <w:bCs w:val="false"/>
                <w:color w:val="162554"/>
                <w:sz w:val="18"/>
                <w:szCs w:val="18"/>
              </w:rPr>
              <w:t xml:space="preserve">În chat, la începutul blocului</w:t>
            </w:r>
          </w:p>
        </w:tc>
        <w:tc>
          <w:tcPr>
            <w:tcW w:type="dxa" w:w="6240"/>
            <w:tcMar>
              <w:top w:type="dxa" w:w="60"/>
              <w:left w:type="dxa" w:w="90"/>
              <w:bottom w:type="dxa" w:w="60"/>
              <w:right w:type="dxa" w:w="90"/>
            </w:tcMar>
          </w:tcPr>
          <w:p>
            <w:pPr>
              <w:keepNext/>
              <w:spacing w:after="0" w:before="0"/>
            </w:pPr>
            <w:r>
              <w:rPr>
                <w:b w:val="false"/>
                <w:bCs w:val="false"/>
                <w:color w:val="162554"/>
                <w:sz w:val="18"/>
                <w:szCs w:val="18"/>
              </w:rPr>
              <w:t xml:space="preserve">Linkul instrumentului și o linie: „antrenați abia când vă spun; până atunci doar citiți definițiile”</w:t>
            </w:r>
          </w:p>
        </w:tc>
      </w:tr>
      <w:tr>
        <w:trPr>
          <w:tblHeader w:val="false"/>
        </w:trPr>
        <w:tc>
          <w:tcPr>
            <w:tcW w:type="dxa" w:w="3120"/>
            <w:tcMar>
              <w:top w:type="dxa" w:w="60"/>
              <w:left w:type="dxa" w:w="90"/>
              <w:bottom w:type="dxa" w:w="60"/>
              <w:right w:type="dxa" w:w="90"/>
            </w:tcMar>
          </w:tcPr>
          <w:p>
            <w:pPr>
              <w:keepNext/>
              <w:spacing w:after="0" w:before="0"/>
            </w:pPr>
            <w:r>
              <w:rPr>
                <w:b w:val="false"/>
                <w:bCs w:val="false"/>
                <w:color w:val="162554"/>
                <w:sz w:val="18"/>
                <w:szCs w:val="18"/>
              </w:rPr>
              <w:t xml:space="preserve">De verificat</w:t>
            </w:r>
          </w:p>
        </w:tc>
        <w:tc>
          <w:tcPr>
            <w:tcW w:type="dxa" w:w="6240"/>
            <w:tcMar>
              <w:top w:type="dxa" w:w="60"/>
              <w:left w:type="dxa" w:w="90"/>
              <w:bottom w:type="dxa" w:w="60"/>
              <w:right w:type="dxa" w:w="90"/>
            </w:tcMar>
          </w:tcPr>
          <w:p>
            <w:pPr>
              <w:keepNext/>
              <w:spacing w:after="0" w:before="0"/>
            </w:pPr>
            <w:r>
              <w:rPr>
                <w:b w:val="false"/>
                <w:bCs w:val="false"/>
                <w:color w:val="162554"/>
                <w:sz w:val="18"/>
                <w:szCs w:val="18"/>
              </w:rPr>
              <w:t xml:space="preserve">Că ai conexiune stabilă: eșantionul de antrenare este un fișier de 4,3 MB care se descarcă o singură dată, la prima deschidere a paginii</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Roluri</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[coleg]</w:t>
            </w:r>
            <w:r>
              <w:rPr>
                <w:b w:val="false"/>
                <w:bCs w:val="false"/>
                <w:color w:val="162554"/>
                <w:sz w:val="18"/>
                <w:szCs w:val="18"/>
              </w:rPr>
              <w:t xml:space="preserve"> citește chatul și adună răspunsurile la exercițiul 1 într-un tabel pe care îl proiectezi la debrief</w:t>
            </w:r>
          </w:p>
        </w:tc>
      </w:tr>
    </w:tbl>
    <w:p>
      <w:pPr>
        <w:spacing w:after="80"/>
      </w:pPr>
    </w:p>
    <w:p>
      <w:pPr>
        <w:spacing w:after="60" w:before="60"/>
        <w:ind w:left="360" w:hanging="360"/>
      </w:pPr>
      <w:r>
        <w:rPr>
          <w:b/>
          <w:bCs/>
          <w:color w:val="5B6786"/>
          <w:spacing w:val="20"/>
          <w:sz w:val="17"/>
          <w:szCs w:val="17"/>
        </w:rPr>
        <w:t xml:space="preserve">NOTĂ  </w:t>
      </w:r>
      <w:r>
        <w:rPr>
          <w:i w:val="false"/>
          <w:iCs w:val="false"/>
          <w:sz w:val="21"/>
          <w:szCs w:val="21"/>
        </w:rPr>
        <w:t xml:space="preserve">Cifrele din aceste notițe sunt cele pe care le produce instrumentul. Variază cu una-două miimi între rulări, pentru că optimizarea nu este perfect deterministă. Dacă vezi 0,668 în loc de 0,669, nu ai greșit nimic.</w:t>
      </w:r>
    </w:p>
    <w:p>
      <w:pPr>
        <w:pStyle w:val="Heading1"/>
        <w:keepNext/>
        <w:spacing w:after="120" w:before="240" w:line="240" w:lineRule="auto"/>
      </w:pPr>
      <w:r>
        <w:t xml:space="preserve">Agenda blocului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6"/>
        <w:gridCol w:w="6455"/>
        <w:gridCol w:w="1829"/>
      </w:tblGrid>
      <w:tr>
        <w:trPr>
          <w:tblHeader/>
        </w:trPr>
        <w:tc>
          <w:tcPr>
            <w:tcW w:type="dxa" w:w="1076"/>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Minut</w:t>
            </w:r>
          </w:p>
        </w:tc>
        <w:tc>
          <w:tcPr>
            <w:tcW w:type="dxa" w:w="6455"/>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Ce se întâmplă</w:t>
            </w:r>
          </w:p>
        </w:tc>
        <w:tc>
          <w:tcPr>
            <w:tcW w:type="dxa" w:w="182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Format</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0–6</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Deschidere: de ce urcăm de la scorecard la model</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6–14</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Definițiile variabilelor: aceleași rate, alt reper</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expunere + ecran</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14–20</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Mecanica: fereastra variabilelor, fereastra evenimentului, antrenare, holdout</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expunere + demo</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20–35</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Exercițiul 1</w:t>
            </w:r>
            <w:r>
              <w:rPr>
                <w:b w:val="false"/>
                <w:bCs w:val="false"/>
                <w:color w:val="162554"/>
                <w:sz w:val="18"/>
                <w:szCs w:val="18"/>
              </w:rPr>
              <w:t xml:space="preserve"> · eticheta decide modelul</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35–50</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Debrief 1: capcana etichetei C și scurgerea de informație</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50–65</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Exercițiul 2</w:t>
            </w:r>
            <w:r>
              <w:rPr>
                <w:b w:val="false"/>
                <w:bCs w:val="false"/>
                <w:color w:val="162554"/>
                <w:sz w:val="18"/>
                <w:szCs w:val="18"/>
              </w:rPr>
              <w:t xml:space="preserve"> · semnele coeficienților și calibrarea</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65–78</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Debrief 2: cele nouă companii, model liniar vs neliniar vs scorecardul vostru</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r>
      <w:tr>
        <w:trPr>
          <w:tblHeader w:val="false"/>
        </w:trPr>
        <w:tc>
          <w:tcPr>
            <w:tcW w:type="dxa" w:w="1076"/>
            <w:tcMar>
              <w:top w:type="dxa" w:w="60"/>
              <w:left w:type="dxa" w:w="90"/>
              <w:bottom w:type="dxa" w:w="60"/>
              <w:right w:type="dxa" w:w="90"/>
            </w:tcMar>
          </w:tcPr>
          <w:p>
            <w:pPr>
              <w:keepNext w:val="false"/>
              <w:spacing w:after="0" w:before="0"/>
            </w:pPr>
            <w:r>
              <w:rPr>
                <w:b w:val="false"/>
                <w:bCs w:val="false"/>
                <w:color w:val="162554"/>
                <w:sz w:val="18"/>
                <w:szCs w:val="18"/>
              </w:rPr>
              <w:t xml:space="preserve">78–80</w:t>
            </w:r>
          </w:p>
        </w:tc>
        <w:tc>
          <w:tcPr>
            <w:tcW w:type="dxa" w:w="6455"/>
            <w:tcMar>
              <w:top w:type="dxa" w:w="60"/>
              <w:left w:type="dxa" w:w="90"/>
              <w:bottom w:type="dxa" w:w="60"/>
              <w:right w:type="dxa" w:w="90"/>
            </w:tcMar>
          </w:tcPr>
          <w:p>
            <w:pPr>
              <w:keepNext w:val="false"/>
              <w:spacing w:after="0" w:before="0"/>
            </w:pPr>
            <w:r>
              <w:rPr>
                <w:b w:val="false"/>
                <w:bCs w:val="false"/>
                <w:color w:val="162554"/>
                <w:sz w:val="18"/>
                <w:szCs w:val="18"/>
              </w:rPr>
              <w:t xml:space="preserve">Închidere: cele trei întrebări pentru orice model</w:t>
            </w:r>
          </w:p>
        </w:tc>
        <w:tc>
          <w:tcPr>
            <w:tcW w:type="dxa" w:w="1829"/>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r>
    </w:tbl>
    <w:p>
      <w:pPr>
        <w:spacing w:after="80"/>
      </w:pPr>
    </w:p>
    <w:p>
      <w:r>
        <w:br w:type="page"/>
      </w:r>
    </w:p>
    <w:p>
      <w:pPr>
        <w:pStyle w:val="Heading1"/>
        <w:keepNext/>
        <w:spacing w:after="120" w:before="240" w:line="240" w:lineRule="auto"/>
      </w:pPr>
      <w:r>
        <w:t xml:space="preserve">0–6 · Deschidere</w:t>
      </w:r>
    </w:p>
    <w:p>
      <w:pPr>
        <w:spacing w:after="60" w:before="60"/>
        <w:ind w:left="360" w:hanging="360"/>
      </w:pPr>
      <w:r>
        <w:rPr>
          <w:b/>
          <w:bCs/>
          <w:color w:val="6F9A12"/>
          <w:spacing w:val="20"/>
          <w:sz w:val="17"/>
          <w:szCs w:val="17"/>
        </w:rPr>
        <w:t xml:space="preserve">OBIECTIV  </w:t>
      </w:r>
      <w:r>
        <w:rPr>
          <w:i w:val="false"/>
          <w:iCs w:val="false"/>
          <w:sz w:val="21"/>
          <w:szCs w:val="21"/>
        </w:rPr>
        <w:t xml:space="preserve">Participanții înțeleg că trec de la „a evalua o companie” la „a construi instrumentul care evaluează companii” — și că e același lucru pe care îl face o bancă, doar la altă scară.</w:t>
      </w:r>
    </w:p>
    <w:p>
      <w:pPr>
        <w:spacing w:after="60" w:before="60"/>
        <w:ind w:left="360" w:hanging="360"/>
      </w:pPr>
      <w:r>
        <w:rPr>
          <w:b/>
          <w:bCs/>
          <w:color w:val="1A35A8"/>
          <w:spacing w:val="20"/>
          <w:sz w:val="17"/>
          <w:szCs w:val="17"/>
        </w:rPr>
        <w:t xml:space="preserve">PE ECRAN  </w:t>
      </w:r>
      <w:r>
        <w:rPr>
          <w:i w:val="false"/>
          <w:iCs w:val="false"/>
          <w:sz w:val="21"/>
          <w:szCs w:val="21"/>
        </w:rPr>
        <w:t xml:space="preserve">Scorecardul din </w:t>
      </w:r>
      <w:r>
        <w:rPr>
          <w:rFonts w:ascii="Consolas" w:cs="Consolas" w:eastAsia="Consolas" w:hAnsi="Consolas"/>
          <w:i w:val="false"/>
          <w:iCs w:val="false"/>
          <w:sz w:val="21"/>
          <w:szCs w:val="21"/>
        </w:rPr>
        <w:t xml:space="preserve">tool2.html</w:t>
      </w:r>
      <w:r>
        <w:rPr>
          <w:i w:val="false"/>
          <w:iCs w:val="false"/>
          <w:sz w:val="21"/>
          <w:szCs w:val="21"/>
        </w:rPr>
        <w:t xml:space="preserve"> pe Altex, cu scorul 3,00 și clasa C.</w:t>
      </w:r>
    </w:p>
    <w:p>
      <w:pPr>
        <w:spacing w:after="60" w:before="60"/>
        <w:ind w:left="360" w:hanging="360"/>
      </w:pPr>
      <w:r>
        <w:rPr>
          <w:b/>
          <w:bCs/>
          <w:color w:val="162554"/>
          <w:spacing w:val="20"/>
          <w:sz w:val="17"/>
          <w:szCs w:val="17"/>
        </w:rPr>
        <w:t xml:space="preserve">CE SPUI  </w:t>
      </w:r>
      <w:r>
        <w:rPr>
          <w:i w:val="false"/>
          <w:iCs w:val="false"/>
          <w:sz w:val="21"/>
          <w:szCs w:val="21"/>
        </w:rPr>
        <w:t xml:space="preserve">„La nivelul început am construit asta. Opt criterii, praguri alese de noi, ponderi alese de noi, media ponderată, o literă. Și a funcționat: la extreme, toată lumea a fost de acord. Acum vă pun o întrebare pe care nu v-am pus-o atunci: de unde știm că pragul de 1,5 la lichiditate e bun? Răspunsul onest este că nu știm. L-am luat din manual. Într-o bancă, pragurile și ponderile nu vin din manual: vin dintr-o calibrare statistică pe mii de firme cu istoric de default. Azi facem exact asta, pe firme românești reale, în browser, în câteva secunde.”</w:t>
      </w:r>
    </w:p>
    <w:p>
      <w:pPr>
        <w:spacing w:after="60" w:before="60"/>
        <w:ind w:left="360" w:hanging="360"/>
      </w:pPr>
      <w:r>
        <w:rPr>
          <w:b/>
          <w:bCs/>
          <w:color w:val="B0286A"/>
          <w:spacing w:val="20"/>
          <w:sz w:val="17"/>
          <w:szCs w:val="17"/>
        </w:rPr>
        <w:t xml:space="preserve">ÎNTREBARE  </w:t>
      </w:r>
      <w:r>
        <w:rPr>
          <w:i w:val="false"/>
          <w:iCs w:val="false"/>
          <w:sz w:val="21"/>
          <w:szCs w:val="21"/>
        </w:rPr>
        <w:t xml:space="preserve">„Cine a mai văzut un model de credit scoring din interior — nu rezultatul, ci coeficienții?”</w:t>
      </w:r>
    </w:p>
    <w:p>
      <w:pPr>
        <w:spacing w:after="60" w:before="60"/>
        <w:ind w:left="360" w:hanging="360"/>
      </w:pPr>
      <w:r>
        <w:rPr>
          <w:b/>
          <w:bCs/>
          <w:color w:val="5B6786"/>
          <w:spacing w:val="20"/>
          <w:sz w:val="17"/>
          <w:szCs w:val="17"/>
        </w:rPr>
        <w:t xml:space="preserve">NOTĂ  </w:t>
      </w:r>
      <w:r>
        <w:rPr>
          <w:i w:val="false"/>
          <w:iCs w:val="false"/>
          <w:sz w:val="21"/>
          <w:szCs w:val="21"/>
        </w:rPr>
        <w:t xml:space="preserve">De obicei 2–3 mâini. Dacă da: „Atunci o să recunoașteți fiecare pas. Ce e nou e că astăzi îl construiți voi, nu îl primiți.” Dacă nu: „Bun, atunci nimeni nu pleacă de aici cu impresia că e magie.”</w:t>
      </w:r>
    </w:p>
    <w:p>
      <w:pPr>
        <w:spacing w:after="60" w:before="60"/>
        <w:ind w:left="360" w:hanging="360"/>
      </w:pPr>
      <w:r>
        <w:rPr>
          <w:b/>
          <w:bCs/>
          <w:color w:val="162554"/>
          <w:spacing w:val="20"/>
          <w:sz w:val="17"/>
          <w:szCs w:val="17"/>
        </w:rPr>
        <w:t xml:space="preserve">CE SPUI  </w:t>
      </w:r>
      <w:r>
        <w:rPr>
          <w:i w:val="false"/>
          <w:iCs w:val="false"/>
          <w:sz w:val="21"/>
          <w:szCs w:val="21"/>
        </w:rPr>
        <w:t xml:space="preserve">„Un lucru, ca să vă liniștesc: nu învățăm regresie logistică. Nu e nevoie să știți formula. Tot ce faceți e să alegeți ce prezicem și cu ce, iar instrumentul face aritmetica. Lecția nu e în matematică, e în alegeri.”</w:t>
      </w:r>
    </w:p>
    <w:p>
      <w:pPr>
        <w:spacing w:after="60" w:before="60"/>
        <w:ind w:left="360" w:hanging="360"/>
      </w:pPr>
      <w:r>
        <w:rPr>
          <w:b/>
          <w:bCs/>
          <w:color w:val="5B6786"/>
          <w:spacing w:val="20"/>
          <w:sz w:val="17"/>
          <w:szCs w:val="17"/>
        </w:rPr>
        <w:t xml:space="preserve">TRANZIȚIE  </w:t>
      </w:r>
      <w:r>
        <w:rPr>
          <w:i w:val="false"/>
          <w:iCs w:val="false"/>
          <w:sz w:val="21"/>
          <w:szCs w:val="21"/>
        </w:rPr>
        <w:t xml:space="preserve">„Începem cu partea care vă e deja familiară: variabilele.”</w:t>
      </w:r>
    </w:p>
    <w:p>
      <w:pPr>
        <w:pStyle w:val="Heading1"/>
        <w:keepNext/>
        <w:spacing w:after="120" w:before="240" w:line="240" w:lineRule="auto"/>
      </w:pPr>
      <w:r>
        <w:t xml:space="preserve">6–14 · Definițiile variabilelor: aceleași rate, alt reper</w:t>
      </w:r>
    </w:p>
    <w:p>
      <w:pPr>
        <w:spacing w:after="60" w:before="60"/>
        <w:ind w:left="360" w:hanging="360"/>
      </w:pPr>
      <w:r>
        <w:rPr>
          <w:b/>
          <w:bCs/>
          <w:color w:val="6F9A12"/>
          <w:spacing w:val="20"/>
          <w:sz w:val="17"/>
          <w:szCs w:val="17"/>
        </w:rPr>
        <w:t xml:space="preserve">OBIECTIV  </w:t>
      </w:r>
      <w:r>
        <w:rPr>
          <w:i w:val="false"/>
          <w:iCs w:val="false"/>
          <w:sz w:val="21"/>
          <w:szCs w:val="21"/>
        </w:rPr>
        <w:t xml:space="preserve">Continuitatea cu nivelul început este explicită — aceleași rate, dar reperul se mută de la prag didactic la distribuția populației.</w:t>
      </w:r>
    </w:p>
    <w:p>
      <w:pPr>
        <w:spacing w:after="60" w:before="60"/>
        <w:ind w:left="360" w:hanging="360"/>
      </w:pPr>
      <w:r>
        <w:rPr>
          <w:b/>
          <w:bCs/>
          <w:color w:val="1A35A8"/>
          <w:spacing w:val="20"/>
          <w:sz w:val="17"/>
          <w:szCs w:val="17"/>
        </w:rPr>
        <w:t xml:space="preserve">PE ECRAN  </w:t>
      </w:r>
      <w:r>
        <w:rPr>
          <w:i w:val="false"/>
          <w:iCs w:val="false"/>
          <w:sz w:val="21"/>
          <w:szCs w:val="21"/>
        </w:rPr>
        <w:t xml:space="preserve">Panoul </w:t>
      </w:r>
      <w:r>
        <w:rPr>
          <w:b/>
          <w:bCs/>
          <w:i w:val="false"/>
          <w:iCs w:val="false"/>
          <w:sz w:val="21"/>
          <w:szCs w:val="21"/>
        </w:rPr>
        <w:t xml:space="preserve">„Definițiile variabilelor”</w:t>
      </w:r>
      <w:r>
        <w:rPr>
          <w:i w:val="false"/>
          <w:iCs w:val="false"/>
          <w:sz w:val="21"/>
          <w:szCs w:val="21"/>
        </w:rPr>
        <w:t xml:space="preserve">. Derulează încet prin cele douăsprezece rânduri.</w:t>
      </w:r>
    </w:p>
    <w:p>
      <w:pPr>
        <w:spacing w:after="60" w:before="60"/>
        <w:ind w:left="360" w:hanging="360"/>
      </w:pPr>
      <w:r>
        <w:rPr>
          <w:b/>
          <w:bCs/>
          <w:color w:val="162554"/>
          <w:spacing w:val="20"/>
          <w:sz w:val="17"/>
          <w:szCs w:val="17"/>
        </w:rPr>
        <w:t xml:space="preserve">CE SPUI  </w:t>
      </w:r>
      <w:r>
        <w:rPr>
          <w:i w:val="false"/>
          <w:iCs w:val="false"/>
          <w:sz w:val="21"/>
          <w:szCs w:val="21"/>
        </w:rPr>
        <w:t xml:space="preserve">„Recunoașteți tabelul. Are exact forma tabelului de rate financiare de la nivelul început: numele ratei, formula dedesubt, ce măsoară. Două coloane sunt însă noi, și ele sunt tot ce s-a schimbat de ieri până azi. Coloana «mediana eșantionului» și coloana «interval de lucru».”</w:t>
      </w:r>
    </w:p>
    <w:p>
      <w:pPr>
        <w:spacing w:after="60" w:before="60"/>
        <w:ind w:left="360" w:hanging="360"/>
      </w:pPr>
      <w:r>
        <w:rPr>
          <w:b/>
          <w:bCs/>
          <w:color w:val="162554"/>
          <w:spacing w:val="20"/>
          <w:sz w:val="17"/>
          <w:szCs w:val="17"/>
        </w:rPr>
        <w:t xml:space="preserve">CE SPUI  </w:t>
      </w:r>
      <w:r>
        <w:rPr>
          <w:i w:val="false"/>
          <w:iCs w:val="false"/>
          <w:sz w:val="21"/>
          <w:szCs w:val="21"/>
        </w:rPr>
        <w:t xml:space="preserve">„La nivelul început, lângă lichiditatea curentă scria «reper: peste 1,5». Un prag. Aici, în loc de prag, scrie mediana celor 120.000 de firme: </w:t>
      </w:r>
      <w:r>
        <w:rPr>
          <w:b/>
          <w:bCs/>
          <w:i w:val="false"/>
          <w:iCs w:val="false"/>
          <w:sz w:val="21"/>
          <w:szCs w:val="21"/>
        </w:rPr>
        <w:t xml:space="preserve">1,45</w:t>
      </w:r>
      <w:r>
        <w:rPr>
          <w:i w:val="false"/>
          <w:iCs w:val="false"/>
          <w:sz w:val="21"/>
          <w:szCs w:val="21"/>
        </w:rPr>
        <w:t xml:space="preserve">, cu intervalul intercuartilic de la 0,68 la 4,04. Adică jumătate din firmele din România au lichiditatea sub 1,45, iar un sfert sub 0,68. Pragul de 1,5 din manual nu e greșit — e doar mediana populației, prezentată ca normă morală.”</w:t>
      </w:r>
    </w:p>
    <w:p>
      <w:pPr>
        <w:spacing w:after="60" w:before="60"/>
        <w:ind w:left="360" w:hanging="360"/>
      </w:pPr>
      <w:r>
        <w:rPr>
          <w:b/>
          <w:bCs/>
          <w:color w:val="1A35A8"/>
          <w:spacing w:val="20"/>
          <w:sz w:val="17"/>
          <w:szCs w:val="17"/>
        </w:rPr>
        <w:t xml:space="preserve">PE ECRAN  </w:t>
      </w:r>
      <w:r>
        <w:rPr>
          <w:i w:val="false"/>
          <w:iCs w:val="false"/>
          <w:sz w:val="21"/>
          <w:szCs w:val="21"/>
        </w:rPr>
        <w:t xml:space="preserve">Indică rândul „Datorii / active”: mediana 46,6 %, iar rândul de dedesubt la autonomie financiară: mediana 50,6 %.</w:t>
      </w:r>
    </w:p>
    <w:p>
      <w:pPr>
        <w:spacing w:after="60" w:before="60"/>
        <w:ind w:left="360" w:hanging="360"/>
      </w:pPr>
      <w:r>
        <w:rPr>
          <w:b/>
          <w:bCs/>
          <w:color w:val="162554"/>
          <w:spacing w:val="20"/>
          <w:sz w:val="17"/>
          <w:szCs w:val="17"/>
        </w:rPr>
        <w:t xml:space="preserve">CE SPUI  </w:t>
      </w:r>
      <w:r>
        <w:rPr>
          <w:i w:val="false"/>
          <w:iCs w:val="false"/>
          <w:sz w:val="21"/>
          <w:szCs w:val="21"/>
        </w:rPr>
        <w:t xml:space="preserve">„Observați că «datorii / active» și «autonomie financiară» sunt aproape oglinda una a celeilalte — 46,6 % și 50,6 %, adună aproape 100. Țineți minte asta, ne întoarcem la ea în douăzeci de minute, când modelul o să se comporte bizar din cauza ei.”</w:t>
      </w:r>
    </w:p>
    <w:p>
      <w:pPr>
        <w:spacing w:after="60" w:before="60"/>
        <w:ind w:left="360" w:hanging="360"/>
      </w:pPr>
      <w:r>
        <w:rPr>
          <w:b/>
          <w:bCs/>
          <w:color w:val="1A35A8"/>
          <w:spacing w:val="20"/>
          <w:sz w:val="17"/>
          <w:szCs w:val="17"/>
        </w:rPr>
        <w:t xml:space="preserve">PE ECRAN  </w:t>
      </w:r>
      <w:r>
        <w:rPr>
          <w:i w:val="false"/>
          <w:iCs w:val="false"/>
          <w:sz w:val="21"/>
          <w:szCs w:val="21"/>
        </w:rPr>
        <w:t xml:space="preserve">Indică coloana „Efect așteptat”, cu punctele verzi și roșii.</w:t>
      </w:r>
    </w:p>
    <w:p>
      <w:pPr>
        <w:spacing w:after="60" w:before="60"/>
        <w:ind w:left="360" w:hanging="360"/>
      </w:pPr>
      <w:r>
        <w:rPr>
          <w:b/>
          <w:bCs/>
          <w:color w:val="162554"/>
          <w:spacing w:val="20"/>
          <w:sz w:val="17"/>
          <w:szCs w:val="17"/>
        </w:rPr>
        <w:t xml:space="preserve">CE SPUI  </w:t>
      </w:r>
      <w:r>
        <w:rPr>
          <w:i w:val="false"/>
          <w:iCs w:val="false"/>
          <w:sz w:val="21"/>
          <w:szCs w:val="21"/>
        </w:rPr>
        <w:t xml:space="preserve">„Coloana asta nu este un rezultat. Este teoria: ce semn </w:t>
      </w:r>
      <w:r>
        <w:rPr>
          <w:i w:val="false"/>
          <w:iCs w:val="false"/>
          <w:sz w:val="21"/>
          <w:szCs w:val="21"/>
        </w:rPr>
        <w:t xml:space="preserve">ar trebui</w:t>
      </w:r>
      <w:r>
        <w:rPr>
          <w:i w:val="false"/>
          <w:iCs w:val="false"/>
          <w:sz w:val="21"/>
          <w:szCs w:val="21"/>
        </w:rPr>
        <w:t xml:space="preserve"> să aibă coeficientul dacă modelul se comportă economic rezonabil. Mai multă lichiditate, risc mai mic — punct verde. Mai multe datorii, risc mai mare — punct roșu. Mărimea nu are semn așteptat, pentru că firmele mari nu sunt bune prin definiție. După ce antrenați, instrumentul compară semnul obținut cu această așteptare și vă atrage atenția când nu se potrivesc. Este singurul control de bun-sens pe care îl aveți, și nu există în niciun raport de model pe care îl primiți gata făcut.”</w:t>
      </w:r>
    </w:p>
    <w:p>
      <w:pPr>
        <w:spacing w:after="60" w:before="60"/>
        <w:ind w:left="360" w:hanging="360"/>
      </w:pPr>
      <w:r>
        <w:rPr>
          <w:b/>
          <w:bCs/>
          <w:color w:val="B0286A"/>
          <w:spacing w:val="20"/>
          <w:sz w:val="17"/>
          <w:szCs w:val="17"/>
        </w:rPr>
        <w:t xml:space="preserve">ÎNTREBARE  </w:t>
      </w:r>
      <w:r>
        <w:rPr>
          <w:i w:val="false"/>
          <w:iCs w:val="false"/>
          <w:sz w:val="21"/>
          <w:szCs w:val="21"/>
        </w:rPr>
        <w:t xml:space="preserve">„Ce lipsește din lista de douăsprezece variabile și ar trebui să fie prima într-un model de bancă?”</w:t>
      </w:r>
    </w:p>
    <w:p>
      <w:pPr>
        <w:spacing w:after="60" w:before="60"/>
        <w:ind w:left="360" w:hanging="360"/>
      </w:pPr>
      <w:r>
        <w:rPr>
          <w:b/>
          <w:bCs/>
          <w:color w:val="1B6F3A"/>
          <w:spacing w:val="20"/>
          <w:sz w:val="17"/>
          <w:szCs w:val="17"/>
        </w:rPr>
        <w:t xml:space="preserve">RĂSPUNS AȘTEPTAT  </w:t>
      </w:r>
      <w:r>
        <w:rPr>
          <w:i w:val="false"/>
          <w:iCs w:val="false"/>
          <w:sz w:val="21"/>
          <w:szCs w:val="21"/>
        </w:rPr>
        <w:t xml:space="preserve">Acoperirea serviciului datoriei — EBITDA sau fluxul de numerar raportat la rate și dobânzi. Nu o avem pentru că datele publice nu conțin nici EBITDA, nici dobânzile. Repetă mesajul de ieri: limitele datelor devin limitele modelului. Un model de machine learning antrenat pe aceleași date are exact aceeași gaură, doar că o ascunde mai bine.</w:t>
      </w:r>
    </w:p>
    <w:p>
      <w:pPr>
        <w:spacing w:after="60" w:before="60"/>
        <w:ind w:left="360" w:hanging="360"/>
      </w:pPr>
      <w:r>
        <w:rPr>
          <w:b/>
          <w:bCs/>
          <w:color w:val="5B6786"/>
          <w:spacing w:val="20"/>
          <w:sz w:val="17"/>
          <w:szCs w:val="17"/>
        </w:rPr>
        <w:t xml:space="preserve">NOTĂ  </w:t>
      </w:r>
      <w:r>
        <w:rPr>
          <w:i w:val="false"/>
          <w:iCs w:val="false"/>
          <w:sz w:val="21"/>
          <w:szCs w:val="21"/>
        </w:rPr>
        <w:t xml:space="preserve">Dacă cineva întreabă de winsorizare (ultima coloană): „Tăiem valorile la percentilele 1 și 99 ale populației, ca o singură firmă cu lichiditate 4.000 să nu dicteze coeficienții. Vedeți cât de late sunt cozile: la lichiditate, percentila 99 e la 106. Asta e realitatea datelor românești, nu o eroare.”</w:t>
      </w:r>
    </w:p>
    <w:p>
      <w:pPr>
        <w:spacing w:after="60" w:before="60"/>
        <w:ind w:left="360" w:hanging="360"/>
      </w:pPr>
      <w:r>
        <w:rPr>
          <w:b/>
          <w:bCs/>
          <w:color w:val="5B6786"/>
          <w:spacing w:val="20"/>
          <w:sz w:val="17"/>
          <w:szCs w:val="17"/>
        </w:rPr>
        <w:t xml:space="preserve">TRANZIȚIE  </w:t>
      </w:r>
      <w:r>
        <w:rPr>
          <w:i w:val="false"/>
          <w:iCs w:val="false"/>
          <w:sz w:val="21"/>
          <w:szCs w:val="21"/>
        </w:rPr>
        <w:t xml:space="preserve">„Acum, singurul lucru conceptual greu din bloc: ce prezicem și pe ce perioadă.”</w:t>
      </w:r>
    </w:p>
    <w:p>
      <w:r>
        <w:br w:type="page"/>
      </w:r>
    </w:p>
    <w:p>
      <w:pPr>
        <w:pStyle w:val="Heading1"/>
        <w:keepNext/>
        <w:spacing w:after="120" w:before="240" w:line="240" w:lineRule="auto"/>
      </w:pPr>
      <w:r>
        <w:t xml:space="preserve">14–20 · Mecanica: două ferestre care nu se ating</w:t>
      </w:r>
    </w:p>
    <w:p>
      <w:pPr>
        <w:spacing w:after="60" w:before="60"/>
        <w:ind w:left="360" w:hanging="360"/>
      </w:pPr>
      <w:r>
        <w:rPr>
          <w:b/>
          <w:bCs/>
          <w:color w:val="6F9A12"/>
          <w:spacing w:val="20"/>
          <w:sz w:val="17"/>
          <w:szCs w:val="17"/>
        </w:rPr>
        <w:t xml:space="preserve">OBIECTIV  </w:t>
      </w:r>
      <w:r>
        <w:rPr>
          <w:i w:val="false"/>
          <w:iCs w:val="false"/>
          <w:sz w:val="21"/>
          <w:szCs w:val="21"/>
        </w:rPr>
        <w:t xml:space="preserve">Participanții înțeleg construcția temporală (variabile în t, eveniment în t+1) și de ce holdout-ul nu e un detaliu tehnic.</w:t>
      </w:r>
    </w:p>
    <w:p>
      <w:pPr>
        <w:spacing w:after="60" w:before="60"/>
        <w:ind w:left="360" w:hanging="360"/>
      </w:pPr>
      <w:r>
        <w:rPr>
          <w:b/>
          <w:bCs/>
          <w:color w:val="1A35A8"/>
          <w:spacing w:val="20"/>
          <w:sz w:val="17"/>
          <w:szCs w:val="17"/>
        </w:rPr>
        <w:t xml:space="preserve">PE ECRAN  </w:t>
      </w:r>
      <w:r>
        <w:rPr>
          <w:i w:val="false"/>
          <w:iCs w:val="false"/>
          <w:sz w:val="21"/>
          <w:szCs w:val="21"/>
        </w:rPr>
        <w:t xml:space="preserve">Pastila din dreapta panoului de definiții: „variabile din 2024 · eveniment în 2025”.</w:t>
      </w:r>
    </w:p>
    <w:p>
      <w:pPr>
        <w:spacing w:after="60" w:before="60"/>
        <w:ind w:left="360" w:hanging="360"/>
      </w:pPr>
      <w:r>
        <w:rPr>
          <w:b/>
          <w:bCs/>
          <w:color w:val="162554"/>
          <w:spacing w:val="20"/>
          <w:sz w:val="17"/>
          <w:szCs w:val="17"/>
        </w:rPr>
        <w:t xml:space="preserve">CE SPUI  </w:t>
      </w:r>
      <w:r>
        <w:rPr>
          <w:i w:val="false"/>
          <w:iCs w:val="false"/>
          <w:sz w:val="21"/>
          <w:szCs w:val="21"/>
        </w:rPr>
        <w:t xml:space="preserve">„Regula de aur, și e singura de care aveți nevoie: variabilele se calculează din exercițiul 2024, plus dinamica 2023 către 2024. Evenimentul se observă în 2025. Cele două ferestre nu se ating. Este exact situația voastră de luni dimineață: aveți situațiile financiare până în anul t și decideți pentru anul t+1. Dacă amestecați ferestrele, obțineți un model care prezice trecutul — și o să vedeți în zece minute cât de tentant e.”</w:t>
      </w:r>
    </w:p>
    <w:p>
      <w:pPr>
        <w:spacing w:after="60" w:before="60"/>
        <w:ind w:left="360" w:hanging="360"/>
      </w:pPr>
      <w:r>
        <w:rPr>
          <w:b/>
          <w:bCs/>
          <w:color w:val="162554"/>
          <w:spacing w:val="20"/>
          <w:sz w:val="17"/>
          <w:szCs w:val="17"/>
        </w:rPr>
        <w:t xml:space="preserve">CE SPUI  </w:t>
      </w:r>
      <w:r>
        <w:rPr>
          <w:i w:val="false"/>
          <w:iCs w:val="false"/>
          <w:sz w:val="21"/>
          <w:szCs w:val="21"/>
        </w:rPr>
        <w:t xml:space="preserve">„Al doilea lucru: eșantionul se împarte automat, 70 % pentru antrenare, 30 % pe care modelul nu îl vede niciodată. AUC-ul care contează e pe partea nevăzută. Un model poate învăța pe de rost antrenarea; holdout-ul e proba de onestitate.”</w:t>
      </w:r>
    </w:p>
    <w:p>
      <w:pPr>
        <w:spacing w:after="60" w:before="60"/>
        <w:ind w:left="360" w:hanging="360"/>
      </w:pPr>
      <w:r>
        <w:rPr>
          <w:b/>
          <w:bCs/>
          <w:color w:val="B0286A"/>
          <w:spacing w:val="20"/>
          <w:sz w:val="17"/>
          <w:szCs w:val="17"/>
        </w:rPr>
        <w:t xml:space="preserve">ÎNTREBARE  </w:t>
      </w:r>
      <w:r>
        <w:rPr>
          <w:i w:val="false"/>
          <w:iCs w:val="false"/>
          <w:sz w:val="21"/>
          <w:szCs w:val="21"/>
        </w:rPr>
        <w:t xml:space="preserve">„Ce ar trebui să prezicem, de fapt? Care e evenimentul?”</w:t>
      </w:r>
    </w:p>
    <w:p>
      <w:pPr>
        <w:spacing w:after="60" w:before="60"/>
        <w:ind w:left="360" w:hanging="360"/>
      </w:pPr>
      <w:r>
        <w:rPr>
          <w:b/>
          <w:bCs/>
          <w:color w:val="1B6F3A"/>
          <w:spacing w:val="20"/>
          <w:sz w:val="17"/>
          <w:szCs w:val="17"/>
        </w:rPr>
        <w:t xml:space="preserve">RĂSPUNS AȘTEPTAT  </w:t>
      </w:r>
      <w:r>
        <w:rPr>
          <w:i w:val="false"/>
          <w:iCs w:val="false"/>
          <w:sz w:val="21"/>
          <w:szCs w:val="21"/>
        </w:rPr>
        <w:t xml:space="preserve">Lasă 3–4 răspunsuri. Vor spune „insolvența”, „neplata”, „default-ul”. Apoi: „Corect — și niciunul nu e în date. Nu există în situațiile financiare publice o coloană «a intrat în default». Deci trebuie să inventăm evenimentul din ce avem. Iar felul în care îl inventăm este subiectul următoarelor patruzeci de minute.”</w:t>
      </w:r>
    </w:p>
    <w:p>
      <w:pPr>
        <w:spacing w:after="60" w:before="60"/>
        <w:ind w:left="360" w:hanging="360"/>
      </w:pPr>
      <w:r>
        <w:rPr>
          <w:b/>
          <w:bCs/>
          <w:color w:val="1A35A8"/>
          <w:spacing w:val="20"/>
          <w:sz w:val="17"/>
          <w:szCs w:val="17"/>
        </w:rPr>
        <w:t xml:space="preserve">PE ECRAN  </w:t>
      </w:r>
      <w:r>
        <w:rPr>
          <w:i w:val="false"/>
          <w:iCs w:val="false"/>
          <w:sz w:val="21"/>
          <w:szCs w:val="21"/>
        </w:rPr>
        <w:t xml:space="preserve">Panoul „Constructorul de etichetă”, cu cele cinci definiții și ratele lor de bază.</w:t>
      </w:r>
    </w:p>
    <w:p>
      <w:pPr>
        <w:spacing w:after="60" w:before="60"/>
        <w:ind w:left="360" w:hanging="360"/>
      </w:pPr>
      <w:r>
        <w:rPr>
          <w:b/>
          <w:bCs/>
          <w:color w:val="162554"/>
          <w:spacing w:val="20"/>
          <w:sz w:val="17"/>
          <w:szCs w:val="17"/>
        </w:rPr>
        <w:t xml:space="preserve">CE SPUI  </w:t>
      </w:r>
      <w:r>
        <w:rPr>
          <w:i w:val="false"/>
          <w:iCs w:val="false"/>
          <w:sz w:val="21"/>
          <w:szCs w:val="21"/>
        </w:rPr>
        <w:t xml:space="preserve">„Cinci definiții, toate construite din date contabile. Nu mai depune situații financiare — 8,12 % din firme. Capitalurile devin negative — 3,85 %. Pierdere doi ani la rând — 12,62 %. Pierdere care șterge jumătate din capitaluri — 13,31 %. Și una compusă, 15,03 %. Niciuna nu este «default». Fiecare este o umbră a lui, dintr-un alt unghi.”</w:t>
      </w:r>
    </w:p>
    <w:p>
      <w:pPr>
        <w:spacing w:after="60" w:before="60"/>
        <w:ind w:left="360" w:hanging="360"/>
      </w:pPr>
      <w:r>
        <w:rPr>
          <w:b/>
          <w:bCs/>
          <w:color w:val="5B6786"/>
          <w:spacing w:val="20"/>
          <w:sz w:val="17"/>
          <w:szCs w:val="17"/>
        </w:rPr>
        <w:t xml:space="preserve">TRANZIȚIE  </w:t>
      </w:r>
      <w:r>
        <w:rPr>
          <w:i w:val="false"/>
          <w:iCs w:val="false"/>
          <w:sz w:val="21"/>
          <w:szCs w:val="21"/>
        </w:rPr>
        <w:t xml:space="preserve">„Cincisprezece minute, fiecare pe cont propriu. Sarcina e simplă: rulați-le pe toate cinci.”</w:t>
      </w:r>
    </w:p>
    <w:p>
      <w:pPr>
        <w:pStyle w:val="Heading1"/>
        <w:keepNext/>
        <w:spacing w:after="120" w:before="240" w:line="240" w:lineRule="auto"/>
      </w:pPr>
      <w:r>
        <w:t xml:space="preserve">20–35 · Exercițiul 1 · Eticheta decide modelul</w:t>
      </w:r>
    </w:p>
    <w:p>
      <w:pPr>
        <w:spacing w:after="60" w:before="60"/>
        <w:ind w:left="360" w:hanging="360"/>
      </w:pPr>
      <w:r>
        <w:rPr>
          <w:b/>
          <w:bCs/>
          <w:color w:val="D9720F"/>
          <w:spacing w:val="20"/>
          <w:sz w:val="17"/>
          <w:szCs w:val="17"/>
        </w:rPr>
        <w:t xml:space="preserve">EXERCIȚIU  </w:t>
      </w:r>
      <w:r>
        <w:rPr>
          <w:i w:val="false"/>
          <w:iCs w:val="false"/>
          <w:sz w:val="21"/>
          <w:szCs w:val="21"/>
        </w:rPr>
        <w:t xml:space="preserve">„Cincisprezece minute, individual. Lăsați toate cele douăsprezece variabile bifate și nu atingeți nimic altceva. Selectați prima definiție de eveniment, apăsați «Antrenează modelul», notați AUC-ul de pe holdout. Apoi a doua, a treia, a patra, a cincea. La final scrieți în chat un singur rând: cele cinci valori de AUC, în ordine, și care definiție ați duce în comitetul de modele. Atenție: nu modificați variabilele între rulări — altfel nu comparați etichete, comparați două lucruri deodată.”</w:t>
      </w:r>
    </w:p>
    <w:p>
      <w:pPr>
        <w:spacing w:after="60" w:before="60"/>
        <w:ind w:left="360" w:hanging="360"/>
      </w:pPr>
      <w:r>
        <w:rPr>
          <w:b/>
          <w:bCs/>
          <w:color w:val="5B6786"/>
          <w:spacing w:val="20"/>
          <w:sz w:val="17"/>
          <w:szCs w:val="17"/>
        </w:rPr>
        <w:t xml:space="preserve">NOTĂ  </w:t>
      </w:r>
      <w:r>
        <w:rPr>
          <w:b/>
          <w:bCs/>
          <w:i w:val="false"/>
          <w:iCs w:val="false"/>
          <w:sz w:val="21"/>
          <w:szCs w:val="21"/>
        </w:rPr>
        <w:t xml:space="preserve">[coleg]</w:t>
      </w:r>
      <w:r>
        <w:rPr>
          <w:i w:val="false"/>
          <w:iCs w:val="false"/>
          <w:sz w:val="21"/>
          <w:szCs w:val="21"/>
        </w:rPr>
        <w:t xml:space="preserve"> răspunde în chat la întrebări tehnice și, la minutul 8, trimite un check-in: „dacă antrenarea pare blocată, dați refresh — eșantionul se descarcă o singură dată”. Colectează rândurile în tabelul pe care îl vei proiecta.</w:t>
      </w:r>
    </w:p>
    <w:p>
      <w:pPr>
        <w:spacing w:after="60" w:before="60"/>
        <w:ind w:left="360" w:hanging="360"/>
      </w:pPr>
      <w:r>
        <w:rPr>
          <w:b/>
          <w:bCs/>
          <w:color w:val="5B6786"/>
          <w:spacing w:val="20"/>
          <w:sz w:val="17"/>
          <w:szCs w:val="17"/>
        </w:rPr>
        <w:t xml:space="preserve">NOTĂ  </w:t>
      </w:r>
      <w:r>
        <w:rPr>
          <w:i w:val="false"/>
          <w:iCs w:val="false"/>
          <w:sz w:val="21"/>
          <w:szCs w:val="21"/>
        </w:rPr>
        <w:t xml:space="preserve">Rezultatele pe care le vor obține, ca să știi ce te așteaptă: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1"/>
        <w:gridCol w:w="1101"/>
        <w:gridCol w:w="2019"/>
        <w:gridCol w:w="2019"/>
      </w:tblGrid>
      <w:tr>
        <w:trPr>
          <w:tblHeader/>
        </w:trPr>
        <w:tc>
          <w:tcPr>
            <w:tcW w:type="dxa" w:w="4221"/>
            <w:shd w:fill="EDF3FF" w:color="auto" w:val="clear"/>
            <w:tcMar>
              <w:top w:type="dxa" w:w="60"/>
              <w:left w:type="dxa" w:w="90"/>
              <w:bottom w:type="dxa" w:w="60"/>
              <w:right w:type="dxa" w:w="90"/>
            </w:tcMar>
          </w:tcPr>
          <w:p>
            <w:pPr>
              <w:keepNext/>
              <w:spacing w:after="0" w:before="0"/>
            </w:pPr>
            <w:r>
              <w:rPr>
                <w:b/>
                <w:bCs/>
                <w:color w:val="1A35A8"/>
                <w:sz w:val="18"/>
                <w:szCs w:val="18"/>
              </w:rPr>
              <w:t xml:space="preserve">Definiția evenimentului</w:t>
            </w:r>
          </w:p>
        </w:tc>
        <w:tc>
          <w:tcPr>
            <w:tcW w:type="dxa" w:w="1101"/>
            <w:shd w:fill="EDF3FF" w:color="auto" w:val="clear"/>
            <w:tcMar>
              <w:top w:type="dxa" w:w="60"/>
              <w:left w:type="dxa" w:w="90"/>
              <w:bottom w:type="dxa" w:w="60"/>
              <w:right w:type="dxa" w:w="90"/>
            </w:tcMar>
          </w:tcPr>
          <w:p>
            <w:pPr>
              <w:keepNext/>
              <w:spacing w:after="0" w:before="0"/>
            </w:pPr>
            <w:r>
              <w:rPr>
                <w:b/>
                <w:bCs/>
                <w:color w:val="1A35A8"/>
                <w:sz w:val="18"/>
                <w:szCs w:val="18"/>
              </w:rPr>
              <w:t xml:space="preserve">Rata de bază</w:t>
            </w:r>
          </w:p>
        </w:tc>
        <w:tc>
          <w:tcPr>
            <w:tcW w:type="dxa" w:w="2019"/>
            <w:shd w:fill="EDF3FF" w:color="auto" w:val="clear"/>
            <w:tcMar>
              <w:top w:type="dxa" w:w="60"/>
              <w:left w:type="dxa" w:w="90"/>
              <w:bottom w:type="dxa" w:w="60"/>
              <w:right w:type="dxa" w:w="90"/>
            </w:tcMar>
          </w:tcPr>
          <w:p>
            <w:pPr>
              <w:keepNext/>
              <w:spacing w:after="0" w:before="0"/>
            </w:pPr>
            <w:r>
              <w:rPr>
                <w:b/>
                <w:bCs/>
                <w:color w:val="1A35A8"/>
                <w:sz w:val="18"/>
                <w:szCs w:val="18"/>
              </w:rPr>
              <w:t xml:space="preserve">AUC regresie logistică</w:t>
            </w:r>
          </w:p>
        </w:tc>
        <w:tc>
          <w:tcPr>
            <w:tcW w:type="dxa" w:w="2019"/>
            <w:shd w:fill="EDF3FF" w:color="auto" w:val="clear"/>
            <w:tcMar>
              <w:top w:type="dxa" w:w="60"/>
              <w:left w:type="dxa" w:w="90"/>
              <w:bottom w:type="dxa" w:w="60"/>
              <w:right w:type="dxa" w:w="90"/>
            </w:tcMar>
          </w:tcPr>
          <w:p>
            <w:pPr>
              <w:keepNext/>
              <w:spacing w:after="0" w:before="0"/>
            </w:pPr>
            <w:r>
              <w:rPr>
                <w:b/>
                <w:bCs/>
                <w:color w:val="1A35A8"/>
                <w:sz w:val="18"/>
                <w:szCs w:val="18"/>
              </w:rPr>
              <w:t xml:space="preserve">AUC model de referință</w:t>
            </w:r>
          </w:p>
        </w:tc>
      </w:tr>
      <w:tr>
        <w:trPr>
          <w:tblHeader w:val="false"/>
        </w:trPr>
        <w:tc>
          <w:tcPr>
            <w:tcW w:type="dxa" w:w="4221"/>
            <w:tcMar>
              <w:top w:type="dxa" w:w="60"/>
              <w:left w:type="dxa" w:w="90"/>
              <w:bottom w:type="dxa" w:w="60"/>
              <w:right w:type="dxa" w:w="90"/>
            </w:tcMar>
          </w:tcPr>
          <w:p>
            <w:pPr>
              <w:keepNext/>
              <w:spacing w:after="0" w:before="0"/>
            </w:pPr>
            <w:r>
              <w:rPr>
                <w:b w:val="false"/>
                <w:bCs w:val="false"/>
                <w:color w:val="162554"/>
                <w:sz w:val="18"/>
                <w:szCs w:val="18"/>
              </w:rPr>
              <w:t xml:space="preserve">Nu mai depune situații financiare</w:t>
            </w:r>
          </w:p>
        </w:tc>
        <w:tc>
          <w:tcPr>
            <w:tcW w:type="dxa" w:w="1101"/>
            <w:tcMar>
              <w:top w:type="dxa" w:w="60"/>
              <w:left w:type="dxa" w:w="90"/>
              <w:bottom w:type="dxa" w:w="60"/>
              <w:right w:type="dxa" w:w="90"/>
            </w:tcMar>
          </w:tcPr>
          <w:p>
            <w:pPr>
              <w:keepNext/>
              <w:spacing w:after="0" w:before="0"/>
            </w:pPr>
            <w:r>
              <w:rPr>
                <w:b w:val="false"/>
                <w:bCs w:val="false"/>
                <w:color w:val="162554"/>
                <w:sz w:val="18"/>
                <w:szCs w:val="18"/>
              </w:rPr>
              <w:t xml:space="preserve">8,12 %</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0,603</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0,653</w:t>
            </w:r>
          </w:p>
        </w:tc>
      </w:tr>
      <w:tr>
        <w:trPr>
          <w:tblHeader w:val="false"/>
        </w:trPr>
        <w:tc>
          <w:tcPr>
            <w:tcW w:type="dxa" w:w="4221"/>
            <w:tcMar>
              <w:top w:type="dxa" w:w="60"/>
              <w:left w:type="dxa" w:w="90"/>
              <w:bottom w:type="dxa" w:w="60"/>
              <w:right w:type="dxa" w:w="90"/>
            </w:tcMar>
          </w:tcPr>
          <w:p>
            <w:pPr>
              <w:keepNext/>
              <w:spacing w:after="0" w:before="0"/>
            </w:pPr>
            <w:r>
              <w:rPr>
                <w:b w:val="false"/>
                <w:bCs w:val="false"/>
                <w:color w:val="162554"/>
                <w:sz w:val="18"/>
                <w:szCs w:val="18"/>
              </w:rPr>
              <w:t xml:space="preserve">Capitalurile devin negative</w:t>
            </w:r>
          </w:p>
        </w:tc>
        <w:tc>
          <w:tcPr>
            <w:tcW w:type="dxa" w:w="1101"/>
            <w:tcMar>
              <w:top w:type="dxa" w:w="60"/>
              <w:left w:type="dxa" w:w="90"/>
              <w:bottom w:type="dxa" w:w="60"/>
              <w:right w:type="dxa" w:w="90"/>
            </w:tcMar>
          </w:tcPr>
          <w:p>
            <w:pPr>
              <w:keepNext/>
              <w:spacing w:after="0" w:before="0"/>
            </w:pPr>
            <w:r>
              <w:rPr>
                <w:b w:val="false"/>
                <w:bCs w:val="false"/>
                <w:color w:val="162554"/>
                <w:sz w:val="18"/>
                <w:szCs w:val="18"/>
              </w:rPr>
              <w:t xml:space="preserve">3,85 %</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0,655</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0,857</w:t>
            </w:r>
          </w:p>
        </w:tc>
      </w:tr>
      <w:tr>
        <w:trPr>
          <w:tblHeader w:val="false"/>
        </w:trPr>
        <w:tc>
          <w:tcPr>
            <w:tcW w:type="dxa" w:w="4221"/>
            <w:tcMar>
              <w:top w:type="dxa" w:w="60"/>
              <w:left w:type="dxa" w:w="90"/>
              <w:bottom w:type="dxa" w:w="60"/>
              <w:right w:type="dxa" w:w="90"/>
            </w:tcMar>
          </w:tcPr>
          <w:p>
            <w:pPr>
              <w:keepNext/>
              <w:spacing w:after="0" w:before="0"/>
            </w:pPr>
            <w:r>
              <w:rPr>
                <w:b w:val="false"/>
                <w:bCs w:val="false"/>
                <w:color w:val="162554"/>
                <w:sz w:val="18"/>
                <w:szCs w:val="18"/>
              </w:rPr>
              <w:t xml:space="preserve">Pierdere în 2024 și în 2025</w:t>
            </w:r>
          </w:p>
        </w:tc>
        <w:tc>
          <w:tcPr>
            <w:tcW w:type="dxa" w:w="1101"/>
            <w:tcMar>
              <w:top w:type="dxa" w:w="60"/>
              <w:left w:type="dxa" w:w="90"/>
              <w:bottom w:type="dxa" w:w="60"/>
              <w:right w:type="dxa" w:w="90"/>
            </w:tcMar>
          </w:tcPr>
          <w:p>
            <w:pPr>
              <w:keepNext/>
              <w:spacing w:after="0" w:before="0"/>
            </w:pPr>
            <w:r>
              <w:rPr>
                <w:b w:val="false"/>
                <w:bCs w:val="false"/>
                <w:color w:val="162554"/>
                <w:sz w:val="18"/>
                <w:szCs w:val="18"/>
              </w:rPr>
              <w:t xml:space="preserve">12,62 %</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0,927</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0,948</w:t>
            </w:r>
          </w:p>
        </w:tc>
      </w:tr>
      <w:tr>
        <w:trPr>
          <w:tblHeader w:val="false"/>
        </w:trPr>
        <w:tc>
          <w:tcPr>
            <w:tcW w:type="dxa" w:w="4221"/>
            <w:tcMar>
              <w:top w:type="dxa" w:w="60"/>
              <w:left w:type="dxa" w:w="90"/>
              <w:bottom w:type="dxa" w:w="60"/>
              <w:right w:type="dxa" w:w="90"/>
            </w:tcMar>
          </w:tcPr>
          <w:p>
            <w:pPr>
              <w:keepNext/>
              <w:spacing w:after="0" w:before="0"/>
            </w:pPr>
            <w:r>
              <w:rPr>
                <w:b w:val="false"/>
                <w:bCs w:val="false"/>
                <w:color w:val="162554"/>
                <w:sz w:val="18"/>
                <w:szCs w:val="18"/>
              </w:rPr>
              <w:t xml:space="preserve">Pierdere care șterge peste 50 % din capitaluri</w:t>
            </w:r>
          </w:p>
        </w:tc>
        <w:tc>
          <w:tcPr>
            <w:tcW w:type="dxa" w:w="1101"/>
            <w:tcMar>
              <w:top w:type="dxa" w:w="60"/>
              <w:left w:type="dxa" w:w="90"/>
              <w:bottom w:type="dxa" w:w="60"/>
              <w:right w:type="dxa" w:w="90"/>
            </w:tcMar>
          </w:tcPr>
          <w:p>
            <w:pPr>
              <w:keepNext/>
              <w:spacing w:after="0" w:before="0"/>
            </w:pPr>
            <w:r>
              <w:rPr>
                <w:b w:val="false"/>
                <w:bCs w:val="false"/>
                <w:color w:val="162554"/>
                <w:sz w:val="18"/>
                <w:szCs w:val="18"/>
              </w:rPr>
              <w:t xml:space="preserve">13,31 %</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0,855</w:t>
            </w:r>
          </w:p>
        </w:tc>
        <w:tc>
          <w:tcPr>
            <w:tcW w:type="dxa" w:w="2019"/>
            <w:tcMar>
              <w:top w:type="dxa" w:w="60"/>
              <w:left w:type="dxa" w:w="90"/>
              <w:bottom w:type="dxa" w:w="60"/>
              <w:right w:type="dxa" w:w="90"/>
            </w:tcMar>
          </w:tcPr>
          <w:p>
            <w:pPr>
              <w:keepNext/>
              <w:spacing w:after="0" w:before="0"/>
            </w:pPr>
            <w:r>
              <w:rPr>
                <w:b w:val="false"/>
                <w:bCs w:val="false"/>
                <w:color w:val="162554"/>
                <w:sz w:val="18"/>
                <w:szCs w:val="18"/>
              </w:rPr>
              <w:t xml:space="preserve">0,885</w:t>
            </w:r>
          </w:p>
        </w:tc>
      </w:tr>
      <w:tr>
        <w:trPr>
          <w:tblHeader w:val="false"/>
        </w:trPr>
        <w:tc>
          <w:tcPr>
            <w:tcW w:type="dxa" w:w="4221"/>
            <w:tcMar>
              <w:top w:type="dxa" w:w="60"/>
              <w:left w:type="dxa" w:w="90"/>
              <w:bottom w:type="dxa" w:w="60"/>
              <w:right w:type="dxa" w:w="90"/>
            </w:tcMar>
          </w:tcPr>
          <w:p>
            <w:pPr>
              <w:keepNext w:val="false"/>
              <w:spacing w:after="0" w:before="0"/>
            </w:pPr>
            <w:r>
              <w:rPr>
                <w:b w:val="false"/>
                <w:bCs w:val="false"/>
                <w:color w:val="162554"/>
                <w:sz w:val="18"/>
                <w:szCs w:val="18"/>
              </w:rPr>
              <w:t xml:space="preserve">Compus</w:t>
            </w:r>
          </w:p>
        </w:tc>
        <w:tc>
          <w:tcPr>
            <w:tcW w:type="dxa" w:w="1101"/>
            <w:tcMar>
              <w:top w:type="dxa" w:w="60"/>
              <w:left w:type="dxa" w:w="90"/>
              <w:bottom w:type="dxa" w:w="60"/>
              <w:right w:type="dxa" w:w="90"/>
            </w:tcMar>
          </w:tcPr>
          <w:p>
            <w:pPr>
              <w:keepNext w:val="false"/>
              <w:spacing w:after="0" w:before="0"/>
            </w:pPr>
            <w:r>
              <w:rPr>
                <w:b w:val="false"/>
                <w:bCs w:val="false"/>
                <w:color w:val="162554"/>
                <w:sz w:val="18"/>
                <w:szCs w:val="18"/>
              </w:rPr>
              <w:t xml:space="preserve">15,03 %</w:t>
            </w:r>
          </w:p>
        </w:tc>
        <w:tc>
          <w:tcPr>
            <w:tcW w:type="dxa" w:w="2019"/>
            <w:tcMar>
              <w:top w:type="dxa" w:w="60"/>
              <w:left w:type="dxa" w:w="90"/>
              <w:bottom w:type="dxa" w:w="60"/>
              <w:right w:type="dxa" w:w="90"/>
            </w:tcMar>
          </w:tcPr>
          <w:p>
            <w:pPr>
              <w:keepNext w:val="false"/>
              <w:spacing w:after="0" w:before="0"/>
            </w:pPr>
            <w:r>
              <w:rPr>
                <w:b w:val="false"/>
                <w:bCs w:val="false"/>
                <w:color w:val="162554"/>
                <w:sz w:val="18"/>
                <w:szCs w:val="18"/>
              </w:rPr>
              <w:t xml:space="preserve">0,669</w:t>
            </w:r>
          </w:p>
        </w:tc>
        <w:tc>
          <w:tcPr>
            <w:tcW w:type="dxa" w:w="2019"/>
            <w:tcMar>
              <w:top w:type="dxa" w:w="60"/>
              <w:left w:type="dxa" w:w="90"/>
              <w:bottom w:type="dxa" w:w="60"/>
              <w:right w:type="dxa" w:w="90"/>
            </w:tcMar>
          </w:tcPr>
          <w:p>
            <w:pPr>
              <w:keepNext w:val="false"/>
              <w:spacing w:after="0" w:before="0"/>
            </w:pPr>
            <w:r>
              <w:rPr>
                <w:b w:val="false"/>
                <w:bCs w:val="false"/>
                <w:color w:val="162554"/>
                <w:sz w:val="18"/>
                <w:szCs w:val="18"/>
              </w:rPr>
              <w:t xml:space="preserve">0,731</w:t>
            </w:r>
          </w:p>
        </w:tc>
      </w:tr>
    </w:tbl>
    <w:p>
      <w:pPr>
        <w:spacing w:after="80"/>
      </w:pPr>
    </w:p>
    <w:p>
      <w:pPr>
        <w:spacing w:after="60" w:before="60"/>
        <w:ind w:left="360" w:hanging="360"/>
      </w:pPr>
      <w:r>
        <w:rPr>
          <w:b/>
          <w:bCs/>
          <w:color w:val="5B6786"/>
          <w:spacing w:val="20"/>
          <w:sz w:val="17"/>
          <w:szCs w:val="17"/>
        </w:rPr>
        <w:t xml:space="preserve">NOTĂ  </w:t>
      </w:r>
      <w:r>
        <w:rPr>
          <w:i w:val="false"/>
          <w:iCs w:val="false"/>
          <w:sz w:val="21"/>
          <w:szCs w:val="21"/>
        </w:rPr>
        <w:t xml:space="preserve">Aproape toți vor alege definiția cu pierdere doi ani la rând, pentru că are AUC 0,927. Asta e exact ce vrei. Nu corecta nimic în chat; lasă-i să o aleagă și să o și argumenteze.</w:t>
      </w:r>
    </w:p>
    <w:p>
      <w:pPr>
        <w:pStyle w:val="Heading1"/>
        <w:keepNext/>
        <w:spacing w:after="120" w:before="240" w:line="240" w:lineRule="auto"/>
      </w:pPr>
      <w:r>
        <w:t xml:space="preserve">35–50 · Debrief 1 · Capcana</w:t>
      </w:r>
    </w:p>
    <w:p>
      <w:pPr>
        <w:spacing w:after="60" w:before="60"/>
        <w:ind w:left="360" w:hanging="360"/>
      </w:pPr>
      <w:r>
        <w:rPr>
          <w:b/>
          <w:bCs/>
          <w:color w:val="1A35A8"/>
          <w:spacing w:val="20"/>
          <w:sz w:val="17"/>
          <w:szCs w:val="17"/>
        </w:rPr>
        <w:t xml:space="preserve">PE ECRAN  </w:t>
      </w:r>
      <w:r>
        <w:rPr>
          <w:i w:val="false"/>
          <w:iCs w:val="false"/>
          <w:sz w:val="21"/>
          <w:szCs w:val="21"/>
        </w:rPr>
        <w:t xml:space="preserve">Tabelul completat de </w:t>
      </w:r>
      <w:r>
        <w:rPr>
          <w:b/>
          <w:bCs/>
          <w:i w:val="false"/>
          <w:iCs w:val="false"/>
          <w:sz w:val="21"/>
          <w:szCs w:val="21"/>
        </w:rPr>
        <w:t xml:space="preserve">[coleg]</w:t>
      </w:r>
      <w:r>
        <w:rPr>
          <w:i w:val="false"/>
          <w:iCs w:val="false"/>
          <w:sz w:val="21"/>
          <w:szCs w:val="21"/>
        </w:rPr>
        <w:t xml:space="preserve"> cu răspunsurile din chat, proiectat.</w:t>
      </w:r>
    </w:p>
    <w:p>
      <w:pPr>
        <w:spacing w:after="60" w:before="60"/>
        <w:ind w:left="360" w:hanging="360"/>
      </w:pPr>
      <w:r>
        <w:rPr>
          <w:b/>
          <w:bCs/>
          <w:color w:val="162554"/>
          <w:spacing w:val="20"/>
          <w:sz w:val="17"/>
          <w:szCs w:val="17"/>
        </w:rPr>
        <w:t xml:space="preserve">CE SPUI  </w:t>
      </w:r>
      <w:r>
        <w:rPr>
          <w:i w:val="false"/>
          <w:iCs w:val="false"/>
          <w:sz w:val="21"/>
          <w:szCs w:val="21"/>
        </w:rPr>
        <w:t xml:space="preserve">„Priviți coloana AUC. De la 0,603 la 0,927. Același algoritm, aceleași douăsprezece variabile, același eșantion, aceeași zi. Singurul lucru pe care l-ați schimbat este definiția evenimentului. Dacă cineva vă aduce mâine un model și vă spune «are AUC 0,92», prima voastră întrebare nu mai poate fi «cu ce algoritm?». Este «ce a numit default?».”</w:t>
      </w:r>
    </w:p>
    <w:p>
      <w:pPr>
        <w:spacing w:after="60" w:before="60"/>
        <w:ind w:left="360" w:hanging="360"/>
      </w:pPr>
      <w:r>
        <w:rPr>
          <w:b/>
          <w:bCs/>
          <w:color w:val="162554"/>
          <w:spacing w:val="20"/>
          <w:sz w:val="17"/>
          <w:szCs w:val="17"/>
        </w:rPr>
        <w:t xml:space="preserve">CE SPUI  </w:t>
      </w:r>
      <w:r>
        <w:rPr>
          <w:i w:val="false"/>
          <w:iCs w:val="false"/>
          <w:sz w:val="21"/>
          <w:szCs w:val="21"/>
        </w:rPr>
        <w:t xml:space="preserve">„Majoritatea ați ales definiția cu 0,927. Hai să ne uităm la ea. Eveniment: pierdere netă în 2024 și în 2025. Variabile: din 2024. Ce se întâmplă?”</w:t>
      </w:r>
    </w:p>
    <w:p>
      <w:pPr>
        <w:spacing w:after="60" w:before="60"/>
        <w:ind w:left="360" w:hanging="360"/>
      </w:pPr>
      <w:r>
        <w:rPr>
          <w:b/>
          <w:bCs/>
          <w:color w:val="5B6786"/>
          <w:spacing w:val="20"/>
          <w:sz w:val="17"/>
          <w:szCs w:val="17"/>
        </w:rPr>
        <w:t xml:space="preserve">NOTĂ  </w:t>
      </w:r>
      <w:r>
        <w:rPr>
          <w:i w:val="false"/>
          <w:iCs w:val="false"/>
          <w:sz w:val="21"/>
          <w:szCs w:val="21"/>
        </w:rPr>
        <w:t xml:space="preserve">Lasă trei-patru secunde de liniște. Cineva o va vedea. Dacă nu, insistă: „Ce știți despre marja netă din 2024, la o firmă care a avut pierdere în 2024?”</w:t>
      </w:r>
    </w:p>
    <w:p>
      <w:pPr>
        <w:spacing w:after="60" w:before="60"/>
        <w:ind w:left="360" w:hanging="360"/>
      </w:pPr>
      <w:r>
        <w:rPr>
          <w:b/>
          <w:bCs/>
          <w:color w:val="1B6F3A"/>
          <w:spacing w:val="20"/>
          <w:sz w:val="17"/>
          <w:szCs w:val="17"/>
        </w:rPr>
        <w:t xml:space="preserve">RĂSPUNS AȘTEPTAT  </w:t>
      </w:r>
      <w:r>
        <w:rPr>
          <w:i w:val="false"/>
          <w:iCs w:val="false"/>
          <w:sz w:val="21"/>
          <w:szCs w:val="21"/>
        </w:rPr>
        <w:t xml:space="preserve">Este negativă. Adică jumătate din eveniment este deja în variabile. Modelul nu prezice, ci constată.</w:t>
      </w:r>
    </w:p>
    <w:p>
      <w:pPr>
        <w:spacing w:after="60" w:before="60"/>
        <w:ind w:left="360" w:hanging="360"/>
      </w:pPr>
      <w:r>
        <w:rPr>
          <w:b/>
          <w:bCs/>
          <w:color w:val="1A35A8"/>
          <w:spacing w:val="20"/>
          <w:sz w:val="17"/>
          <w:szCs w:val="17"/>
        </w:rPr>
        <w:t xml:space="preserve">PE ECRAN  </w:t>
      </w:r>
      <w:r>
        <w:rPr>
          <w:i w:val="false"/>
          <w:iCs w:val="false"/>
          <w:sz w:val="21"/>
          <w:szCs w:val="21"/>
        </w:rPr>
        <w:t xml:space="preserve">Rămâi pe definiția cu pierdere doi ani. Debifează </w:t>
      </w:r>
      <w:r>
        <w:rPr>
          <w:b/>
          <w:bCs/>
          <w:i w:val="false"/>
          <w:iCs w:val="false"/>
          <w:sz w:val="21"/>
          <w:szCs w:val="21"/>
        </w:rPr>
        <w:t xml:space="preserve">Marjă netă</w:t>
      </w:r>
      <w:r>
        <w:rPr>
          <w:i w:val="false"/>
          <w:iCs w:val="false"/>
          <w:sz w:val="21"/>
          <w:szCs w:val="21"/>
        </w:rPr>
        <w:t xml:space="preserve"> și </w:t>
      </w:r>
      <w:r>
        <w:rPr>
          <w:b/>
          <w:bCs/>
          <w:i w:val="false"/>
          <w:iCs w:val="false"/>
          <w:sz w:val="21"/>
          <w:szCs w:val="21"/>
        </w:rPr>
        <w:t xml:space="preserve">ROA</w:t>
      </w:r>
      <w:r>
        <w:rPr>
          <w:i w:val="false"/>
          <w:iCs w:val="false"/>
          <w:sz w:val="21"/>
          <w:szCs w:val="21"/>
        </w:rPr>
        <w:t xml:space="preserve">. Apasă „Antrenează”.</w:t>
      </w:r>
    </w:p>
    <w:p>
      <w:pPr>
        <w:spacing w:after="60" w:before="60"/>
        <w:ind w:left="360" w:hanging="360"/>
      </w:pPr>
      <w:r>
        <w:rPr>
          <w:b/>
          <w:bCs/>
          <w:color w:val="162554"/>
          <w:spacing w:val="20"/>
          <w:sz w:val="17"/>
          <w:szCs w:val="17"/>
        </w:rPr>
        <w:t xml:space="preserve">CE SPUI  </w:t>
      </w:r>
      <w:r>
        <w:rPr>
          <w:i w:val="false"/>
          <w:iCs w:val="false"/>
          <w:sz w:val="21"/>
          <w:szCs w:val="21"/>
        </w:rPr>
        <w:t xml:space="preserve">„0,927 a devenit </w:t>
      </w:r>
      <w:r>
        <w:rPr>
          <w:b/>
          <w:bCs/>
          <w:i w:val="false"/>
          <w:iCs w:val="false"/>
          <w:sz w:val="21"/>
          <w:szCs w:val="21"/>
        </w:rPr>
        <w:t xml:space="preserve">0,779</w:t>
      </w:r>
      <w:r>
        <w:rPr>
          <w:i w:val="false"/>
          <w:iCs w:val="false"/>
          <w:sz w:val="21"/>
          <w:szCs w:val="21"/>
        </w:rPr>
        <w:t xml:space="preserve">. Am scos două variabile din douăsprezece și am pierdut o sută cincizeci de puncte de AUC. Diferența aceea nu era putere predictivă: era informație despre rezultat, strecurată în variabile. Se numește scurgere de informație, în engleză </w:t>
      </w:r>
      <w:r>
        <w:rPr>
          <w:i w:val="false"/>
          <w:iCs w:val="false"/>
          <w:sz w:val="21"/>
          <w:szCs w:val="21"/>
        </w:rPr>
        <w:t xml:space="preserve">label leakage</w:t>
      </w:r>
      <w:r>
        <w:rPr>
          <w:i w:val="false"/>
          <w:iCs w:val="false"/>
          <w:sz w:val="21"/>
          <w:szCs w:val="21"/>
        </w:rPr>
        <w:t xml:space="preserve">, și este cauza numărul unu a modelelor care arată splendid în backtest și cad în producție. Într-o bancă, ea apare sub forme mai subtile: o variabilă actualizată după momentul deciziei, un flag de restructurare care există doar la clienții deja restructurați, o dată de raportare luată din sistem la data extragerii, nu la data deciziei.”</w:t>
      </w:r>
    </w:p>
    <w:p>
      <w:pPr>
        <w:spacing w:after="60" w:before="60"/>
        <w:ind w:left="360" w:hanging="360"/>
      </w:pPr>
      <w:r>
        <w:rPr>
          <w:b/>
          <w:bCs/>
          <w:color w:val="1A35A8"/>
          <w:spacing w:val="20"/>
          <w:sz w:val="17"/>
          <w:szCs w:val="17"/>
        </w:rPr>
        <w:t xml:space="preserve">PE ECRAN  </w:t>
      </w:r>
      <w:r>
        <w:rPr>
          <w:i w:val="false"/>
          <w:iCs w:val="false"/>
          <w:sz w:val="21"/>
          <w:szCs w:val="21"/>
        </w:rPr>
        <w:t xml:space="preserve">Comută pe definiția „capitalurile devin negative”, cu toate variabilele bifate. Antrenează.</w:t>
      </w:r>
    </w:p>
    <w:p>
      <w:pPr>
        <w:spacing w:after="60" w:before="60"/>
        <w:ind w:left="360" w:hanging="360"/>
      </w:pPr>
      <w:r>
        <w:rPr>
          <w:b/>
          <w:bCs/>
          <w:color w:val="162554"/>
          <w:spacing w:val="20"/>
          <w:sz w:val="17"/>
          <w:szCs w:val="17"/>
        </w:rPr>
        <w:t xml:space="preserve">CE SPUI  </w:t>
      </w:r>
      <w:r>
        <w:rPr>
          <w:i w:val="false"/>
          <w:iCs w:val="false"/>
          <w:sz w:val="21"/>
          <w:szCs w:val="21"/>
        </w:rPr>
        <w:t xml:space="preserve">„Iar acum partea a doua a lecției. Uitați-vă la această definiție: 0,655 pe modelul liniar, dar </w:t>
      </w:r>
      <w:r>
        <w:rPr>
          <w:b/>
          <w:bCs/>
          <w:i w:val="false"/>
          <w:iCs w:val="false"/>
          <w:sz w:val="21"/>
          <w:szCs w:val="21"/>
        </w:rPr>
        <w:t xml:space="preserve">0,857</w:t>
      </w:r>
      <w:r>
        <w:rPr>
          <w:i w:val="false"/>
          <w:iCs w:val="false"/>
          <w:sz w:val="21"/>
          <w:szCs w:val="21"/>
        </w:rPr>
        <w:t xml:space="preserve"> pe modelul de referință, cel neliniar, care e linia punctată de pe grafic. Aceleași date, aceeași etichetă, aceeași fereastră. Diferența de două sute de puncte vine din faptul că relația dintre rate și distres nu este liniară: nu conteaza dacă autonomia financiară scade de la 60 % la 50 %, conteaza enorm dacă scade de la 5 % la −5 %. Un model liniar nu poate reprezenta asta. Aici, și numai aici, machine learning-ul vă aduce ceva real.”</w:t>
      </w:r>
    </w:p>
    <w:p>
      <w:pPr>
        <w:spacing w:after="60" w:before="60"/>
        <w:ind w:left="360" w:hanging="360"/>
      </w:pPr>
      <w:r>
        <w:rPr>
          <w:b/>
          <w:bCs/>
          <w:color w:val="B0286A"/>
          <w:spacing w:val="20"/>
          <w:sz w:val="17"/>
          <w:szCs w:val="17"/>
        </w:rPr>
        <w:t xml:space="preserve">ÎNTREBARE  </w:t>
      </w:r>
      <w:r>
        <w:rPr>
          <w:i w:val="false"/>
          <w:iCs w:val="false"/>
          <w:sz w:val="21"/>
          <w:szCs w:val="21"/>
        </w:rPr>
        <w:t xml:space="preserve">„Deci care definiție duceți în comitetul de modele?”</w:t>
      </w:r>
    </w:p>
    <w:p>
      <w:pPr>
        <w:spacing w:after="60" w:before="60"/>
        <w:ind w:left="360" w:hanging="360"/>
      </w:pPr>
      <w:r>
        <w:rPr>
          <w:b/>
          <w:bCs/>
          <w:color w:val="1B6F3A"/>
          <w:spacing w:val="20"/>
          <w:sz w:val="17"/>
          <w:szCs w:val="17"/>
        </w:rPr>
        <w:t xml:space="preserve">RĂSPUNS AȘTEPTAT  </w:t>
      </w:r>
      <w:r>
        <w:rPr>
          <w:i w:val="false"/>
          <w:iCs w:val="false"/>
          <w:sz w:val="21"/>
          <w:szCs w:val="21"/>
        </w:rPr>
        <w:t xml:space="preserve">Nu există un răspuns unic corect, dar există unul apărabil: eveniment curat, verificabil, fără suprapunere cu variabilele — capitalurile negative. Cu prețul unei rate de bază mici, deci mai puține evenimente de învățat. Definiția compusă acoperă mai multe forme de distres, cu prețul zgomotului: 0,669. Definiția „nu mai depune” e cea mai apropiată de ieșirea reală din piață, dar amestecă insolvența cu firma dormantă și cu întârzierea la depunere — de aici AUC-ul de 0,603.</w:t>
      </w:r>
    </w:p>
    <w:p>
      <w:pPr>
        <w:spacing w:after="60" w:before="60"/>
        <w:ind w:left="360" w:hanging="360"/>
      </w:pPr>
      <w:r>
        <w:rPr>
          <w:b/>
          <w:bCs/>
          <w:color w:val="162554"/>
          <w:spacing w:val="20"/>
          <w:sz w:val="17"/>
          <w:szCs w:val="17"/>
        </w:rPr>
        <w:t xml:space="preserve">CE SPUI  </w:t>
      </w:r>
      <w:r>
        <w:rPr>
          <w:i w:val="false"/>
          <w:iCs w:val="false"/>
          <w:sz w:val="21"/>
          <w:szCs w:val="21"/>
        </w:rPr>
        <w:t xml:space="preserve">„Reținerea pentru luni: în orice validare de model, prima pagină pe care o citiți nu e cea cu AUC-ul. E cea cu definiția evenimentului și cu fereastra de observare. Dacă acea pagină nu există, restul raportului nu are ce să însemne.”</w:t>
      </w:r>
    </w:p>
    <w:p>
      <w:pPr>
        <w:spacing w:after="60" w:before="60"/>
        <w:ind w:left="360" w:hanging="360"/>
      </w:pPr>
      <w:r>
        <w:rPr>
          <w:b/>
          <w:bCs/>
          <w:color w:val="5B6786"/>
          <w:spacing w:val="20"/>
          <w:sz w:val="17"/>
          <w:szCs w:val="17"/>
        </w:rPr>
        <w:t xml:space="preserve">NOTĂ  </w:t>
      </w:r>
      <w:r>
        <w:rPr>
          <w:i w:val="false"/>
          <w:iCs w:val="false"/>
          <w:sz w:val="21"/>
          <w:szCs w:val="21"/>
        </w:rPr>
        <w:t xml:space="preserve">Pauză de 3 minute aici dacă grupul pare obosit. Blocul următor cere din nou atenție.</w:t>
      </w:r>
    </w:p>
    <w:p>
      <w:r>
        <w:br w:type="page"/>
      </w:r>
    </w:p>
    <w:p>
      <w:pPr>
        <w:pStyle w:val="Heading1"/>
        <w:keepNext/>
        <w:spacing w:after="120" w:before="240" w:line="240" w:lineRule="auto"/>
      </w:pPr>
      <w:r>
        <w:t xml:space="preserve">50–65 · Exercițiul 2 · Semnele și calibrarea</w:t>
      </w:r>
    </w:p>
    <w:p>
      <w:pPr>
        <w:spacing w:after="60" w:before="60"/>
        <w:ind w:left="360" w:hanging="360"/>
      </w:pPr>
      <w:r>
        <w:rPr>
          <w:b/>
          <w:bCs/>
          <w:color w:val="D9720F"/>
          <w:spacing w:val="20"/>
          <w:sz w:val="17"/>
          <w:szCs w:val="17"/>
        </w:rPr>
        <w:t xml:space="preserve">EXERCIȚIU  </w:t>
      </w:r>
      <w:r>
        <w:rPr>
          <w:i w:val="false"/>
          <w:iCs w:val="false"/>
          <w:sz w:val="21"/>
          <w:szCs w:val="21"/>
        </w:rPr>
        <w:t xml:space="preserve">„Cincisprezece minute, individual. Reveniți la definiția compusă, bifați toate variabilele, antrenați. Apoi trei lucruri. Unu: în tabelul de coeficienți, găsiți variabilele marcate cu «semn contraintuitiv» și scrieți-le. Doi: în tabelul de calibrare, comparați coloana «prezis» cu coloana «observat» pe decilele 9 și 10. Trei: căutați la pasul 4, după CUI, compania voastră de ieri și notați PD-ul modelului vostru și PD-ul modelului de referință. În chat: câte semne absurde ați avut și cele două PD-uri.”</w:t>
      </w:r>
    </w:p>
    <w:p>
      <w:pPr>
        <w:spacing w:after="60" w:before="60"/>
        <w:ind w:left="360" w:hanging="360"/>
      </w:pPr>
      <w:r>
        <w:rPr>
          <w:b/>
          <w:bCs/>
          <w:color w:val="5B6786"/>
          <w:spacing w:val="20"/>
          <w:sz w:val="17"/>
          <w:szCs w:val="17"/>
        </w:rPr>
        <w:t xml:space="preserve">NOTĂ  </w:t>
      </w:r>
      <w:r>
        <w:rPr>
          <w:i w:val="false"/>
          <w:iCs w:val="false"/>
          <w:sz w:val="21"/>
          <w:szCs w:val="21"/>
        </w:rPr>
        <w:t xml:space="preserve">Ce vor găsi, verificat: la eticheta compusă apar trei semne contraintuitive — lichiditatea curentă (+0,072), autonomia financiară (+0,019) și creșterea cifrei de afaceri (+0,060). Adică modelul spune că mai multă lichiditate, mai multe capitaluri și creștere mai mare înseamnă risc </w:t>
      </w:r>
      <w:r>
        <w:rPr>
          <w:i w:val="false"/>
          <w:iCs w:val="false"/>
          <w:sz w:val="21"/>
          <w:szCs w:val="21"/>
        </w:rPr>
        <w:t xml:space="preserve">mai mare</w:t>
      </w:r>
      <w:r>
        <w:rPr>
          <w:i w:val="false"/>
          <w:iCs w:val="false"/>
          <w:sz w:val="21"/>
          <w:szCs w:val="21"/>
        </w:rPr>
        <w:t xml:space="preserve">. La calibrare, decila 9 prezice 19,85 % și observă 24,94 % — singura decilă serios greșită; celelalte nouă sunt aproape perfecte.</w:t>
      </w:r>
    </w:p>
    <w:p>
      <w:pPr>
        <w:spacing w:after="60" w:before="60"/>
        <w:ind w:left="360" w:hanging="360"/>
      </w:pPr>
      <w:r>
        <w:rPr>
          <w:b/>
          <w:bCs/>
          <w:color w:val="5B6786"/>
          <w:spacing w:val="20"/>
          <w:sz w:val="17"/>
          <w:szCs w:val="17"/>
        </w:rPr>
        <w:t xml:space="preserve">NOTĂ  </w:t>
      </w:r>
      <w:r>
        <w:rPr>
          <w:b/>
          <w:bCs/>
          <w:i w:val="false"/>
          <w:iCs w:val="false"/>
          <w:sz w:val="21"/>
          <w:szCs w:val="21"/>
        </w:rPr>
        <w:t xml:space="preserve">[coleg]</w:t>
      </w:r>
      <w:r>
        <w:rPr>
          <w:i w:val="false"/>
          <w:iCs w:val="false"/>
          <w:sz w:val="21"/>
          <w:szCs w:val="21"/>
        </w:rPr>
        <w:t xml:space="preserve"> notează în chat: „dacă vă apar alte variabile marcate decât la colegi, e normal — depinde ce ați bifat”.</w:t>
      </w:r>
    </w:p>
    <w:p>
      <w:pPr>
        <w:pStyle w:val="Heading1"/>
        <w:keepNext/>
        <w:spacing w:after="120" w:before="240" w:line="240" w:lineRule="auto"/>
      </w:pPr>
      <w:r>
        <w:t xml:space="preserve">65–78 · Debrief 2 · Trei instrumente, o singură ordonare</w:t>
      </w:r>
    </w:p>
    <w:p>
      <w:pPr>
        <w:spacing w:after="60" w:before="60"/>
        <w:ind w:left="360" w:hanging="360"/>
      </w:pPr>
      <w:r>
        <w:rPr>
          <w:b/>
          <w:bCs/>
          <w:color w:val="1A35A8"/>
          <w:spacing w:val="20"/>
          <w:sz w:val="17"/>
          <w:szCs w:val="17"/>
        </w:rPr>
        <w:t xml:space="preserve">PE ECRAN  </w:t>
      </w:r>
      <w:r>
        <w:rPr>
          <w:i w:val="false"/>
          <w:iCs w:val="false"/>
          <w:sz w:val="21"/>
          <w:szCs w:val="21"/>
        </w:rPr>
        <w:t xml:space="preserve">Tabelul de coeficienți, cu cele trei avertismente vizibile.</w:t>
      </w:r>
    </w:p>
    <w:p>
      <w:pPr>
        <w:spacing w:after="60" w:before="60"/>
        <w:ind w:left="360" w:hanging="360"/>
      </w:pPr>
      <w:r>
        <w:rPr>
          <w:b/>
          <w:bCs/>
          <w:color w:val="162554"/>
          <w:spacing w:val="20"/>
          <w:sz w:val="17"/>
          <w:szCs w:val="17"/>
        </w:rPr>
        <w:t xml:space="preserve">CE SPUI  </w:t>
      </w:r>
      <w:r>
        <w:rPr>
          <w:i w:val="false"/>
          <w:iCs w:val="false"/>
          <w:sz w:val="21"/>
          <w:szCs w:val="21"/>
        </w:rPr>
        <w:t xml:space="preserve">„Modelul vostru are AUC 0,669 pe holdout, calibrare aproape perfectă pe nouă decile din zece — și spune că o firmă cu mai multe capitaluri proprii e mai riscantă. Care dintre cele două afirmații o credeți?”</w:t>
      </w:r>
    </w:p>
    <w:p>
      <w:pPr>
        <w:spacing w:after="60" w:before="60"/>
        <w:ind w:left="360" w:hanging="360"/>
      </w:pPr>
      <w:r>
        <w:rPr>
          <w:b/>
          <w:bCs/>
          <w:color w:val="162554"/>
          <w:spacing w:val="20"/>
          <w:sz w:val="17"/>
          <w:szCs w:val="17"/>
        </w:rPr>
        <w:t xml:space="preserve">CE SPUI  </w:t>
      </w:r>
      <w:r>
        <w:rPr>
          <w:i w:val="false"/>
          <w:iCs w:val="false"/>
          <w:sz w:val="21"/>
          <w:szCs w:val="21"/>
        </w:rPr>
        <w:t xml:space="preserve">„Cauza e cea de la minutul zece, cu oglinda. «Datorii / active» și «autonomie financiară» sunt aproape perfect corelate negativ: instrumentul vă spune corelația în panoul de variabile, este </w:t>
      </w:r>
      <w:r>
        <w:rPr>
          <w:b/>
          <w:bCs/>
          <w:i w:val="false"/>
          <w:iCs w:val="false"/>
          <w:sz w:val="21"/>
          <w:szCs w:val="21"/>
        </w:rPr>
        <w:t xml:space="preserve">−0,99</w:t>
      </w:r>
      <w:r>
        <w:rPr>
          <w:i w:val="false"/>
          <w:iCs w:val="false"/>
          <w:sz w:val="21"/>
          <w:szCs w:val="21"/>
        </w:rPr>
        <w:t xml:space="preserve">. Când două variabile spun aproape același lucru, regresia nu poate decide cui să atribuie efectul și îl împarte arbitrar, uneori cu semne inversate care se anulează reciproc. Se numește multicolinearitate. Nu strică predicția — strică interpretarea. Și în credit risc, interpretarea </w:t>
      </w:r>
      <w:r>
        <w:rPr>
          <w:i w:val="false"/>
          <w:iCs w:val="false"/>
          <w:sz w:val="21"/>
          <w:szCs w:val="21"/>
        </w:rPr>
        <w:t xml:space="preserve">este</w:t>
      </w:r>
      <w:r>
        <w:rPr>
          <w:i w:val="false"/>
          <w:iCs w:val="false"/>
          <w:sz w:val="21"/>
          <w:szCs w:val="21"/>
        </w:rPr>
        <w:t xml:space="preserve"> produsul: nu puteți scrie într-un memo «modelul spune nu» fără să spuneți de ce.”</w:t>
      </w:r>
    </w:p>
    <w:p>
      <w:pPr>
        <w:spacing w:after="60" w:before="60"/>
        <w:ind w:left="360" w:hanging="360"/>
      </w:pPr>
      <w:r>
        <w:rPr>
          <w:b/>
          <w:bCs/>
          <w:color w:val="B0286A"/>
          <w:spacing w:val="20"/>
          <w:sz w:val="17"/>
          <w:szCs w:val="17"/>
        </w:rPr>
        <w:t xml:space="preserve">ÎNTREBARE  </w:t>
      </w:r>
      <w:r>
        <w:rPr>
          <w:i w:val="false"/>
          <w:iCs w:val="false"/>
          <w:sz w:val="21"/>
          <w:szCs w:val="21"/>
        </w:rPr>
        <w:t xml:space="preserve">„Ce faceți cu un astfel de model?”</w:t>
      </w:r>
    </w:p>
    <w:p>
      <w:pPr>
        <w:spacing w:after="60" w:before="60"/>
        <w:ind w:left="360" w:hanging="360"/>
      </w:pPr>
      <w:r>
        <w:rPr>
          <w:b/>
          <w:bCs/>
          <w:color w:val="1B6F3A"/>
          <w:spacing w:val="20"/>
          <w:sz w:val="17"/>
          <w:szCs w:val="17"/>
        </w:rPr>
        <w:t xml:space="preserve">RĂSPUNS AȘTEPTAT  </w:t>
      </w:r>
      <w:r>
        <w:rPr>
          <w:i w:val="false"/>
          <w:iCs w:val="false"/>
          <w:sz w:val="21"/>
          <w:szCs w:val="21"/>
        </w:rPr>
        <w:t xml:space="preserve">Scoateți una dintre variabilele redundante și reantrenați. Fă-o pe ecran: debifează „Datorii / active”, antrenează, arată că AUC-ul se mișcă nesemnificativ, iar autonomia financiară își recapătă semnul negativ. Concluzia: un model mai mic, mai puțin impresionant, dar apărabil, e mai valoros decât unul cu o zecime mai mult AUC și semne absurde.</w:t>
      </w:r>
    </w:p>
    <w:p>
      <w:pPr>
        <w:spacing w:after="60" w:before="60"/>
        <w:ind w:left="360" w:hanging="360"/>
      </w:pPr>
      <w:r>
        <w:rPr>
          <w:b/>
          <w:bCs/>
          <w:color w:val="1A35A8"/>
          <w:spacing w:val="20"/>
          <w:sz w:val="17"/>
          <w:szCs w:val="17"/>
        </w:rPr>
        <w:t xml:space="preserve">PE ECRAN  </w:t>
      </w:r>
      <w:r>
        <w:rPr>
          <w:i w:val="false"/>
          <w:iCs w:val="false"/>
          <w:sz w:val="21"/>
          <w:szCs w:val="21"/>
        </w:rPr>
        <w:t xml:space="preserve">Tabelul de calibrare, decila 9.</w:t>
      </w:r>
    </w:p>
    <w:p>
      <w:pPr>
        <w:spacing w:after="60" w:before="60"/>
        <w:ind w:left="360" w:hanging="360"/>
      </w:pPr>
      <w:r>
        <w:rPr>
          <w:b/>
          <w:bCs/>
          <w:color w:val="162554"/>
          <w:spacing w:val="20"/>
          <w:sz w:val="17"/>
          <w:szCs w:val="17"/>
        </w:rPr>
        <w:t xml:space="preserve">CE SPUI  </w:t>
      </w:r>
      <w:r>
        <w:rPr>
          <w:i w:val="false"/>
          <w:iCs w:val="false"/>
          <w:sz w:val="21"/>
          <w:szCs w:val="21"/>
        </w:rPr>
        <w:t xml:space="preserve">„Și încă o distincție, pe care rapoartele de model o amestecă des. AUC-ul măsoară </w:t>
      </w:r>
      <w:r>
        <w:rPr>
          <w:i w:val="false"/>
          <w:iCs w:val="false"/>
          <w:sz w:val="21"/>
          <w:szCs w:val="21"/>
        </w:rPr>
        <w:t xml:space="preserve">ordonarea</w:t>
      </w:r>
      <w:r>
        <w:rPr>
          <w:i w:val="false"/>
          <w:iCs w:val="false"/>
          <w:sz w:val="21"/>
          <w:szCs w:val="21"/>
        </w:rPr>
        <w:t xml:space="preserve">: dacă iau două firme la întâmplare, una cu eveniment și una fără, cât de des le pun în ordinea corectă. Calibrarea măsoară </w:t>
      </w:r>
      <w:r>
        <w:rPr>
          <w:i w:val="false"/>
          <w:iCs w:val="false"/>
          <w:sz w:val="21"/>
          <w:szCs w:val="21"/>
        </w:rPr>
        <w:t xml:space="preserve">nivelul</w:t>
      </w:r>
      <w:r>
        <w:rPr>
          <w:i w:val="false"/>
          <w:iCs w:val="false"/>
          <w:sz w:val="21"/>
          <w:szCs w:val="21"/>
        </w:rPr>
        <w:t xml:space="preserve">: când spun 20 %, se întâmplă în 20 % din cazuri? Modelul vostru ordonează bine și, pe decila 9, subestimează: prezice 19,85 %, se întâmplă 24,94 %. Pentru un clasament de portofoliu, e suficient. Pentru provizioane sau pentru preț, nu — acolo contează nivelul, și un model necalibrat vă costă bani direct.”</w:t>
      </w:r>
    </w:p>
    <w:p>
      <w:pPr>
        <w:spacing w:after="60" w:before="60"/>
        <w:ind w:left="360" w:hanging="360"/>
      </w:pPr>
      <w:r>
        <w:rPr>
          <w:b/>
          <w:bCs/>
          <w:color w:val="1A35A8"/>
          <w:spacing w:val="20"/>
          <w:sz w:val="17"/>
          <w:szCs w:val="17"/>
        </w:rPr>
        <w:t xml:space="preserve">PE ECRAN  </w:t>
      </w:r>
      <w:r>
        <w:rPr>
          <w:i w:val="false"/>
          <w:iCs w:val="false"/>
          <w:sz w:val="21"/>
          <w:szCs w:val="21"/>
        </w:rPr>
        <w:t xml:space="preserve">Panoul „Aplică modelul pe o companie”. Caută 11607939 (Profi), apoi 2816464 (Dedeman).</w:t>
      </w:r>
    </w:p>
    <w:p>
      <w:pPr>
        <w:spacing w:after="60" w:before="60"/>
        <w:ind w:left="360" w:hanging="360"/>
      </w:pPr>
      <w:r>
        <w:rPr>
          <w:b/>
          <w:bCs/>
          <w:color w:val="162554"/>
          <w:spacing w:val="20"/>
          <w:sz w:val="17"/>
          <w:szCs w:val="17"/>
        </w:rPr>
        <w:t xml:space="preserve">CE SPUI  </w:t>
      </w:r>
      <w:r>
        <w:rPr>
          <w:i w:val="false"/>
          <w:iCs w:val="false"/>
          <w:sz w:val="21"/>
          <w:szCs w:val="21"/>
        </w:rPr>
        <w:t xml:space="preserve">„Acum comparația care închide blocul. Modelul vostru liniar: Profi 8,3 %, Dedeman 6,8 %. O diferență de un punct și jumătate — practic nu le distinge. Modelul de referință, neliniar, pe aceleași date: Profi </w:t>
      </w:r>
      <w:r>
        <w:rPr>
          <w:b/>
          <w:bCs/>
          <w:i w:val="false"/>
          <w:iCs w:val="false"/>
          <w:sz w:val="21"/>
          <w:szCs w:val="21"/>
        </w:rPr>
        <w:t xml:space="preserve">27,9 %</w:t>
      </w:r>
      <w:r>
        <w:rPr>
          <w:i w:val="false"/>
          <w:iCs w:val="false"/>
          <w:sz w:val="21"/>
          <w:szCs w:val="21"/>
        </w:rPr>
        <w:t xml:space="preserve">, Dedeman </w:t>
      </w:r>
      <w:r>
        <w:rPr>
          <w:b/>
          <w:bCs/>
          <w:i w:val="false"/>
          <w:iCs w:val="false"/>
          <w:sz w:val="21"/>
          <w:szCs w:val="21"/>
        </w:rPr>
        <w:t xml:space="preserve">2,8 %</w:t>
      </w:r>
      <w:r>
        <w:rPr>
          <w:i w:val="false"/>
          <w:iCs w:val="false"/>
          <w:sz w:val="21"/>
          <w:szCs w:val="21"/>
        </w:rPr>
        <w:t xml:space="preserve">. Un raport de zece la unu. Iar scorecardul pe care l-ați construit cu mâna la nivelul început, cu praguri din manual și ponderi alese de voi, dădea Profi E și Dedeman A. Trei instrumente complet diferite, aceeași ordonare la extreme.”</w:t>
      </w:r>
    </w:p>
    <w:p>
      <w:pPr>
        <w:spacing w:after="60" w:before="60"/>
        <w:ind w:left="360" w:hanging="360"/>
      </w:pPr>
      <w:r>
        <w:rPr>
          <w:b/>
          <w:bCs/>
          <w:color w:val="162554"/>
          <w:spacing w:val="20"/>
          <w:sz w:val="17"/>
          <w:szCs w:val="17"/>
        </w:rPr>
        <w:t xml:space="preserve">CE SPUI  </w:t>
      </w:r>
      <w:r>
        <w:rPr>
          <w:i w:val="false"/>
          <w:iCs w:val="false"/>
          <w:sz w:val="21"/>
          <w:szCs w:val="21"/>
        </w:rPr>
        <w:t xml:space="preserve">„Asta e concluzia zilei, și e una liniștitoare și neliniștitoare în același timp. Liniștitoare: judecata voastră de analist, codificată într-un scorecard simplu, prinde ce prinde și un model statistic. Neliniștitoare: niciunul dintre cele trei nu vă ajută în mijloc, acolo unde stau dosarele grele. Modelele rezolvă extremele. Mijlocul rămâne al vostru — și pentru mijloc aveți nevoie de ce vine în blocurile următoare: unde stă clientul în distribuția lui și ce ascunde felul în care raportează.”</w:t>
      </w:r>
    </w:p>
    <w:p>
      <w:pPr>
        <w:spacing w:after="60" w:before="60"/>
        <w:ind w:left="360" w:hanging="360"/>
      </w:pPr>
      <w:r>
        <w:rPr>
          <w:b/>
          <w:bCs/>
          <w:color w:val="5B6786"/>
          <w:spacing w:val="20"/>
          <w:sz w:val="17"/>
          <w:szCs w:val="17"/>
        </w:rPr>
        <w:t xml:space="preserve">NOTĂ  </w:t>
      </w:r>
      <w:r>
        <w:rPr>
          <w:i w:val="false"/>
          <w:iCs w:val="false"/>
          <w:sz w:val="21"/>
          <w:szCs w:val="21"/>
        </w:rPr>
        <w:t xml:space="preserve">Tabelul complet, dacă cineva cere alte companii: Lidl 7,1 % liniar / 4,1 % referință; Mega Image 7,8 / 3,6; Altex 7,2 / 4,4; eMAG 8,5 / 7,1; Carrefour 7,7 / 6,0; Auchan 8,1 / 9,1; Bitdefender — / 5,9. Media eșantionului: 15,1 %. Toate cele nouă sunt sub media populației, ceea ce e corect: sunt firme mari și supraviețuitoare.</w:t>
      </w:r>
    </w:p>
    <w:p>
      <w:pPr>
        <w:pStyle w:val="Heading1"/>
        <w:keepNext/>
        <w:spacing w:after="120" w:before="240" w:line="240" w:lineRule="auto"/>
      </w:pPr>
      <w:r>
        <w:t xml:space="preserve">78–80 · Închidere</w:t>
      </w:r>
    </w:p>
    <w:p>
      <w:pPr>
        <w:spacing w:after="60" w:before="60"/>
        <w:ind w:left="360" w:hanging="360"/>
      </w:pPr>
      <w:r>
        <w:rPr>
          <w:b/>
          <w:bCs/>
          <w:color w:val="162554"/>
          <w:spacing w:val="20"/>
          <w:sz w:val="17"/>
          <w:szCs w:val="17"/>
        </w:rPr>
        <w:t xml:space="preserve">CE SPUI  </w:t>
      </w:r>
      <w:r>
        <w:rPr>
          <w:i w:val="false"/>
          <w:iCs w:val="false"/>
          <w:sz w:val="21"/>
          <w:szCs w:val="21"/>
        </w:rPr>
        <w:t xml:space="preserve">„Trei întrebări, pe care le puneți de acum încolo oricărui model care vi se pune pe masă — al vostru, al unui furnizor, al unui coleg. Unu: pe ce eveniment e antrenat, și când a fost el observat față de momentul deciziei? Doi: care e populația de referință — seamănă clientul meu cu ea? Trei: ce ar trebui să fie fals ca modelul să greșească, și cum verific? Dacă la prima nu primiți un răspuns clar, celelalte două nu mai contează.”</w:t>
      </w:r>
    </w:p>
    <w:p>
      <w:pPr>
        <w:spacing w:after="60" w:before="60"/>
        <w:ind w:left="360" w:hanging="360"/>
      </w:pPr>
      <w:r>
        <w:rPr>
          <w:b/>
          <w:bCs/>
          <w:color w:val="5B6786"/>
          <w:spacing w:val="20"/>
          <w:sz w:val="17"/>
          <w:szCs w:val="17"/>
        </w:rPr>
        <w:t xml:space="preserve">NOTĂ  </w:t>
      </w:r>
      <w:r>
        <w:rPr>
          <w:b/>
          <w:bCs/>
          <w:i w:val="false"/>
          <w:iCs w:val="false"/>
          <w:sz w:val="21"/>
          <w:szCs w:val="21"/>
        </w:rPr>
        <w:t xml:space="preserve">[coleg]</w:t>
      </w:r>
      <w:r>
        <w:rPr>
          <w:i w:val="false"/>
          <w:iCs w:val="false"/>
          <w:sz w:val="21"/>
          <w:szCs w:val="21"/>
        </w:rPr>
        <w:t xml:space="preserve"> pune în chat, pentru cei care vor să continue: butonul „Exportă rezultatele (CSV)” salvează AUC-urile, coeficienții și calibrarea, iar selectorul „Restrânge antrenarea la un sector” permite antrenarea pe propriul sector — temă opțională excelentă.</w:t>
      </w:r>
    </w:p>
    <w:p>
      <w:r>
        <w:br w:type="page"/>
      </w:r>
    </w:p>
    <w:p>
      <w:pPr>
        <w:pStyle w:val="Title"/>
        <w:keepNext/>
        <w:spacing w:after="120" w:before="360" w:line="240" w:lineRule="auto"/>
      </w:pPr>
      <w:r>
        <w:t xml:space="preserve">Anexa A · Tabelul de definiții, pentru referință rapidă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9"/>
        <w:gridCol w:w="4034"/>
        <w:gridCol w:w="1452"/>
        <w:gridCol w:w="1615"/>
      </w:tblGrid>
      <w:tr>
        <w:trPr>
          <w:tblHeader/>
        </w:trPr>
        <w:tc>
          <w:tcPr>
            <w:tcW w:type="dxa" w:w="225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Variabilă</w:t>
            </w:r>
          </w:p>
        </w:tc>
        <w:tc>
          <w:tcPr>
            <w:tcW w:type="dxa" w:w="4034"/>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Formulă</w:t>
            </w:r>
          </w:p>
        </w:tc>
        <w:tc>
          <w:tcPr>
            <w:tcW w:type="dxa" w:w="145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Efect așteptat</w:t>
            </w:r>
          </w:p>
        </w:tc>
        <w:tc>
          <w:tcPr>
            <w:tcW w:type="dxa" w:w="1615"/>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Mediana eșantionului</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Lichiditate curentă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Active circulante / Datorii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1,45</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Lichiditate imediată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Numerar și conturi la bănci / Datorii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0,29</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Autonomie financiară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Capitaluri proprii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50,6 %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Datorii / active</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Datorii totale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46,6 %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Marjă netă</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Profit net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9,0 %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ROA</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Profit net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10,6 %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Rotația activelor</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Cifra de afaceri / 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1,20</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Creanțe / cifra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Creanțe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0,17</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Stocuri / cifra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Stocuri / Cifra de afaceri</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0,02</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Creșterea cifrei de afaceri</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CA(2024) / CA(2023) − 1</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mic</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6,2 %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Variația datoriilor / active</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(Datorii 2024 − Datorii 2023) / Active totale 2023</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risc mai mare</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2,9 %</w:t>
            </w:r>
          </w:p>
        </w:tc>
      </w:tr>
      <w:tr>
        <w:trPr>
          <w:tblHeader w:val="false"/>
        </w:trPr>
        <w:tc>
          <w:tcPr>
            <w:tcW w:type="dxa" w:w="2259"/>
            <w:tcMar>
              <w:top w:type="dxa" w:w="60"/>
              <w:left w:type="dxa" w:w="90"/>
              <w:bottom w:type="dxa" w:w="60"/>
              <w:right w:type="dxa" w:w="90"/>
            </w:tcMar>
          </w:tcPr>
          <w:p>
            <w:pPr>
              <w:keepNext w:val="false"/>
              <w:spacing w:after="0" w:before="0"/>
            </w:pPr>
            <w:r>
              <w:rPr>
                <w:b w:val="false"/>
                <w:bCs w:val="false"/>
                <w:color w:val="162554"/>
                <w:sz w:val="18"/>
                <w:szCs w:val="18"/>
              </w:rPr>
              <w:t xml:space="preserve">Mărimea</w:t>
            </w:r>
          </w:p>
        </w:tc>
        <w:tc>
          <w:tcPr>
            <w:tcW w:type="dxa" w:w="4034"/>
            <w:tcMar>
              <w:top w:type="dxa" w:w="60"/>
              <w:left w:type="dxa" w:w="90"/>
              <w:bottom w:type="dxa" w:w="60"/>
              <w:right w:type="dxa" w:w="90"/>
            </w:tcMar>
          </w:tcPr>
          <w:p>
            <w:pPr>
              <w:keepNext w:val="false"/>
              <w:spacing w:after="0" w:before="0"/>
            </w:pPr>
            <w:r>
              <w:rPr>
                <w:b w:val="false"/>
                <w:bCs w:val="false"/>
                <w:color w:val="162554"/>
                <w:sz w:val="18"/>
                <w:szCs w:val="18"/>
              </w:rPr>
              <w:t xml:space="preserve">log₁₀(Active totale)</w:t>
            </w:r>
          </w:p>
        </w:tc>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fără semn așteptat</w:t>
            </w:r>
          </w:p>
        </w:tc>
        <w:tc>
          <w:tcPr>
            <w:tcW w:type="dxa" w:w="1615"/>
            <w:tcMar>
              <w:top w:type="dxa" w:w="60"/>
              <w:left w:type="dxa" w:w="90"/>
              <w:bottom w:type="dxa" w:w="60"/>
              <w:right w:type="dxa" w:w="90"/>
            </w:tcMar>
          </w:tcPr>
          <w:p>
            <w:pPr>
              <w:keepNext w:val="false"/>
              <w:spacing w:after="0" w:before="0"/>
            </w:pPr>
            <w:r>
              <w:rPr>
                <w:b w:val="false"/>
                <w:bCs w:val="false"/>
                <w:color w:val="162554"/>
                <w:sz w:val="18"/>
                <w:szCs w:val="18"/>
              </w:rPr>
              <w:t xml:space="preserve">5,55</w:t>
            </w:r>
          </w:p>
        </w:tc>
      </w:tr>
    </w:tbl>
    <w:p>
      <w:pPr>
        <w:spacing w:after="80"/>
      </w:pPr>
    </w:p>
    <w:p>
      <w:pPr>
        <w:spacing w:after="100"/>
        <w:jc w:val="left"/>
      </w:pPr>
      <w:r>
        <w:t xml:space="preserve">Ratele de lichiditate au la numitor </w:t>
      </w:r>
      <w:r>
        <w:rPr>
          <w:b/>
          <w:bCs/>
        </w:rPr>
        <w:t xml:space="preserve">datoriile totale</w:t>
      </w:r>
      <w:r>
        <w:t xml:space="preserve">, pentru că datele publice nu le împart pe scadență — aceeași ipoteză conservatoare ca la nivelul început. Valorile sunt winsorizate la percentilele 1 și 99 ale populației.</w:t>
      </w:r>
    </w:p>
    <w:p>
      <w:pPr>
        <w:pStyle w:val="Title"/>
        <w:keepNext/>
        <w:spacing w:after="120" w:before="360" w:line="240" w:lineRule="auto"/>
      </w:pPr>
      <w:r>
        <w:t xml:space="preserve">Anexa B · Variante și plan de rezervă</w:t>
      </w:r>
    </w:p>
    <w:p>
      <w:pPr>
        <w:spacing w:after="100"/>
        <w:jc w:val="left"/>
      </w:pPr>
      <w:r>
        <w:rPr>
          <w:b/>
          <w:bCs/>
        </w:rPr>
        <w:t xml:space="preserve">Ai rămas fără timp.</w:t>
      </w:r>
      <w:r>
        <w:t xml:space="preserve"> Taie exercițiul 2 și fă-l ca demonstrație de cinci minute pe ecranul tău: arăți cele trei semne absurde, corelația de −0,99, decila 9, și treci direct la comparația celor nouă companii. Ce nu se taie niciodată este debriefingul de la 35–50: capcana etichetei este singurul moment din bloc care nu poate fi recuperat din fișă.</w:t>
      </w:r>
    </w:p>
    <w:p>
      <w:pPr>
        <w:spacing w:after="100"/>
        <w:jc w:val="left"/>
      </w:pPr>
      <w:r>
        <w:rPr>
          <w:b/>
          <w:bCs/>
        </w:rPr>
        <w:t xml:space="preserve">Internetul cade la cineva.</w:t>
      </w:r>
      <w:r>
        <w:t xml:space="preserve"> Eșantionul de 4,3 MB se descarcă o singură dată și rămâne în cache. Cine nu reușește să încarce pagina urmărește pe ecranul partajat și completează fișa din cifrele de acolo; exercițiul rămâne valabil, doar că devine pe hârtie.</w:t>
      </w:r>
    </w:p>
    <w:p>
      <w:pPr>
        <w:spacing w:after="100"/>
        <w:jc w:val="left"/>
      </w:pPr>
      <w:r>
        <w:rPr>
          <w:b/>
          <w:bCs/>
        </w:rPr>
        <w:t xml:space="preserve">Cineva antrenează cu o singură variabilă bifată.</w:t>
      </w:r>
      <w:r>
        <w:t xml:space="preserve"> Instrumentul refuză și cere minimum două. Este un moment bun de folosit: „de ce credeți că nu vă lasă?” — pentru că un model cu o variabilă nu e model, e un prag, adică exact ce am făcut la nivelul început.</w:t>
      </w:r>
    </w:p>
    <w:p>
      <w:pPr>
        <w:spacing w:after="100"/>
        <w:jc w:val="left"/>
      </w:pPr>
      <w:r>
        <w:rPr>
          <w:b/>
          <w:bCs/>
        </w:rPr>
        <w:t xml:space="preserve">Cineva întreabă de ce nu antrenăm modelul neliniar în browser.</w:t>
      </w:r>
      <w:r>
        <w:t xml:space="preserve"> Răspunsul onest: ar fi un proiect de inginerie, nu de didactică, și ar dura minute pe un laptop obișnuit. Scorurile de referință sunt precalculate, ca medie a cinci antrenări pe eșantioane diferite, toate din </w:t>
      </w:r>
      <w:r>
        <w:rPr>
          <w:b/>
          <w:bCs/>
        </w:rPr>
        <w:t xml:space="preserve">afara</w:t>
      </w:r>
      <w:r>
        <w:t xml:space="preserve"> eșantionului pe care îl antrenați voi — deci AUC-ul de referință este onest, nu umflat.</w:t>
      </w:r>
    </w:p>
    <w:p>
      <w:pPr>
        <w:spacing w:after="100"/>
        <w:jc w:val="left"/>
      </w:pPr>
      <w:r>
        <w:rPr>
          <w:b/>
          <w:bCs/>
        </w:rPr>
        <w:t xml:space="preserve">Cineva vrea să știe de ce PD-urile diferă de la o rulare a modelului de referință la alta.</w:t>
      </w:r>
      <w:r>
        <w:t xml:space="preserve"> Pentru că modelele neliniare sunt instabile la reantrenare: cu alt eșantion, Profi trece de la 35 % la 27 %, în timp ce AUC-ul rămâne 0,73. Ordonarea e stabilă, cifra nu. De aceea se livrează media a cinci antrenări, și de aceea un PD individual dintr-un model neliniar nu se pune într-un memo ca număr exact.</w:t>
      </w:r>
    </w:p>
    <w:p>
      <w:pPr>
        <w:spacing w:after="100"/>
        <w:jc w:val="left"/>
      </w:pPr>
      <w:r>
        <w:rPr>
          <w:i/>
          <w:iCs/>
        </w:rPr>
        <w:t xml:space="preserve">Material didactic. Datele provin din seturile deschise publicate de Ministerul Finanțelor pe data.gov.ro. PD-urile calculate în acest instrument se bazează pe un eveniment indirect, construit din date contabile, și nu sunt comparabile cu probabilitățile de default ale unui model intern de bancă.</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6"/>
        <w:sz w:val="16"/>
        <w:szCs w:val="16"/>
      </w:rPr>
      <w:t xml:space="preserve">Speaking notes · Laboratorul de model · Nivel avansat · pagina </w:t>
    </w:r>
    <w:r>
      <w:rPr>
        <w:color w:val="5B67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554"/>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line="240" w:lineRule="auto"/>
    </w:pPr>
    <w:rPr>
      <w:rFonts w:ascii="Georgia" w:cs="Georgia" w:eastAsia="Georgia" w:hAnsi="Georgia"/>
      <w:b/>
      <w:bCs/>
      <w:color w:val="1A35A8"/>
      <w:sz w:val="44"/>
      <w:szCs w:val="44"/>
    </w:rPr>
  </w:style>
  <w:style w:type="paragraph" w:styleId="Heading1">
    <w:name w:val="Heading 1"/>
    <w:basedOn w:val="Normal"/>
    <w:next w:val="Normal"/>
    <w:qFormat/>
    <w:pPr>
      <w:spacing w:after="120" w:before="360" w:line="240" w:lineRule="auto"/>
      <w:outlineLvl w:val="0"/>
    </w:pPr>
    <w:rPr>
      <w:rFonts w:ascii="Georgia" w:cs="Georgia" w:eastAsia="Georgia" w:hAnsi="Georgia"/>
      <w:b/>
      <w:bCs/>
      <w:color w:val="1A35A8"/>
      <w:sz w:val="32"/>
      <w:szCs w:val="32"/>
    </w:rPr>
  </w:style>
  <w:style w:type="paragraph" w:styleId="Heading2">
    <w:name w:val="Heading 2"/>
    <w:basedOn w:val="Normal"/>
    <w:next w:val="Normal"/>
    <w:qFormat/>
    <w:pPr>
      <w:spacing w:after="100" w:before="280" w:line="240" w:lineRule="auto"/>
      <w:outlineLvl w:val="1"/>
    </w:pPr>
    <w:rPr>
      <w:rFonts w:ascii="Georgia" w:cs="Georgia" w:eastAsia="Georgia" w:hAnsi="Georgia"/>
      <w:b/>
      <w:bCs/>
      <w:color w:val="162554"/>
      <w:sz w:val="26"/>
      <w:szCs w:val="26"/>
    </w:rPr>
  </w:style>
  <w:style w:type="paragraph" w:styleId="Heading3">
    <w:name w:val="Heading 3"/>
    <w:basedOn w:val="Normal"/>
    <w:next w:val="Normal"/>
    <w:qFormat/>
    <w:pPr>
      <w:spacing w:after="80" w:before="220"/>
      <w:outlineLvl w:val="2"/>
    </w:pPr>
    <w:rPr>
      <w:b/>
      <w:bCs/>
      <w:caps/>
      <w:color w:val="6F9A12"/>
      <w:spacing w:val="1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notes – Ateliere AI, Analiză financiară</dc:title>
  <dc:creator>Cezar Chirila</dc:creator>
  <cp:lastModifiedBy>Un-named</cp:lastModifiedBy>
  <cp:revision>1</cp:revision>
  <dcterms:created xsi:type="dcterms:W3CDTF">2026-09-17T20:58:00.405Z</dcterms:created>
  <dcterms:modified xsi:type="dcterms:W3CDTF">2026-09-17T20:58:00.413Z</dcterms:modified>
</cp:coreProperties>
</file>

<file path=docProps/custom.xml><?xml version="1.0" encoding="utf-8"?>
<Properties xmlns="http://schemas.openxmlformats.org/officeDocument/2006/custom-properties" xmlns:vt="http://schemas.openxmlformats.org/officeDocument/2006/docPropsVTypes"/>
</file>