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spacing w:after="120" w:before="360" w:line="240" w:lineRule="auto"/>
      </w:pPr>
      <w:r>
        <w:t xml:space="preserve">Metodologia instrumentelor · nivel avansat</w:t>
      </w:r>
    </w:p>
    <w:p>
      <w:pPr>
        <w:spacing w:after="100"/>
        <w:jc w:val="left"/>
      </w:pPr>
      <w:r>
        <w:t xml:space="preserve">Analiză financiară și instrumente AI · documentație tehnică pentru participanți · aplicația de la https://cezar-constantin.github.io/analiza_financiara_cu_ai_avansat/</w:t>
      </w:r>
    </w:p>
    <w:p>
      <w:pPr>
        <w:pBdr>
          <w:left w:val="single" w:color="D9720F" w:sz="18" w:space="8"/>
        </w:pBdr>
        <w:shd w:fill="FFF4E6" w:color="auto" w:val="clear"/>
        <w:spacing w:after="40" w:before="40"/>
        <w:ind w:left="200"/>
      </w:pPr>
      <w:r>
        <w:rPr>
          <w:b/>
          <w:bCs/>
          <w:color w:val="162554"/>
          <w:sz w:val="20"/>
          <w:szCs w:val="20"/>
        </w:rPr>
        <w:t xml:space="preserve">Cum se citește documentul.</w:t>
      </w:r>
      <w:r>
        <w:rPr>
          <w:color w:val="162554"/>
          <w:sz w:val="20"/>
          <w:szCs w:val="20"/>
        </w:rPr>
        <w:t xml:space="preserve"> Fiecare model este explicat pe trei niveluri, în această ordine: </w:t>
      </w:r>
      <w:r>
        <w:rPr>
          <w:b/>
          <w:bCs/>
          <w:color w:val="162554"/>
          <w:sz w:val="20"/>
          <w:szCs w:val="20"/>
        </w:rPr>
        <w:t xml:space="preserve">intuiția</w:t>
      </w:r>
      <w:r>
        <w:rPr>
          <w:color w:val="162554"/>
          <w:sz w:val="20"/>
          <w:szCs w:val="20"/>
        </w:rPr>
        <w:t xml:space="preserve"> (ce face, în limbaj obișnuit), </w:t>
      </w:r>
      <w:r>
        <w:rPr>
          <w:b/>
          <w:bCs/>
          <w:color w:val="162554"/>
          <w:sz w:val="20"/>
          <w:szCs w:val="20"/>
        </w:rPr>
        <w:t xml:space="preserve">formula</w:t>
      </w:r>
      <w:r>
        <w:rPr>
          <w:color w:val="162554"/>
          <w:sz w:val="20"/>
          <w:szCs w:val="20"/>
        </w:rPr>
        <w:t xml:space="preserve"> (ce calculează efectiv codul, cu fiecare simbol explicat) și </w:t>
      </w:r>
      <w:r>
        <w:rPr>
          <w:b/>
          <w:bCs/>
          <w:color w:val="162554"/>
          <w:sz w:val="20"/>
          <w:szCs w:val="20"/>
        </w:rPr>
        <w:t xml:space="preserve">unde citești mai departe</w:t>
      </w:r>
      <w:r>
        <w:rPr>
          <w:color w:val="162554"/>
          <w:sz w:val="20"/>
          <w:szCs w:val="20"/>
        </w:rPr>
        <w:t xml:space="preserve"> (referința bibliografică din anexa B). Dacă sari peste formule, textul rămâne coerent. Matematica folosită nu depășește logaritmul, exponențiala și înmulțirea de matrici; nu este nevoie de statistică formală.</w:t>
      </w:r>
    </w:p>
    <w:p>
      <w:pPr>
        <w:pBdr>
          <w:left w:val="single" w:color="D9720F" w:sz="18" w:space="8"/>
        </w:pBdr>
        <w:shd w:fill="FFF4E6" w:color="auto" w:val="clear"/>
        <w:spacing w:after="40" w:before="40"/>
        <w:ind w:left="200"/>
      </w:pPr>
    </w:p>
    <w:p>
      <w:pPr>
        <w:pBdr>
          <w:left w:val="single" w:color="D9720F" w:sz="18" w:space="8"/>
        </w:pBdr>
        <w:shd w:fill="FFF4E6" w:color="auto" w:val="clear"/>
        <w:spacing w:after="40" w:before="40"/>
        <w:ind w:left="200"/>
      </w:pPr>
      <w:r>
        <w:rPr>
          <w:color w:val="162554"/>
          <w:sz w:val="20"/>
          <w:szCs w:val="20"/>
        </w:rPr>
        <w:t xml:space="preserve">Tot ce urmează descrie implementarea reală, nu o versiune idealizată a ei. Unde am făcut o simplificare didactică, este marcată ca atare.</w:t>
      </w:r>
    </w:p>
    <w:p>
      <w:pPr>
        <w:pStyle w:val="Heading1"/>
        <w:keepNext/>
        <w:spacing w:after="120" w:before="240" w:line="240" w:lineRule="auto"/>
      </w:pPr>
      <w:r>
        <w:t xml:space="preserve">Cuprins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rPr>
          <w:tblHeader/>
        </w:trPr>
        <w:tc>
          <w:tcPr>
            <w:tcW w:type="dxa" w:w="1560"/>
            <w:shd w:fill="EDF3FF" w:color="auto" w:val="clear"/>
            <w:tcMar>
              <w:top w:type="dxa" w:w="60"/>
              <w:left w:type="dxa" w:w="90"/>
              <w:bottom w:type="dxa" w:w="60"/>
              <w:right w:type="dxa" w:w="90"/>
            </w:tcMar>
          </w:tcPr>
          <w:p>
            <w:pPr>
              <w:keepNext w:val="false"/>
              <w:spacing w:after="0" w:before="0"/>
            </w:pPr>
            <w:r>
              <w:rPr>
                <w:b/>
                <w:bCs/>
                <w:color w:val="1A35A8"/>
                <w:sz w:val="18"/>
                <w:szCs w:val="18"/>
              </w:rPr>
              <w:t xml:space="preserve">Partea</w:t>
            </w:r>
          </w:p>
        </w:tc>
        <w:tc>
          <w:tcPr>
            <w:tcW w:type="dxa" w:w="7800"/>
            <w:shd w:fill="EDF3FF" w:color="auto" w:val="clear"/>
            <w:tcMar>
              <w:top w:type="dxa" w:w="60"/>
              <w:left w:type="dxa" w:w="90"/>
              <w:bottom w:type="dxa" w:w="60"/>
              <w:right w:type="dxa" w:w="90"/>
            </w:tcMar>
          </w:tcPr>
          <w:p>
            <w:pPr>
              <w:keepNext w:val="false"/>
              <w:spacing w:after="0" w:before="0"/>
            </w:pPr>
            <w:r>
              <w:rPr>
                <w:b/>
                <w:bCs/>
                <w:color w:val="1A35A8"/>
                <w:sz w:val="18"/>
                <w:szCs w:val="18"/>
              </w:rPr>
              <w:t xml:space="preserve">Conținut</w:t>
            </w:r>
          </w:p>
        </w:tc>
      </w:tr>
      <w:tr>
        <w:trPr>
          <w:tblHeader w:val="false"/>
        </w:trPr>
        <w:tc>
          <w:tcPr>
            <w:tcW w:type="dxa" w:w="1560"/>
            <w:tcMar>
              <w:top w:type="dxa" w:w="60"/>
              <w:left w:type="dxa" w:w="90"/>
              <w:bottom w:type="dxa" w:w="60"/>
              <w:right w:type="dxa" w:w="90"/>
            </w:tcMar>
          </w:tcPr>
          <w:p>
            <w:pPr>
              <w:keepNext w:val="false"/>
              <w:spacing w:after="0" w:before="0"/>
            </w:pPr>
            <w:r>
              <w:rPr>
                <w:b w:val="false"/>
                <w:bCs w:val="false"/>
                <w:color w:val="162554"/>
                <w:sz w:val="18"/>
                <w:szCs w:val="18"/>
              </w:rPr>
              <w:t xml:space="preserve">I</w:t>
            </w:r>
          </w:p>
        </w:tc>
        <w:tc>
          <w:tcPr>
            <w:tcW w:type="dxa" w:w="7800"/>
            <w:tcMar>
              <w:top w:type="dxa" w:w="60"/>
              <w:left w:type="dxa" w:w="90"/>
              <w:bottom w:type="dxa" w:w="60"/>
              <w:right w:type="dxa" w:w="90"/>
            </w:tcMar>
          </w:tcPr>
          <w:p>
            <w:pPr>
              <w:keepNext w:val="false"/>
              <w:spacing w:after="0" w:before="0"/>
            </w:pPr>
            <w:r>
              <w:rPr>
                <w:b w:val="false"/>
                <w:bCs w:val="false"/>
                <w:color w:val="162554"/>
                <w:sz w:val="18"/>
                <w:szCs w:val="18"/>
              </w:rPr>
              <w:t xml:space="preserve">Datele: sursa, ce conțin, ce lipsește, cum sunt pregătite</w:t>
            </w:r>
          </w:p>
        </w:tc>
      </w:tr>
      <w:tr>
        <w:trPr>
          <w:tblHeader w:val="false"/>
        </w:trPr>
        <w:tc>
          <w:tcPr>
            <w:tcW w:type="dxa" w:w="1560"/>
            <w:tcMar>
              <w:top w:type="dxa" w:w="60"/>
              <w:left w:type="dxa" w:w="90"/>
              <w:bottom w:type="dxa" w:w="60"/>
              <w:right w:type="dxa" w:w="90"/>
            </w:tcMar>
          </w:tcPr>
          <w:p>
            <w:pPr>
              <w:keepNext w:val="false"/>
              <w:spacing w:after="0" w:before="0"/>
            </w:pPr>
            <w:r>
              <w:rPr>
                <w:b w:val="false"/>
                <w:bCs w:val="false"/>
                <w:color w:val="162554"/>
                <w:sz w:val="18"/>
                <w:szCs w:val="18"/>
              </w:rPr>
              <w:t xml:space="preserve">II</w:t>
            </w:r>
          </w:p>
        </w:tc>
        <w:tc>
          <w:tcPr>
            <w:tcW w:type="dxa" w:w="7800"/>
            <w:tcMar>
              <w:top w:type="dxa" w:w="60"/>
              <w:left w:type="dxa" w:w="90"/>
              <w:bottom w:type="dxa" w:w="60"/>
              <w:right w:type="dxa" w:w="90"/>
            </w:tcMar>
          </w:tcPr>
          <w:p>
            <w:pPr>
              <w:keepNext w:val="false"/>
              <w:spacing w:after="0" w:before="0"/>
            </w:pPr>
            <w:r>
              <w:rPr>
                <w:b w:val="false"/>
                <w:bCs w:val="false"/>
                <w:color w:val="162554"/>
                <w:sz w:val="18"/>
                <w:szCs w:val="18"/>
              </w:rPr>
              <w:t xml:space="preserve">Modelul de risc: evenimentul, variabilele, regresia logistică, AUC, calibrarea, modelul de referință</w:t>
            </w:r>
          </w:p>
        </w:tc>
      </w:tr>
      <w:tr>
        <w:trPr>
          <w:tblHeader w:val="false"/>
        </w:trPr>
        <w:tc>
          <w:tcPr>
            <w:tcW w:type="dxa" w:w="1560"/>
            <w:tcMar>
              <w:top w:type="dxa" w:w="60"/>
              <w:left w:type="dxa" w:w="90"/>
              <w:bottom w:type="dxa" w:w="60"/>
              <w:right w:type="dxa" w:w="90"/>
            </w:tcMar>
          </w:tcPr>
          <w:p>
            <w:pPr>
              <w:keepNext w:val="false"/>
              <w:spacing w:after="0" w:before="0"/>
            </w:pPr>
            <w:r>
              <w:rPr>
                <w:b w:val="false"/>
                <w:bCs w:val="false"/>
                <w:color w:val="162554"/>
                <w:sz w:val="18"/>
                <w:szCs w:val="18"/>
              </w:rPr>
              <w:t xml:space="preserve">III</w:t>
            </w:r>
          </w:p>
        </w:tc>
        <w:tc>
          <w:tcPr>
            <w:tcW w:type="dxa" w:w="7800"/>
            <w:tcMar>
              <w:top w:type="dxa" w:w="60"/>
              <w:left w:type="dxa" w:w="90"/>
              <w:bottom w:type="dxa" w:w="60"/>
              <w:right w:type="dxa" w:w="90"/>
            </w:tcMar>
          </w:tcPr>
          <w:p>
            <w:pPr>
              <w:keepNext w:val="false"/>
              <w:spacing w:after="0" w:before="0"/>
            </w:pPr>
            <w:r>
              <w:rPr>
                <w:b w:val="false"/>
                <w:bCs w:val="false"/>
                <w:color w:val="162554"/>
                <w:sz w:val="18"/>
                <w:szCs w:val="18"/>
              </w:rPr>
              <w:t xml:space="preserve">Percentilele pe sector: funcția de cuantile și grupul de referință</w:t>
            </w:r>
          </w:p>
        </w:tc>
      </w:tr>
      <w:tr>
        <w:trPr>
          <w:tblHeader w:val="false"/>
        </w:trPr>
        <w:tc>
          <w:tcPr>
            <w:tcW w:type="dxa" w:w="1560"/>
            <w:tcMar>
              <w:top w:type="dxa" w:w="60"/>
              <w:left w:type="dxa" w:w="90"/>
              <w:bottom w:type="dxa" w:w="60"/>
              <w:right w:type="dxa" w:w="90"/>
            </w:tcMar>
          </w:tcPr>
          <w:p>
            <w:pPr>
              <w:keepNext w:val="false"/>
              <w:spacing w:after="0" w:before="0"/>
            </w:pPr>
            <w:r>
              <w:rPr>
                <w:b w:val="false"/>
                <w:bCs w:val="false"/>
                <w:color w:val="162554"/>
                <w:sz w:val="18"/>
                <w:szCs w:val="18"/>
              </w:rPr>
              <w:t xml:space="preserve">IV</w:t>
            </w:r>
          </w:p>
        </w:tc>
        <w:tc>
          <w:tcPr>
            <w:tcW w:type="dxa" w:w="7800"/>
            <w:tcMar>
              <w:top w:type="dxa" w:w="60"/>
              <w:left w:type="dxa" w:w="90"/>
              <w:bottom w:type="dxa" w:w="60"/>
              <w:right w:type="dxa" w:w="90"/>
            </w:tcMar>
          </w:tcPr>
          <w:p>
            <w:pPr>
              <w:keepNext w:val="false"/>
              <w:spacing w:after="0" w:before="0"/>
            </w:pPr>
            <w:r>
              <w:rPr>
                <w:b w:val="false"/>
                <w:bCs w:val="false"/>
                <w:color w:val="162554"/>
                <w:sz w:val="18"/>
                <w:szCs w:val="18"/>
              </w:rPr>
              <w:t xml:space="preserve">Laboratorul de anomalii: plauzibilitate, discontinuitatea la zero, Benford, distanța Mahalanobis robustă</w:t>
            </w:r>
          </w:p>
        </w:tc>
      </w:tr>
      <w:tr>
        <w:trPr>
          <w:tblHeader w:val="false"/>
        </w:trPr>
        <w:tc>
          <w:tcPr>
            <w:tcW w:type="dxa" w:w="1560"/>
            <w:tcMar>
              <w:top w:type="dxa" w:w="60"/>
              <w:left w:type="dxa" w:w="90"/>
              <w:bottom w:type="dxa" w:w="60"/>
              <w:right w:type="dxa" w:w="90"/>
            </w:tcMar>
          </w:tcPr>
          <w:p>
            <w:pPr>
              <w:keepNext w:val="false"/>
              <w:spacing w:after="0" w:before="0"/>
            </w:pPr>
            <w:r>
              <w:rPr>
                <w:b w:val="false"/>
                <w:bCs w:val="false"/>
                <w:color w:val="162554"/>
                <w:sz w:val="18"/>
                <w:szCs w:val="18"/>
              </w:rPr>
              <w:t xml:space="preserve">V</w:t>
            </w:r>
          </w:p>
        </w:tc>
        <w:tc>
          <w:tcPr>
            <w:tcW w:type="dxa" w:w="7800"/>
            <w:tcMar>
              <w:top w:type="dxa" w:w="60"/>
              <w:left w:type="dxa" w:w="90"/>
              <w:bottom w:type="dxa" w:w="60"/>
              <w:right w:type="dxa" w:w="90"/>
            </w:tcMar>
          </w:tcPr>
          <w:p>
            <w:pPr>
              <w:keepNext w:val="false"/>
              <w:spacing w:after="0" w:before="0"/>
            </w:pPr>
            <w:r>
              <w:rPr>
                <w:b w:val="false"/>
                <w:bCs w:val="false"/>
                <w:color w:val="162554"/>
                <w:sz w:val="18"/>
                <w:szCs w:val="18"/>
              </w:rPr>
              <w:t xml:space="preserve">Ce nu face aplicația</w:t>
            </w:r>
          </w:p>
        </w:tc>
      </w:tr>
      <w:tr>
        <w:trPr>
          <w:tblHeader w:val="false"/>
        </w:trPr>
        <w:tc>
          <w:tcPr>
            <w:tcW w:type="dxa" w:w="1560"/>
            <w:tcMar>
              <w:top w:type="dxa" w:w="60"/>
              <w:left w:type="dxa" w:w="90"/>
              <w:bottom w:type="dxa" w:w="60"/>
              <w:right w:type="dxa" w:w="90"/>
            </w:tcMar>
          </w:tcPr>
          <w:p>
            <w:pPr>
              <w:keepNext w:val="false"/>
              <w:spacing w:after="0" w:before="0"/>
            </w:pPr>
            <w:r>
              <w:rPr>
                <w:b w:val="false"/>
                <w:bCs w:val="false"/>
                <w:color w:val="162554"/>
                <w:sz w:val="18"/>
                <w:szCs w:val="18"/>
              </w:rPr>
              <w:t xml:space="preserve">Anexa A</w:t>
            </w:r>
          </w:p>
        </w:tc>
        <w:tc>
          <w:tcPr>
            <w:tcW w:type="dxa" w:w="7800"/>
            <w:tcMar>
              <w:top w:type="dxa" w:w="60"/>
              <w:left w:type="dxa" w:w="90"/>
              <w:bottom w:type="dxa" w:w="60"/>
              <w:right w:type="dxa" w:w="90"/>
            </w:tcMar>
          </w:tcPr>
          <w:p>
            <w:pPr>
              <w:keepNext w:val="false"/>
              <w:spacing w:after="0" w:before="0"/>
            </w:pPr>
            <w:r>
              <w:rPr>
                <w:b w:val="false"/>
                <w:bCs w:val="false"/>
                <w:color w:val="162554"/>
                <w:sz w:val="18"/>
                <w:szCs w:val="18"/>
              </w:rPr>
              <w:t xml:space="preserve">Notațiile folosite</w:t>
            </w:r>
          </w:p>
        </w:tc>
      </w:tr>
      <w:tr>
        <w:trPr>
          <w:tblHeader w:val="false"/>
        </w:trPr>
        <w:tc>
          <w:tcPr>
            <w:tcW w:type="dxa" w:w="1560"/>
            <w:tcMar>
              <w:top w:type="dxa" w:w="60"/>
              <w:left w:type="dxa" w:w="90"/>
              <w:bottom w:type="dxa" w:w="60"/>
              <w:right w:type="dxa" w:w="90"/>
            </w:tcMar>
          </w:tcPr>
          <w:p>
            <w:pPr>
              <w:keepNext w:val="false"/>
              <w:spacing w:after="0" w:before="0"/>
            </w:pPr>
            <w:r>
              <w:rPr>
                <w:b w:val="false"/>
                <w:bCs w:val="false"/>
                <w:color w:val="162554"/>
                <w:sz w:val="18"/>
                <w:szCs w:val="18"/>
              </w:rPr>
              <w:t xml:space="preserve">Anexa B</w:t>
            </w:r>
          </w:p>
        </w:tc>
        <w:tc>
          <w:tcPr>
            <w:tcW w:type="dxa" w:w="7800"/>
            <w:tcMar>
              <w:top w:type="dxa" w:w="60"/>
              <w:left w:type="dxa" w:w="90"/>
              <w:bottom w:type="dxa" w:w="60"/>
              <w:right w:type="dxa" w:w="90"/>
            </w:tcMar>
          </w:tcPr>
          <w:p>
            <w:pPr>
              <w:keepNext w:val="false"/>
              <w:spacing w:after="0" w:before="0"/>
            </w:pPr>
            <w:r>
              <w:rPr>
                <w:b w:val="false"/>
                <w:bCs w:val="false"/>
                <w:color w:val="162554"/>
                <w:sz w:val="18"/>
                <w:szCs w:val="18"/>
              </w:rPr>
              <w:t xml:space="preserve">Bibliografie comentată, pe teme</w:t>
            </w:r>
          </w:p>
        </w:tc>
      </w:tr>
      <w:tr>
        <w:trPr>
          <w:tblHeader w:val="false"/>
        </w:trPr>
        <w:tc>
          <w:tcPr>
            <w:tcW w:type="dxa" w:w="1560"/>
            <w:tcMar>
              <w:top w:type="dxa" w:w="60"/>
              <w:left w:type="dxa" w:w="90"/>
              <w:bottom w:type="dxa" w:w="60"/>
              <w:right w:type="dxa" w:w="90"/>
            </w:tcMar>
          </w:tcPr>
          <w:p>
            <w:pPr>
              <w:keepNext w:val="false"/>
              <w:spacing w:after="0" w:before="0"/>
            </w:pPr>
            <w:r>
              <w:rPr>
                <w:b w:val="false"/>
                <w:bCs w:val="false"/>
                <w:color w:val="162554"/>
                <w:sz w:val="18"/>
                <w:szCs w:val="18"/>
              </w:rPr>
              <w:t xml:space="preserve">Anexa C</w:t>
            </w:r>
          </w:p>
        </w:tc>
        <w:tc>
          <w:tcPr>
            <w:tcW w:type="dxa" w:w="7800"/>
            <w:tcMar>
              <w:top w:type="dxa" w:w="60"/>
              <w:left w:type="dxa" w:w="90"/>
              <w:bottom w:type="dxa" w:w="60"/>
              <w:right w:type="dxa" w:w="90"/>
            </w:tcMar>
          </w:tcPr>
          <w:p>
            <w:pPr>
              <w:keepNext w:val="false"/>
              <w:spacing w:after="0" w:before="0"/>
            </w:pPr>
            <w:r>
              <w:rPr>
                <w:b w:val="false"/>
                <w:bCs w:val="false"/>
                <w:color w:val="162554"/>
                <w:sz w:val="18"/>
                <w:szCs w:val="18"/>
              </w:rPr>
              <w:t xml:space="preserve">Puntea către nivelul început: scorecardul și Altman Z''</w:t>
            </w:r>
          </w:p>
        </w:tc>
      </w:tr>
    </w:tbl>
    <w:p>
      <w:pPr>
        <w:spacing w:after="80"/>
      </w:pPr>
    </w:p>
    <w:p>
      <w:r>
        <w:br w:type="page"/>
      </w:r>
    </w:p>
    <w:p>
      <w:pPr>
        <w:pStyle w:val="Title"/>
        <w:keepNext/>
        <w:spacing w:after="120" w:before="360" w:line="240" w:lineRule="auto"/>
      </w:pPr>
      <w:r>
        <w:t xml:space="preserve">Partea I · Datele</w:t>
      </w:r>
    </w:p>
    <w:p>
      <w:pPr>
        <w:pStyle w:val="Heading1"/>
        <w:keepNext/>
        <w:spacing w:after="120" w:before="240" w:line="240" w:lineRule="auto"/>
      </w:pPr>
      <w:r>
        <w:t xml:space="preserve">I.1 Sursa și conținutul</w:t>
      </w:r>
    </w:p>
    <w:p>
      <w:pPr>
        <w:spacing w:after="100"/>
        <w:jc w:val="left"/>
      </w:pPr>
      <w:r>
        <w:t xml:space="preserve">Toate cele trei instrumente citesc din același set: situațiile financiare anuale depuse la Ministerul Finanțelor și publicate ca date deschise pe data.gov.ro, licență CC-BY 4.0, exercițiile </w:t>
      </w:r>
      <w:r>
        <w:rPr>
          <w:b/>
          <w:bCs/>
        </w:rPr>
        <w:t xml:space="preserve">2023, 2024 și 2025</w:t>
      </w:r>
      <w:r>
        <w:t xml:space="preserve">. Indexul cuprinde </w:t>
      </w:r>
      <w:r>
        <w:rPr>
          <w:b/>
          <w:bCs/>
        </w:rPr>
        <w:t xml:space="preserve">1.122.150 de firme</w:t>
      </w:r>
      <w:r>
        <w:t xml:space="preserve">, identificate prin CUI, fiecare cu până la trei ani de raportări și cu codul CAEN al activității principale.</w:t>
      </w:r>
    </w:p>
    <w:p>
      <w:pPr>
        <w:spacing w:after="100"/>
        <w:jc w:val="left"/>
      </w:pPr>
      <w:r>
        <w:t xml:space="preserve">Fiecare an conține douăzeci de poziții raportate, în această ordine: active imobilizate, active circulante, stocuri, creanțe, casa și conturi la bănci, cheltuieli în avans, datorii (total), venituri în avans, provizioane, capitaluri proprii, capital subscris vărsat, patrimoniul regiei, cifra de afaceri netă, venituri totale, cheltuieli totale, profit brut, pierdere brută, profit net, pierdere netă, număr mediu de salariați.</w:t>
      </w:r>
    </w:p>
    <w:p>
      <w:pPr>
        <w:spacing w:after="100"/>
        <w:jc w:val="left"/>
      </w:pPr>
      <w:r>
        <w:t xml:space="preserve">Mărimile derivate se calculează, nu se citesc: activele totale sunt suma dintre active imobilizate, active circulante și cheltuieli în avans; rezultatul net este profitul net minus pierderea netă (una dintre ele este întotdeauna zero); rezultatul brut, analog.</w:t>
      </w:r>
    </w:p>
    <w:p>
      <w:pPr>
        <w:pStyle w:val="Heading1"/>
        <w:keepNext/>
        <w:spacing w:after="120" w:before="240" w:line="240" w:lineRule="auto"/>
      </w:pPr>
      <w:r>
        <w:t xml:space="preserve">I.2 Ce lipsește, și de ce contează</w:t>
      </w:r>
    </w:p>
    <w:p>
      <w:pPr>
        <w:spacing w:after="100"/>
        <w:jc w:val="left"/>
      </w:pPr>
      <w:r>
        <w:t xml:space="preserve">Trei absențe determină limitele tuturor modelelor din aplicație:</w:t>
      </w:r>
    </w:p>
    <w:p>
      <w:pPr>
        <w:pStyle w:val="ListParagraph"/>
        <w:numPr>
          <w:ilvl w:val="0"/>
          <w:numId w:val="2"/>
        </w:numPr>
        <w:spacing w:after="60"/>
      </w:pPr>
      <w:r>
        <w:rPr>
          <w:b/>
          <w:bCs/>
        </w:rPr>
        <w:t xml:space="preserve">Scadența datoriilor.</w:t>
      </w:r>
      <w:r>
        <w:t xml:space="preserve"> Setul public raportează datoriile ca un singur total, fără împărțirea pe termen scurt și lung. Toate ratele de lichiditate din aplicație au deci la numitor </w:t>
      </w:r>
      <w:r>
        <w:rPr>
          <w:b/>
          <w:bCs/>
        </w:rPr>
        <w:t xml:space="preserve">datoriile totale</w:t>
      </w:r>
      <w:r>
        <w:t xml:space="preserve"> — aceeași ipoteză conservatoare pe care la nivelul început o alegeați cu cursorul pus pe 100 %.</w:t>
      </w:r>
    </w:p>
    <w:p>
      <w:pPr>
        <w:pStyle w:val="ListParagraph"/>
        <w:numPr>
          <w:ilvl w:val="0"/>
          <w:numId w:val="2"/>
        </w:numPr>
        <w:spacing w:after="60"/>
      </w:pPr>
      <w:r>
        <w:rPr>
          <w:b/>
          <w:bCs/>
        </w:rPr>
        <w:t xml:space="preserve">Dobânzile și EBITDA.</w:t>
      </w:r>
      <w:r>
        <w:t xml:space="preserve"> Nu există în formular. Prin urmare acoperirea serviciului datoriei — raportul dintre fluxul de numerar disponibil și ratele plus dobânzile, cel mai predictiv indicator din arsenalul unei bănci — nu poate fi calculat în niciunul din cele trei instrumente.</w:t>
      </w:r>
    </w:p>
    <w:p>
      <w:pPr>
        <w:pStyle w:val="ListParagraph"/>
        <w:numPr>
          <w:ilvl w:val="0"/>
          <w:numId w:val="2"/>
        </w:numPr>
        <w:spacing w:after="60"/>
      </w:pPr>
      <w:r>
        <w:rPr>
          <w:b/>
          <w:bCs/>
        </w:rPr>
        <w:t xml:space="preserve">Evenimentul de default.</w:t>
      </w:r>
      <w:r>
        <w:t xml:space="preserve"> Nu există nicio coloană „a intrat în neplată”. Consecințele acestei absențe ocupă întreaga secțiune II.1.</w:t>
      </w:r>
    </w:p>
    <w:p>
      <w:pPr>
        <w:pStyle w:val="Heading1"/>
        <w:keepNext/>
        <w:spacing w:after="120" w:before="240" w:line="240" w:lineRule="auto"/>
      </w:pPr>
      <w:r>
        <w:t xml:space="preserve">I.3 Ferestrele temporale</w:t>
      </w:r>
    </w:p>
    <w:p>
      <w:pPr>
        <w:spacing w:after="100"/>
        <w:jc w:val="left"/>
      </w:pPr>
      <w:r>
        <w:t xml:space="preserve">Regula care structurează modelul de risc: </w:t>
      </w:r>
      <w:r>
        <w:rPr>
          <w:b/>
          <w:bCs/>
        </w:rPr>
        <w:t xml:space="preserve">variabilele se calculează din exercițiul 2024</w:t>
      </w:r>
      <w:r>
        <w:t xml:space="preserve"> (nivelurile) </w:t>
      </w:r>
      <w:r>
        <w:rPr>
          <w:b/>
          <w:bCs/>
        </w:rPr>
        <w:t xml:space="preserve">plus dinamica 2023 → 2024</w:t>
      </w:r>
      <w:r>
        <w:t xml:space="preserve">, iar </w:t>
      </w:r>
      <w:r>
        <w:rPr>
          <w:b/>
          <w:bCs/>
        </w:rPr>
        <w:t xml:space="preserve">evenimentul se observă în 2025</w:t>
      </w:r>
      <w:r>
        <w:t xml:space="preserve">. Cele două ferestre nu se suprapun.</w:t>
      </w:r>
    </w:p>
    <w:p>
      <w:pPr>
        <w:spacing w:after="100"/>
        <w:jc w:val="left"/>
      </w:pPr>
      <w:r>
        <w:t xml:space="preserve">Motivul nu este estetic. Un model construit ca să fie util trebuie antrenat în condițiile în care va fi folosit: analistul are situațiile financiare până în anul </w:t>
      </w:r>
      <w:r>
        <w:rPr>
          <w:i/>
          <w:iCs/>
        </w:rPr>
        <w:t xml:space="preserve">t</w:t>
      </w:r>
      <w:r>
        <w:t xml:space="preserve"> și decide pentru anul </w:t>
      </w:r>
      <w:r>
        <w:rPr>
          <w:i/>
          <w:iCs/>
        </w:rPr>
        <w:t xml:space="preserve">t + 1</w:t>
      </w:r>
      <w:r>
        <w:t xml:space="preserve">. Orice informație din fereastra evenimentului care se strecoară în variabile produce un model care pare excelent în testare și eșuează în producție — vedeți secțiunea II.9.</w:t>
      </w:r>
    </w:p>
    <w:p>
      <w:pPr>
        <w:pStyle w:val="Heading1"/>
        <w:keepNext/>
        <w:spacing w:after="120" w:before="240" w:line="240" w:lineRule="auto"/>
      </w:pPr>
      <w:r>
        <w:t xml:space="preserve">I.4 Populația de lucru și eșantionul livrat</w:t>
      </w:r>
    </w:p>
    <w:p>
      <w:pPr>
        <w:spacing w:after="100"/>
        <w:jc w:val="left"/>
      </w:pPr>
      <w:r>
        <w:t xml:space="preserve">Din cele 1.122.150 de firme, modelul de risc folosește doar pe cele care satisfac simultan: au depus și în 2023 și în 2024, au active totale de cel puțin 50.000 lei în 2024, au cifră de afaceri strict pozitivă în 2024 și au toate cele douăsprezece variabile calculabile. Rămân </w:t>
      </w:r>
      <w:r>
        <w:rPr>
          <w:b/>
          <w:bCs/>
        </w:rPr>
        <w:t xml:space="preserve">500.483 de firme</w:t>
      </w:r>
      <w:r>
        <w:t xml:space="preserve">.</w:t>
      </w:r>
    </w:p>
    <w:p>
      <w:pPr>
        <w:spacing w:after="100"/>
        <w:jc w:val="left"/>
      </w:pPr>
      <w:r>
        <w:t xml:space="preserve">Din acestea, aplicația livrează în browser un </w:t>
      </w:r>
      <w:r>
        <w:rPr>
          <w:b/>
          <w:bCs/>
        </w:rPr>
        <w:t xml:space="preserve">eșantion aleator simplu de 120.000 de firme</w:t>
      </w:r>
      <w:r>
        <w:t xml:space="preserve"> (sămânță fixă, deci același eșantion pentru toți participanții). Restul, 380.483 de firme, formează rezerva pe care este antrenat modelul de referință — vezi II.10. Cele două seturi sunt disjuncte prin construcție.</w:t>
      </w:r>
    </w:p>
    <w:p>
      <w:pPr>
        <w:spacing w:after="100"/>
        <w:jc w:val="left"/>
      </w:pPr>
      <w:r>
        <w:t xml:space="preserve">Ratele evenimentului în eșantionul livrat coincid cu cele din populație în limita erorii de eșantionare: 8,12 % față de 8,07 % pentru prima definiție, 15,03 % față de 15,02 % pentru cea compusă. Verificarea aceasta nu e cosmetică: dacă ratele ar diferi semnificativ, eșantionarea ar fi greșită.</w:t>
      </w:r>
    </w:p>
    <w:p>
      <w:pPr>
        <w:pStyle w:val="Heading1"/>
        <w:keepNext/>
        <w:spacing w:after="120" w:before="240" w:line="240" w:lineRule="auto"/>
      </w:pPr>
      <w:r>
        <w:t xml:space="preserve">I.5 Cuantificarea pe 16 biți</w:t>
      </w:r>
    </w:p>
    <w:p>
      <w:pPr>
        <w:spacing w:after="100"/>
        <w:jc w:val="left"/>
      </w:pPr>
      <w:r>
        <w:t xml:space="preserve">Cele douăsprezece variabile ale celor 120.000 de firme ar ocupa 5,8 MB în virgulă mobilă pe 32 de biți. Pentru a reduce descărcarea, fiecare valoare este stocată ca întreg fără semn pe 16 biți, după transformarea liniară</w:t>
      </w:r>
    </w:p>
    <w:p>
      <w:pPr>
        <w:spacing w:after="100"/>
        <w:jc w:val="left"/>
      </w:pPr>
      <w:r>
        <w:rPr>
          <w:rFonts w:ascii="Consolas" w:cs="Consolas" w:eastAsia="Consolas" w:hAnsi="Consolas"/>
          <w:sz w:val="20"/>
          <w:szCs w:val="20"/>
        </w:rPr>
        <w:t xml:space="preserve">q = round[ (x − lo) / (hi − lo) × 65535 ]</w:t>
      </w:r>
    </w:p>
    <w:p>
      <w:pPr>
        <w:spacing w:after="100"/>
        <w:jc w:val="left"/>
      </w:pPr>
      <w:r>
        <w:t xml:space="preserve">unde </w:t>
      </w:r>
      <w:r>
        <w:rPr>
          <w:rFonts w:ascii="Consolas" w:cs="Consolas" w:eastAsia="Consolas" w:hAnsi="Consolas"/>
          <w:sz w:val="20"/>
          <w:szCs w:val="20"/>
        </w:rPr>
        <w:t xml:space="preserve">lo</w:t>
      </w:r>
      <w:r>
        <w:t xml:space="preserve"> și </w:t>
      </w:r>
      <w:r>
        <w:rPr>
          <w:rFonts w:ascii="Consolas" w:cs="Consolas" w:eastAsia="Consolas" w:hAnsi="Consolas"/>
          <w:sz w:val="20"/>
          <w:szCs w:val="20"/>
        </w:rPr>
        <w:t xml:space="preserve">hi</w:t>
      </w:r>
      <w:r>
        <w:t xml:space="preserve"> sunt percentilele 1 și 99 ale variabilei în populație. În browser se aplică transformarea inversă. Pasul de discretizare este </w:t>
      </w:r>
      <w:r>
        <w:rPr>
          <w:rFonts w:ascii="Consolas" w:cs="Consolas" w:eastAsia="Consolas" w:hAnsi="Consolas"/>
          <w:sz w:val="20"/>
          <w:szCs w:val="20"/>
        </w:rPr>
        <w:t xml:space="preserve">(hi − lo) / 65535</w:t>
      </w:r>
      <w:r>
        <w:t xml:space="preserve">, adică o eroare relativă de ordinul 10^(−5) pe intervalul util — cu trei ordine de mărime sub zgomotul datelor contabile. Fișierul rezultat are 4,3 MB comprimat.</w:t>
      </w:r>
    </w:p>
    <w:p>
      <w:r>
        <w:br w:type="page"/>
      </w:r>
    </w:p>
    <w:p>
      <w:pPr>
        <w:pStyle w:val="Title"/>
        <w:keepNext/>
        <w:spacing w:after="120" w:before="360" w:line="240" w:lineRule="auto"/>
      </w:pPr>
      <w:r>
        <w:t xml:space="preserve">Partea II · Modelul de risc</w:t>
      </w:r>
    </w:p>
    <w:p>
      <w:pPr>
        <w:pStyle w:val="Heading1"/>
        <w:keepNext/>
        <w:spacing w:after="120" w:before="240" w:line="240" w:lineRule="auto"/>
      </w:pPr>
      <w:r>
        <w:t xml:space="preserve">II.1 Problema care nu are soluție curată: evenimentul</w:t>
      </w:r>
    </w:p>
    <w:p>
      <w:pPr>
        <w:spacing w:after="100"/>
        <w:jc w:val="left"/>
      </w:pPr>
      <w:r>
        <w:rPr>
          <w:b/>
          <w:bCs/>
        </w:rPr>
        <w:t xml:space="preserve">Aceasta este cea mai importantă secțiune a documentului.</w:t>
      </w:r>
    </w:p>
    <w:p>
      <w:pPr>
        <w:spacing w:after="100"/>
        <w:jc w:val="left"/>
      </w:pPr>
      <w:r>
        <w:t xml:space="preserve">Un model de probabilitate de default estimează șansa ca un eveniment definit să se producă într-un orizont definit. În practica bancară, evenimentul este </w:t>
      </w:r>
      <w:r>
        <w:rPr>
          <w:b/>
          <w:bCs/>
        </w:rPr>
        <w:t xml:space="preserve">definiția reglementată a default-ului</w:t>
      </w:r>
      <w:r>
        <w:t xml:space="preserve">: în esență, întârziere la plată de peste 90 de zile pe o expunere semnificativă, sau improbabilitatea de a plăti — articolul 178 din Regulamentul (UE) 575/2013, detaliat în ghidul ABE privind aplicarea definiției de default.</w:t>
      </w:r>
    </w:p>
    <w:p>
      <w:pPr>
        <w:spacing w:after="100"/>
        <w:jc w:val="left"/>
      </w:pPr>
      <w:r>
        <w:t xml:space="preserve">În datele publice, acest eveniment nu există și nu poate fi reconstituit. Ce avem sunt umbre contabile ale lui. Aplicația oferă cinci, iar alegerea între ele este exercițiul central al atelierului: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66"/>
        <w:gridCol w:w="5912"/>
        <w:gridCol w:w="1182"/>
      </w:tblGrid>
      <w:tr>
        <w:trPr>
          <w:tblHeader/>
        </w:trPr>
        <w:tc>
          <w:tcPr>
            <w:tcW w:type="dxa" w:w="2266"/>
            <w:shd w:fill="EDF3FF" w:color="auto" w:val="clear"/>
            <w:tcMar>
              <w:top w:type="dxa" w:w="60"/>
              <w:left w:type="dxa" w:w="90"/>
              <w:bottom w:type="dxa" w:w="60"/>
              <w:right w:type="dxa" w:w="90"/>
            </w:tcMar>
          </w:tcPr>
          <w:p>
            <w:pPr>
              <w:keepNext/>
              <w:spacing w:after="0" w:before="0"/>
            </w:pPr>
            <w:r>
              <w:rPr>
                <w:b/>
                <w:bCs/>
                <w:color w:val="1A35A8"/>
                <w:sz w:val="18"/>
                <w:szCs w:val="18"/>
              </w:rPr>
              <w:t xml:space="preserve">Definiția</w:t>
            </w:r>
          </w:p>
        </w:tc>
        <w:tc>
          <w:tcPr>
            <w:tcW w:type="dxa" w:w="5912"/>
            <w:shd w:fill="EDF3FF" w:color="auto" w:val="clear"/>
            <w:tcMar>
              <w:top w:type="dxa" w:w="60"/>
              <w:left w:type="dxa" w:w="90"/>
              <w:bottom w:type="dxa" w:w="60"/>
              <w:right w:type="dxa" w:w="90"/>
            </w:tcMar>
          </w:tcPr>
          <w:p>
            <w:pPr>
              <w:keepNext/>
              <w:spacing w:after="0" w:before="0"/>
            </w:pPr>
            <w:r>
              <w:rPr>
                <w:b/>
                <w:bCs/>
                <w:color w:val="1A35A8"/>
                <w:sz w:val="18"/>
                <w:szCs w:val="18"/>
              </w:rPr>
              <w:t xml:space="preserve">Regula exactă</w:t>
            </w:r>
          </w:p>
        </w:tc>
        <w:tc>
          <w:tcPr>
            <w:tcW w:type="dxa" w:w="1182"/>
            <w:shd w:fill="EDF3FF" w:color="auto" w:val="clear"/>
            <w:tcMar>
              <w:top w:type="dxa" w:w="60"/>
              <w:left w:type="dxa" w:w="90"/>
              <w:bottom w:type="dxa" w:w="60"/>
              <w:right w:type="dxa" w:w="90"/>
            </w:tcMar>
          </w:tcPr>
          <w:p>
            <w:pPr>
              <w:keepNext/>
              <w:spacing w:after="0" w:before="0"/>
            </w:pPr>
            <w:r>
              <w:rPr>
                <w:b/>
                <w:bCs/>
                <w:color w:val="1A35A8"/>
                <w:sz w:val="18"/>
                <w:szCs w:val="18"/>
              </w:rPr>
              <w:t xml:space="preserve">Rata de bază</w:t>
            </w:r>
          </w:p>
        </w:tc>
      </w:tr>
      <w:tr>
        <w:trPr>
          <w:tblHeader w:val="false"/>
        </w:trPr>
        <w:tc>
          <w:tcPr>
            <w:tcW w:type="dxa" w:w="2266"/>
            <w:tcMar>
              <w:top w:type="dxa" w:w="60"/>
              <w:left w:type="dxa" w:w="90"/>
              <w:bottom w:type="dxa" w:w="60"/>
              <w:right w:type="dxa" w:w="90"/>
            </w:tcMar>
          </w:tcPr>
          <w:p>
            <w:pPr>
              <w:keepNext/>
              <w:spacing w:after="0" w:before="0"/>
            </w:pPr>
            <w:r>
              <w:rPr>
                <w:b w:val="false"/>
                <w:bCs w:val="false"/>
                <w:color w:val="162554"/>
                <w:sz w:val="18"/>
                <w:szCs w:val="18"/>
              </w:rPr>
              <w:t xml:space="preserve">A · nu mai depune</w:t>
            </w:r>
          </w:p>
        </w:tc>
        <w:tc>
          <w:tcPr>
            <w:tcW w:type="dxa" w:w="5912"/>
            <w:tcMar>
              <w:top w:type="dxa" w:w="60"/>
              <w:left w:type="dxa" w:w="90"/>
              <w:bottom w:type="dxa" w:w="60"/>
              <w:right w:type="dxa" w:w="90"/>
            </w:tcMar>
          </w:tcPr>
          <w:p>
            <w:pPr>
              <w:keepNext/>
              <w:spacing w:after="0" w:before="0"/>
            </w:pPr>
            <w:r>
              <w:rPr>
                <w:b w:val="false"/>
                <w:bCs w:val="false"/>
                <w:color w:val="162554"/>
                <w:sz w:val="18"/>
                <w:szCs w:val="18"/>
              </w:rPr>
              <w:t xml:space="preserve">a depus în 2023 și 2024, nu a depus în 2025</w:t>
            </w:r>
          </w:p>
        </w:tc>
        <w:tc>
          <w:tcPr>
            <w:tcW w:type="dxa" w:w="1182"/>
            <w:tcMar>
              <w:top w:type="dxa" w:w="60"/>
              <w:left w:type="dxa" w:w="90"/>
              <w:bottom w:type="dxa" w:w="60"/>
              <w:right w:type="dxa" w:w="90"/>
            </w:tcMar>
          </w:tcPr>
          <w:p>
            <w:pPr>
              <w:keepNext/>
              <w:spacing w:after="0" w:before="0"/>
            </w:pPr>
            <w:r>
              <w:rPr>
                <w:b w:val="false"/>
                <w:bCs w:val="false"/>
                <w:color w:val="162554"/>
                <w:sz w:val="18"/>
                <w:szCs w:val="18"/>
              </w:rPr>
              <w:t xml:space="preserve">8,12 %</w:t>
            </w:r>
          </w:p>
        </w:tc>
      </w:tr>
      <w:tr>
        <w:trPr>
          <w:tblHeader w:val="false"/>
        </w:trPr>
        <w:tc>
          <w:tcPr>
            <w:tcW w:type="dxa" w:w="2266"/>
            <w:tcMar>
              <w:top w:type="dxa" w:w="60"/>
              <w:left w:type="dxa" w:w="90"/>
              <w:bottom w:type="dxa" w:w="60"/>
              <w:right w:type="dxa" w:w="90"/>
            </w:tcMar>
          </w:tcPr>
          <w:p>
            <w:pPr>
              <w:keepNext/>
              <w:spacing w:after="0" w:before="0"/>
            </w:pPr>
            <w:r>
              <w:rPr>
                <w:b w:val="false"/>
                <w:bCs w:val="false"/>
                <w:color w:val="162554"/>
                <w:sz w:val="18"/>
                <w:szCs w:val="18"/>
              </w:rPr>
              <w:t xml:space="preserve">B · capitaluri negative</w:t>
            </w:r>
          </w:p>
        </w:tc>
        <w:tc>
          <w:tcPr>
            <w:tcW w:type="dxa" w:w="5912"/>
            <w:tcMar>
              <w:top w:type="dxa" w:w="60"/>
              <w:left w:type="dxa" w:w="90"/>
              <w:bottom w:type="dxa" w:w="60"/>
              <w:right w:type="dxa" w:w="90"/>
            </w:tcMar>
          </w:tcPr>
          <w:p>
            <w:pPr>
              <w:keepNext/>
              <w:spacing w:after="0" w:before="0"/>
            </w:pPr>
            <w:r>
              <w:rPr>
                <w:b w:val="false"/>
                <w:bCs w:val="false"/>
                <w:color w:val="162554"/>
                <w:sz w:val="18"/>
                <w:szCs w:val="18"/>
              </w:rPr>
              <w:t xml:space="preserve">capitaluri proprii ≥ 0 în 2024 și &lt; 0 în 2025</w:t>
            </w:r>
          </w:p>
        </w:tc>
        <w:tc>
          <w:tcPr>
            <w:tcW w:type="dxa" w:w="1182"/>
            <w:tcMar>
              <w:top w:type="dxa" w:w="60"/>
              <w:left w:type="dxa" w:w="90"/>
              <w:bottom w:type="dxa" w:w="60"/>
              <w:right w:type="dxa" w:w="90"/>
            </w:tcMar>
          </w:tcPr>
          <w:p>
            <w:pPr>
              <w:keepNext/>
              <w:spacing w:after="0" w:before="0"/>
            </w:pPr>
            <w:r>
              <w:rPr>
                <w:b w:val="false"/>
                <w:bCs w:val="false"/>
                <w:color w:val="162554"/>
                <w:sz w:val="18"/>
                <w:szCs w:val="18"/>
              </w:rPr>
              <w:t xml:space="preserve">3,85 %</w:t>
            </w:r>
          </w:p>
        </w:tc>
      </w:tr>
      <w:tr>
        <w:trPr>
          <w:tblHeader w:val="false"/>
        </w:trPr>
        <w:tc>
          <w:tcPr>
            <w:tcW w:type="dxa" w:w="2266"/>
            <w:tcMar>
              <w:top w:type="dxa" w:w="60"/>
              <w:left w:type="dxa" w:w="90"/>
              <w:bottom w:type="dxa" w:w="60"/>
              <w:right w:type="dxa" w:w="90"/>
            </w:tcMar>
          </w:tcPr>
          <w:p>
            <w:pPr>
              <w:keepNext/>
              <w:spacing w:after="0" w:before="0"/>
            </w:pPr>
            <w:r>
              <w:rPr>
                <w:b w:val="false"/>
                <w:bCs w:val="false"/>
                <w:color w:val="162554"/>
                <w:sz w:val="18"/>
                <w:szCs w:val="18"/>
              </w:rPr>
              <w:t xml:space="preserve">C · pierdere repetată</w:t>
            </w:r>
          </w:p>
        </w:tc>
        <w:tc>
          <w:tcPr>
            <w:tcW w:type="dxa" w:w="5912"/>
            <w:tcMar>
              <w:top w:type="dxa" w:w="60"/>
              <w:left w:type="dxa" w:w="90"/>
              <w:bottom w:type="dxa" w:w="60"/>
              <w:right w:type="dxa" w:w="90"/>
            </w:tcMar>
          </w:tcPr>
          <w:p>
            <w:pPr>
              <w:keepNext/>
              <w:spacing w:after="0" w:before="0"/>
            </w:pPr>
            <w:r>
              <w:rPr>
                <w:b w:val="false"/>
                <w:bCs w:val="false"/>
                <w:color w:val="162554"/>
                <w:sz w:val="18"/>
                <w:szCs w:val="18"/>
              </w:rPr>
              <w:t xml:space="preserve">rezultat net &lt; 0 în 2024 </w:t>
            </w:r>
            <w:r>
              <w:rPr>
                <w:b w:val="false"/>
                <w:bCs w:val="false"/>
                <w:color w:val="162554"/>
                <w:sz w:val="18"/>
                <w:szCs w:val="18"/>
              </w:rPr>
              <w:t xml:space="preserve">și</w:t>
            </w:r>
            <w:r>
              <w:rPr>
                <w:b w:val="false"/>
                <w:bCs w:val="false"/>
                <w:color w:val="162554"/>
                <w:sz w:val="18"/>
                <w:szCs w:val="18"/>
              </w:rPr>
              <w:t xml:space="preserve"> în 2025</w:t>
            </w:r>
          </w:p>
        </w:tc>
        <w:tc>
          <w:tcPr>
            <w:tcW w:type="dxa" w:w="1182"/>
            <w:tcMar>
              <w:top w:type="dxa" w:w="60"/>
              <w:left w:type="dxa" w:w="90"/>
              <w:bottom w:type="dxa" w:w="60"/>
              <w:right w:type="dxa" w:w="90"/>
            </w:tcMar>
          </w:tcPr>
          <w:p>
            <w:pPr>
              <w:keepNext/>
              <w:spacing w:after="0" w:before="0"/>
            </w:pPr>
            <w:r>
              <w:rPr>
                <w:b w:val="false"/>
                <w:bCs w:val="false"/>
                <w:color w:val="162554"/>
                <w:sz w:val="18"/>
                <w:szCs w:val="18"/>
              </w:rPr>
              <w:t xml:space="preserve">12,62 %</w:t>
            </w:r>
          </w:p>
        </w:tc>
      </w:tr>
      <w:tr>
        <w:trPr>
          <w:tblHeader w:val="false"/>
        </w:trPr>
        <w:tc>
          <w:tcPr>
            <w:tcW w:type="dxa" w:w="2266"/>
            <w:tcMar>
              <w:top w:type="dxa" w:w="60"/>
              <w:left w:type="dxa" w:w="90"/>
              <w:bottom w:type="dxa" w:w="60"/>
              <w:right w:type="dxa" w:w="90"/>
            </w:tcMar>
          </w:tcPr>
          <w:p>
            <w:pPr>
              <w:keepNext/>
              <w:spacing w:after="0" w:before="0"/>
            </w:pPr>
            <w:r>
              <w:rPr>
                <w:b w:val="false"/>
                <w:bCs w:val="false"/>
                <w:color w:val="162554"/>
                <w:sz w:val="18"/>
                <w:szCs w:val="18"/>
              </w:rPr>
              <w:t xml:space="preserve">D · erodare de capital</w:t>
            </w:r>
          </w:p>
        </w:tc>
        <w:tc>
          <w:tcPr>
            <w:tcW w:type="dxa" w:w="5912"/>
            <w:tcMar>
              <w:top w:type="dxa" w:w="60"/>
              <w:left w:type="dxa" w:w="90"/>
              <w:bottom w:type="dxa" w:w="60"/>
              <w:right w:type="dxa" w:w="90"/>
            </w:tcMar>
          </w:tcPr>
          <w:p>
            <w:pPr>
              <w:keepNext/>
              <w:spacing w:after="0" w:before="0"/>
            </w:pPr>
            <w:r>
              <w:rPr>
                <w:b w:val="false"/>
                <w:bCs w:val="false"/>
                <w:color w:val="162554"/>
                <w:sz w:val="18"/>
                <w:szCs w:val="18"/>
              </w:rPr>
              <w:t xml:space="preserve">rezultat net &lt; 0 în 2025 și pierderea depășește 50 % din capitalurile de la 2024</w:t>
            </w:r>
          </w:p>
        </w:tc>
        <w:tc>
          <w:tcPr>
            <w:tcW w:type="dxa" w:w="1182"/>
            <w:tcMar>
              <w:top w:type="dxa" w:w="60"/>
              <w:left w:type="dxa" w:w="90"/>
              <w:bottom w:type="dxa" w:w="60"/>
              <w:right w:type="dxa" w:w="90"/>
            </w:tcMar>
          </w:tcPr>
          <w:p>
            <w:pPr>
              <w:keepNext/>
              <w:spacing w:after="0" w:before="0"/>
            </w:pPr>
            <w:r>
              <w:rPr>
                <w:b w:val="false"/>
                <w:bCs w:val="false"/>
                <w:color w:val="162554"/>
                <w:sz w:val="18"/>
                <w:szCs w:val="18"/>
              </w:rPr>
              <w:t xml:space="preserve">13,31 %</w:t>
            </w:r>
          </w:p>
        </w:tc>
      </w:tr>
      <w:tr>
        <w:trPr>
          <w:tblHeader w:val="false"/>
        </w:trPr>
        <w:tc>
          <w:tcPr>
            <w:tcW w:type="dxa" w:w="2266"/>
            <w:tcMar>
              <w:top w:type="dxa" w:w="60"/>
              <w:left w:type="dxa" w:w="90"/>
              <w:bottom w:type="dxa" w:w="60"/>
              <w:right w:type="dxa" w:w="90"/>
            </w:tcMar>
          </w:tcPr>
          <w:p>
            <w:pPr>
              <w:keepNext w:val="false"/>
              <w:spacing w:after="0" w:before="0"/>
            </w:pPr>
            <w:r>
              <w:rPr>
                <w:b w:val="false"/>
                <w:bCs w:val="false"/>
                <w:color w:val="162554"/>
                <w:sz w:val="18"/>
                <w:szCs w:val="18"/>
              </w:rPr>
              <w:t xml:space="preserve">E · compus</w:t>
            </w:r>
          </w:p>
        </w:tc>
        <w:tc>
          <w:tcPr>
            <w:tcW w:type="dxa" w:w="5912"/>
            <w:tcMar>
              <w:top w:type="dxa" w:w="60"/>
              <w:left w:type="dxa" w:w="90"/>
              <w:bottom w:type="dxa" w:w="60"/>
              <w:right w:type="dxa" w:w="90"/>
            </w:tcMar>
          </w:tcPr>
          <w:p>
            <w:pPr>
              <w:keepNext w:val="false"/>
              <w:spacing w:after="0" w:before="0"/>
            </w:pPr>
            <w:r>
              <w:rPr>
                <w:b w:val="false"/>
                <w:bCs w:val="false"/>
                <w:color w:val="162554"/>
                <w:sz w:val="18"/>
                <w:szCs w:val="18"/>
              </w:rPr>
              <w:t xml:space="preserve">A sau B sau (C și cifra de afaceri 2025 sub 50 % din cea din 2024)</w:t>
            </w:r>
          </w:p>
        </w:tc>
        <w:tc>
          <w:tcPr>
            <w:tcW w:type="dxa" w:w="1182"/>
            <w:tcMar>
              <w:top w:type="dxa" w:w="60"/>
              <w:left w:type="dxa" w:w="90"/>
              <w:bottom w:type="dxa" w:w="60"/>
              <w:right w:type="dxa" w:w="90"/>
            </w:tcMar>
          </w:tcPr>
          <w:p>
            <w:pPr>
              <w:keepNext w:val="false"/>
              <w:spacing w:after="0" w:before="0"/>
            </w:pPr>
            <w:r>
              <w:rPr>
                <w:b w:val="false"/>
                <w:bCs w:val="false"/>
                <w:color w:val="162554"/>
                <w:sz w:val="18"/>
                <w:szCs w:val="18"/>
              </w:rPr>
              <w:t xml:space="preserve">15,03 %</w:t>
            </w:r>
          </w:p>
        </w:tc>
      </w:tr>
    </w:tbl>
    <w:p>
      <w:pPr>
        <w:spacing w:after="80"/>
      </w:pPr>
    </w:p>
    <w:p>
      <w:pPr>
        <w:spacing w:after="100"/>
        <w:jc w:val="left"/>
      </w:pPr>
      <w:r>
        <w:t xml:space="preserve">Fiecare are un defect care se vede în rezultate. </w:t>
      </w:r>
      <w:r>
        <w:rPr>
          <w:b/>
          <w:bCs/>
        </w:rPr>
        <w:t xml:space="preserve">A</w:t>
      </w:r>
      <w:r>
        <w:t xml:space="preserve"> amestecă insolvența cu firma dormantă și cu simpla întârziere la depunere, deci este zgomotoasă: modelul ajunge la AUC 0,603. </w:t>
      </w:r>
      <w:r>
        <w:rPr>
          <w:b/>
          <w:bCs/>
        </w:rPr>
        <w:t xml:space="preserve">C</w:t>
      </w:r>
      <w:r>
        <w:t xml:space="preserve"> conține jumătate din eveniment în variabile (marja netă din 2024 a unei firme cu pierdere în 2024 este negativă), deci umflă artificial performanța la 0,927. </w:t>
      </w:r>
      <w:r>
        <w:rPr>
          <w:b/>
          <w:bCs/>
        </w:rPr>
        <w:t xml:space="preserve">B</w:t>
      </w:r>
      <w:r>
        <w:t xml:space="preserve"> este singura curată în sens temporal, verificabilă din bilanț, dar are rata de bază cea mai mică, deci cele mai puține evenimente de învățat.</w:t>
      </w:r>
    </w:p>
    <w:p>
      <w:pPr>
        <w:spacing w:after="100"/>
        <w:jc w:val="left"/>
      </w:pPr>
      <w:r>
        <w:t xml:space="preserve">Concluzia practică, valabilă în afara atelierului: în validarea oricărui model de rating, prima pagină de citit nu este cea cu AUC-ul, ci cea cu definiția evenimentului și fereastra de observare.</w:t>
      </w:r>
    </w:p>
    <w:p>
      <w:pPr>
        <w:pBdr>
          <w:left w:val="single" w:color="D9720F" w:sz="18" w:space="8"/>
        </w:pBdr>
        <w:shd w:fill="FFF4E6" w:color="auto" w:val="clear"/>
        <w:spacing w:after="40" w:before="40"/>
        <w:ind w:left="200"/>
      </w:pPr>
      <w:r>
        <w:rPr>
          <w:b/>
          <w:bCs/>
          <w:color w:val="162554"/>
          <w:sz w:val="20"/>
          <w:szCs w:val="20"/>
        </w:rPr>
        <w:t xml:space="preserve">Citește mai departe:</w:t>
      </w:r>
      <w:r>
        <w:rPr>
          <w:color w:val="162554"/>
          <w:sz w:val="20"/>
          <w:szCs w:val="20"/>
        </w:rPr>
        <w:t xml:space="preserve"> Ohlson (1980) este primul model de faliment estimat prin regresie logistică și discută explicit definiția evenimentului; Beaver (1966) este studiul fondator pe rate financiare. Pentru definiția reglementată: CRR art. 178 și EBA/GL/2016/07. Vezi anexa B, tema 1.</w:t>
      </w:r>
    </w:p>
    <w:p>
      <w:pPr>
        <w:pStyle w:val="Heading1"/>
        <w:keepNext/>
        <w:spacing w:after="120" w:before="240" w:line="240" w:lineRule="auto"/>
      </w:pPr>
      <w:r>
        <w:t xml:space="preserve">II.2 Variabilele</w:t>
      </w:r>
    </w:p>
    <w:p>
      <w:pPr>
        <w:spacing w:after="100"/>
        <w:jc w:val="left"/>
      </w:pPr>
      <w:r>
        <w:t xml:space="preserve">Cele douăsprezece variabile sunt rate financiare clasice plus două mărimi de dinamică și una de talie. Formulele complete sunt afișate în instrument, în panoul „Definițiile variabilelor”, și reluate în anexa C a acestui document.</w:t>
      </w:r>
    </w:p>
    <w:p>
      <w:pPr>
        <w:spacing w:after="100"/>
        <w:jc w:val="left"/>
      </w:pPr>
      <w:r>
        <w:t xml:space="preserve">Două transformări se aplică înainte de antrenare.</w:t>
      </w:r>
    </w:p>
    <w:p>
      <w:pPr>
        <w:spacing w:after="100"/>
        <w:jc w:val="left"/>
      </w:pPr>
      <w:r>
        <w:rPr>
          <w:b/>
          <w:bCs/>
        </w:rPr>
        <w:t xml:space="preserve">Winsorizarea.</w:t>
      </w:r>
      <w:r>
        <w:t xml:space="preserve"> Fiecare variabilă este tăiată la percentilele 1 și 99 calculate pe întreaga populație de 500.483 de firme:</w:t>
      </w:r>
    </w:p>
    <w:p>
      <w:pPr>
        <w:spacing w:after="100"/>
        <w:jc w:val="left"/>
      </w:pPr>
      <w:r>
        <w:rPr>
          <w:rFonts w:ascii="Consolas" w:cs="Consolas" w:eastAsia="Consolas" w:hAnsi="Consolas"/>
          <w:sz w:val="20"/>
          <w:szCs w:val="20"/>
        </w:rPr>
        <w:t xml:space="preserve">x' = min( max(x, p1), p99 )</w:t>
      </w:r>
    </w:p>
    <w:p>
      <w:pPr>
        <w:spacing w:after="100"/>
        <w:jc w:val="left"/>
      </w:pPr>
      <w:r>
        <w:t xml:space="preserve">Motivul: distribuțiile ratelor financiare au cozi extrem de grele. Percentila 99 a lichidității curente în populația românească este </w:t>
      </w:r>
      <w:r>
        <w:rPr>
          <w:b/>
          <w:bCs/>
        </w:rPr>
        <w:t xml:space="preserve">106</w:t>
      </w:r>
      <w:r>
        <w:t xml:space="preserve"> — o firmă fără datorii practic are lichiditate infinită. Fără tăiere, câteva sute de astfel de firme ar domina complet coeficienții. Winsorizarea păstrează observația (nu o elimină), dar îi limitează influența. Valorile de tăiere sunt afișate în ultima coloană a tabelului de definiții.</w:t>
      </w:r>
    </w:p>
    <w:p>
      <w:pPr>
        <w:spacing w:after="100"/>
        <w:jc w:val="left"/>
      </w:pPr>
      <w:r>
        <w:rPr>
          <w:b/>
          <w:bCs/>
        </w:rPr>
        <w:t xml:space="preserve">Standardizarea.</w:t>
      </w:r>
      <w:r>
        <w:t xml:space="preserve"> Fiecare variabilă este adusă la medie zero și abatere standard unu:</w:t>
      </w:r>
    </w:p>
    <w:p>
      <w:pPr>
        <w:spacing w:after="100"/>
        <w:jc w:val="left"/>
      </w:pPr>
      <w:r>
        <w:rPr>
          <w:rFonts w:ascii="Consolas" w:cs="Consolas" w:eastAsia="Consolas" w:hAnsi="Consolas"/>
          <w:sz w:val="20"/>
          <w:szCs w:val="20"/>
        </w:rPr>
        <w:t xml:space="preserve">z = (x' − μ) / σ</w:t>
      </w:r>
    </w:p>
    <w:p>
      <w:pPr>
        <w:spacing w:after="100"/>
        <w:jc w:val="left"/>
      </w:pPr>
      <w:r>
        <w:t xml:space="preserve">unde </w:t>
      </w:r>
      <w:r>
        <w:rPr>
          <w:rFonts w:ascii="Consolas" w:cs="Consolas" w:eastAsia="Consolas" w:hAnsi="Consolas"/>
          <w:sz w:val="20"/>
          <w:szCs w:val="20"/>
        </w:rPr>
        <w:t xml:space="preserve">μ</w:t>
      </w:r>
      <w:r>
        <w:t xml:space="preserve"> și </w:t>
      </w:r>
      <w:r>
        <w:rPr>
          <w:rFonts w:ascii="Consolas" w:cs="Consolas" w:eastAsia="Consolas" w:hAnsi="Consolas"/>
          <w:sz w:val="20"/>
          <w:szCs w:val="20"/>
        </w:rPr>
        <w:t xml:space="preserve">σ</w:t>
      </w:r>
      <w:r>
        <w:t xml:space="preserve"> se calculează </w:t>
      </w:r>
      <w:r>
        <w:rPr>
          <w:b/>
          <w:bCs/>
        </w:rPr>
        <w:t xml:space="preserve">numai pe rândurile de antrenare</w:t>
      </w:r>
      <w:r>
        <w:t xml:space="preserve">, nu pe tot eșantionul. Este o precauție elementară care se încalcă des: dacă standardizați pe tot setul, informația din holdout se strecoară în antrenare prin media și abaterea standard. Efectul e mic, dar principiul este același cu al scurgerii de informație din II.9.</w:t>
      </w:r>
    </w:p>
    <w:p>
      <w:pPr>
        <w:spacing w:after="100"/>
        <w:jc w:val="left"/>
      </w:pPr>
      <w:r>
        <w:t xml:space="preserve">Standardizarea are și o consecință de interpretare: coeficienții devin comparabili între ei. Un coeficient de −0,35 înseamnă „o abatere standard mai mult din această variabilă scade log-odds-ul cu 0,35”, indiferent dacă variabila era măsurată în procente sau în unități.</w:t>
      </w:r>
    </w:p>
    <w:p>
      <w:pPr>
        <w:pStyle w:val="Heading1"/>
        <w:keepNext/>
        <w:spacing w:after="120" w:before="240" w:line="240" w:lineRule="auto"/>
      </w:pPr>
      <w:r>
        <w:t xml:space="preserve">II.3 Regresia logistică</w:t>
      </w:r>
    </w:p>
    <w:p>
      <w:pPr>
        <w:spacing w:after="100"/>
        <w:jc w:val="left"/>
      </w:pPr>
      <w:r>
        <w:rPr>
          <w:b/>
          <w:bCs/>
        </w:rPr>
        <w:t xml:space="preserve">Intuiția.</w:t>
      </w:r>
      <w:r>
        <w:t xml:space="preserve"> Vrem un număr între 0 și 1. Combinația liniară a variabilelor poate lua orice valoare reală, deci nu poate fi direct o probabilitate. Soluția, veche de un secol, este să modelăm liniar nu probabilitatea, ci </w:t>
      </w:r>
      <w:r>
        <w:rPr>
          <w:b/>
          <w:bCs/>
        </w:rPr>
        <w:t xml:space="preserve">logaritmul cotei</w:t>
      </w:r>
      <w:r>
        <w:t xml:space="preserve"> — logaritmul raportului dintre șansa de eveniment și șansa de neeveniment.</w:t>
      </w:r>
    </w:p>
    <w:p>
      <w:pPr>
        <w:spacing w:after="100"/>
        <w:jc w:val="left"/>
      </w:pPr>
      <w:r>
        <w:rPr>
          <w:b/>
          <w:bCs/>
        </w:rPr>
        <w:t xml:space="preserve">Formula.</w:t>
      </w:r>
      <w:r>
        <w:t xml:space="preserve"> Pentru o firmă cu variabilele standardizate </w:t>
      </w:r>
      <w:r>
        <w:rPr>
          <w:rFonts w:ascii="Consolas" w:cs="Consolas" w:eastAsia="Consolas" w:hAnsi="Consolas"/>
          <w:sz w:val="20"/>
          <w:szCs w:val="20"/>
        </w:rPr>
        <w:t xml:space="preserve">z1 … zk</w:t>
      </w:r>
      <w:r>
        <w:t xml:space="preserve">:</w:t>
      </w:r>
    </w:p>
    <w:p>
      <w:pPr>
        <w:spacing w:after="100"/>
        <w:jc w:val="left"/>
      </w:pPr>
      <w:r>
        <w:rPr>
          <w:rFonts w:ascii="Consolas" w:cs="Consolas" w:eastAsia="Consolas" w:hAnsi="Consolas"/>
          <w:sz w:val="20"/>
          <w:szCs w:val="20"/>
        </w:rPr>
        <w:t xml:space="preserve">s = b + w1·z1 + w2·z2 + … + wk·zk</w:t>
      </w:r>
    </w:p>
    <w:p>
      <w:pPr>
        <w:spacing w:after="100"/>
        <w:jc w:val="left"/>
      </w:pPr>
      <w:r>
        <w:rPr>
          <w:rFonts w:ascii="Consolas" w:cs="Consolas" w:eastAsia="Consolas" w:hAnsi="Consolas"/>
          <w:sz w:val="20"/>
          <w:szCs w:val="20"/>
        </w:rPr>
        <w:t xml:space="preserve">p = 1 / (1 + e^(−s))</w:t>
      </w:r>
    </w:p>
    <w:p>
      <w:pPr>
        <w:spacing w:after="100"/>
        <w:jc w:val="left"/>
      </w:pPr>
      <w:r>
        <w:t xml:space="preserve">Prima linie este scorul (numit și </w:t>
      </w:r>
      <w:r>
        <w:rPr>
          <w:i/>
          <w:iCs/>
        </w:rPr>
        <w:t xml:space="preserve">logit</w:t>
      </w:r>
      <w:r>
        <w:t xml:space="preserve">), a doua este funcția logistică, care strivește orice număr real în intervalul (0, 1). Aici </w:t>
      </w:r>
      <w:r>
        <w:rPr>
          <w:rFonts w:ascii="Consolas" w:cs="Consolas" w:eastAsia="Consolas" w:hAnsi="Consolas"/>
          <w:sz w:val="20"/>
          <w:szCs w:val="20"/>
        </w:rPr>
        <w:t xml:space="preserve">b</w:t>
      </w:r>
      <w:r>
        <w:t xml:space="preserve"> este interceptul, care fixează nivelul general al probabilității, iar </w:t>
      </w:r>
      <w:r>
        <w:rPr>
          <w:rFonts w:ascii="Consolas" w:cs="Consolas" w:eastAsia="Consolas" w:hAnsi="Consolas"/>
          <w:sz w:val="20"/>
          <w:szCs w:val="20"/>
        </w:rPr>
        <w:t xml:space="preserve">w1 … wk</w:t>
      </w:r>
      <w:r>
        <w:t xml:space="preserve"> sunt coeficienții afișați în tabelul din instrument.</w:t>
      </w:r>
    </w:p>
    <w:p>
      <w:pPr>
        <w:spacing w:after="100"/>
        <w:jc w:val="left"/>
      </w:pPr>
      <w:r>
        <w:t xml:space="preserve">Relația inversă explică de ce coeficienții se interpretează în cote, nu în probabilități:</w:t>
      </w:r>
    </w:p>
    <w:p>
      <w:pPr>
        <w:spacing w:after="100"/>
        <w:jc w:val="left"/>
      </w:pPr>
      <w:r>
        <w:rPr>
          <w:rFonts w:ascii="Consolas" w:cs="Consolas" w:eastAsia="Consolas" w:hAnsi="Consolas"/>
          <w:sz w:val="20"/>
          <w:szCs w:val="20"/>
        </w:rPr>
        <w:t xml:space="preserve">s = ln( p / (1 − p) )</w:t>
      </w:r>
    </w:p>
    <w:p>
      <w:pPr>
        <w:spacing w:after="100"/>
        <w:jc w:val="left"/>
      </w:pPr>
      <w:r>
        <w:t xml:space="preserve">Un coeficient </w:t>
      </w:r>
      <w:r>
        <w:rPr>
          <w:rFonts w:ascii="Consolas" w:cs="Consolas" w:eastAsia="Consolas" w:hAnsi="Consolas"/>
          <w:sz w:val="20"/>
          <w:szCs w:val="20"/>
        </w:rPr>
        <w:t xml:space="preserve">w</w:t>
      </w:r>
      <w:r>
        <w:t xml:space="preserve"> înseamnă că o creștere de o abatere standard în variabila lui multiplică </w:t>
      </w:r>
      <w:r>
        <w:rPr>
          <w:b/>
          <w:bCs/>
        </w:rPr>
        <w:t xml:space="preserve">cota</w:t>
      </w:r>
      <w:r>
        <w:t xml:space="preserve"> evenimentului cu </w:t>
      </w:r>
      <w:r>
        <w:rPr>
          <w:rFonts w:ascii="Consolas" w:cs="Consolas" w:eastAsia="Consolas" w:hAnsi="Consolas"/>
          <w:sz w:val="20"/>
          <w:szCs w:val="20"/>
        </w:rPr>
        <w:t xml:space="preserve">e^w</w:t>
      </w:r>
      <w:r>
        <w:t xml:space="preserve">. Pentru </w:t>
      </w:r>
      <w:r>
        <w:rPr>
          <w:rFonts w:ascii="Consolas" w:cs="Consolas" w:eastAsia="Consolas" w:hAnsi="Consolas"/>
          <w:sz w:val="20"/>
          <w:szCs w:val="20"/>
        </w:rPr>
        <w:t xml:space="preserve">w = −0,35</w:t>
      </w:r>
      <w:r>
        <w:t xml:space="preserve">, factorul este </w:t>
      </w:r>
      <w:r>
        <w:rPr>
          <w:rFonts w:ascii="Consolas" w:cs="Consolas" w:eastAsia="Consolas" w:hAnsi="Consolas"/>
          <w:sz w:val="20"/>
          <w:szCs w:val="20"/>
        </w:rPr>
        <w:t xml:space="preserve">e^(−0,35) ≈ 0,70</w:t>
      </w:r>
      <w:r>
        <w:t xml:space="preserve">: cota scade cu circa 30 %. Efectul în probabilitate depinde de unde porniți — același coeficient mișcă mult o firmă de la 20 % și aproape nimic o firmă de la 1 %.</w:t>
      </w:r>
    </w:p>
    <w:p>
      <w:pPr>
        <w:spacing w:after="100"/>
        <w:jc w:val="left"/>
      </w:pPr>
      <w:r>
        <w:rPr>
          <w:b/>
          <w:bCs/>
        </w:rPr>
        <w:t xml:space="preserve">Ce se minimizează.</w:t>
      </w:r>
      <w:r>
        <w:t xml:space="preserve"> Coeficienții se aleg astfel încât modelul să atribuie probabilități mari evenimentelor care s-au produs și mici celor care nu s-au produs. Măsura este verosimilitatea negativă logaritmică, numită și entropie încrucișată sau </w:t>
      </w:r>
      <w:r>
        <w:rPr>
          <w:i/>
          <w:iCs/>
        </w:rPr>
        <w:t xml:space="preserve">log-loss</w:t>
      </w:r>
      <w:r>
        <w:t xml:space="preserve">:</w:t>
      </w:r>
    </w:p>
    <w:p>
      <w:pPr>
        <w:spacing w:after="100"/>
        <w:jc w:val="left"/>
      </w:pPr>
      <w:r>
        <w:rPr>
          <w:rFonts w:ascii="Consolas" w:cs="Consolas" w:eastAsia="Consolas" w:hAnsi="Consolas"/>
          <w:sz w:val="20"/>
          <w:szCs w:val="20"/>
        </w:rPr>
        <w:t xml:space="preserve">L = −(1/n) · Σ_firme [ y·ln(p) + (1−y)·ln(1−p) ]  +  (λ/2) · Σ_variabile w²</w:t>
      </w:r>
    </w:p>
    <w:p>
      <w:pPr>
        <w:spacing w:after="100"/>
        <w:jc w:val="left"/>
      </w:pPr>
      <w:r>
        <w:t xml:space="preserve">unde, pentru fiecare firmă, </w:t>
      </w:r>
      <w:r>
        <w:rPr>
          <w:rFonts w:ascii="Consolas" w:cs="Consolas" w:eastAsia="Consolas" w:hAnsi="Consolas"/>
          <w:sz w:val="20"/>
          <w:szCs w:val="20"/>
        </w:rPr>
        <w:t xml:space="preserve">y</w:t>
      </w:r>
      <w:r>
        <w:t xml:space="preserve"> este eticheta observată (0 sau 1) și </w:t>
      </w:r>
      <w:r>
        <w:rPr>
          <w:rFonts w:ascii="Consolas" w:cs="Consolas" w:eastAsia="Consolas" w:hAnsi="Consolas"/>
          <w:sz w:val="20"/>
          <w:szCs w:val="20"/>
        </w:rPr>
        <w:t xml:space="preserve">p</w:t>
      </w:r>
      <w:r>
        <w:t xml:space="preserve"> probabilitatea prezisă; prima sumă parcurge firmele, a doua variabilele. Termenul final este </w:t>
      </w:r>
      <w:r>
        <w:rPr>
          <w:b/>
          <w:bCs/>
        </w:rPr>
        <w:t xml:space="preserve">regularizarea L2</w:t>
      </w:r>
      <w:r>
        <w:t xml:space="preserve"> (ridge), controlată de cursorul din instrument. Ea penalizează coeficienții mari și, în practică, stabilizează modelul atunci când variabilele sunt corelate între ele. Cu </w:t>
      </w:r>
      <w:r>
        <w:rPr>
          <w:rFonts w:ascii="Consolas" w:cs="Consolas" w:eastAsia="Consolas" w:hAnsi="Consolas"/>
          <w:sz w:val="20"/>
          <w:szCs w:val="20"/>
        </w:rPr>
        <w:t xml:space="preserve">λ = 0</w:t>
      </w:r>
      <w:r>
        <w:t xml:space="preserve">, modelul este regresia logistică clasică prin maximul verosimilității.</w:t>
      </w:r>
    </w:p>
    <w:p>
      <w:pPr>
        <w:spacing w:after="100"/>
        <w:jc w:val="left"/>
      </w:pPr>
      <w:r>
        <w:t xml:space="preserve">Funcția </w:t>
      </w:r>
      <w:r>
        <w:rPr>
          <w:rFonts w:ascii="Consolas" w:cs="Consolas" w:eastAsia="Consolas" w:hAnsi="Consolas"/>
          <w:sz w:val="20"/>
          <w:szCs w:val="20"/>
        </w:rPr>
        <w:t xml:space="preserve">L</w:t>
      </w:r>
      <w:r>
        <w:t xml:space="preserve"> este convexă, deci are un singur minim — nu există riscul de a nimeri un optim local, ceea ce face regresia logistică plăcut de previzibilă în comparație cu rețelele neuronale.</w:t>
      </w:r>
    </w:p>
    <w:p>
      <w:pPr>
        <w:pBdr>
          <w:left w:val="single" w:color="D9720F" w:sz="18" w:space="8"/>
        </w:pBdr>
        <w:shd w:fill="FFF4E6" w:color="auto" w:val="clear"/>
        <w:spacing w:after="40" w:before="40"/>
        <w:ind w:left="200"/>
      </w:pPr>
      <w:r>
        <w:rPr>
          <w:b/>
          <w:bCs/>
          <w:color w:val="162554"/>
          <w:sz w:val="20"/>
          <w:szCs w:val="20"/>
        </w:rPr>
        <w:t xml:space="preserve">Citește mai departe:</w:t>
      </w:r>
      <w:r>
        <w:rPr>
          <w:color w:val="162554"/>
          <w:sz w:val="20"/>
          <w:szCs w:val="20"/>
        </w:rPr>
        <w:t xml:space="preserve"> Hosmer, Lemeshow &amp; Sturdivant (2013) este referința standard, aplicată și fără exces de formalism. Pentru varianta scurtă și gratuită: James, Witten, Hastie &amp; Tibshirani, </w:t>
      </w:r>
      <w:r>
        <w:rPr>
          <w:i/>
          <w:iCs/>
          <w:color w:val="162554"/>
          <w:sz w:val="20"/>
          <w:szCs w:val="20"/>
        </w:rPr>
        <w:t xml:space="preserve">An Introduction to Statistical Learning</w:t>
      </w:r>
      <w:r>
        <w:rPr>
          <w:color w:val="162554"/>
          <w:sz w:val="20"/>
          <w:szCs w:val="20"/>
        </w:rPr>
        <w:t xml:space="preserve">, capitolul 4, PDF liber pe statlearning.com. Anexa B, tema 2.</w:t>
      </w:r>
    </w:p>
    <w:p>
      <w:pPr>
        <w:pStyle w:val="Heading1"/>
        <w:keepNext/>
        <w:spacing w:after="120" w:before="240" w:line="240" w:lineRule="auto"/>
      </w:pPr>
      <w:r>
        <w:t xml:space="preserve">II.4 Cum antrenează instrumentul, concret</w:t>
      </w:r>
    </w:p>
    <w:p>
      <w:pPr>
        <w:spacing w:after="100"/>
        <w:jc w:val="left"/>
      </w:pPr>
      <w:r>
        <w:t xml:space="preserve">Minimul lui </w:t>
      </w:r>
      <w:r>
        <w:rPr>
          <w:rFonts w:ascii="Consolas" w:cs="Consolas" w:eastAsia="Consolas" w:hAnsi="Consolas"/>
          <w:sz w:val="20"/>
          <w:szCs w:val="20"/>
        </w:rPr>
        <w:t xml:space="preserve">L</w:t>
      </w:r>
      <w:r>
        <w:t xml:space="preserve"> nu se calculează analitic (nu există formulă închisă, cum există la regresia liniară), ci numeric. Instrumentul folosește </w:t>
      </w:r>
      <w:r>
        <w:rPr>
          <w:b/>
          <w:bCs/>
        </w:rPr>
        <w:t xml:space="preserve">gradient descendent pe lot complet, cu moment</w:t>
      </w:r>
      <w:r>
        <w:t xml:space="preserve">:</w:t>
      </w:r>
    </w:p>
    <w:p>
      <w:pPr>
        <w:spacing w:after="100"/>
        <w:jc w:val="left"/>
      </w:pPr>
      <w:r>
        <w:rPr>
          <w:rFonts w:ascii="Consolas" w:cs="Consolas" w:eastAsia="Consolas" w:hAnsi="Consolas"/>
          <w:sz w:val="20"/>
          <w:szCs w:val="20"/>
        </w:rPr>
        <w:t xml:space="preserve">g = (1/n) · X' · (p − y) + λ·w</w:t>
      </w:r>
      <w:r>
        <w:t xml:space="preserve">   apoi   </w:t>
      </w:r>
      <w:r>
        <w:rPr>
          <w:rFonts w:ascii="Consolas" w:cs="Consolas" w:eastAsia="Consolas" w:hAnsi="Consolas"/>
          <w:sz w:val="20"/>
          <w:szCs w:val="20"/>
        </w:rPr>
        <w:t xml:space="preserve">v ← 0,9·v − η·g</w:t>
      </w:r>
      <w:r>
        <w:t xml:space="preserve">   apoi   </w:t>
      </w:r>
      <w:r>
        <w:rPr>
          <w:rFonts w:ascii="Consolas" w:cs="Consolas" w:eastAsia="Consolas" w:hAnsi="Consolas"/>
          <w:sz w:val="20"/>
          <w:szCs w:val="20"/>
        </w:rPr>
        <w:t xml:space="preserve">w ← w + v</w:t>
      </w:r>
    </w:p>
    <w:p>
      <w:pPr>
        <w:spacing w:after="100"/>
        <w:jc w:val="left"/>
      </w:pPr>
      <w:r>
        <w:t xml:space="preserve">Gradientul </w:t>
      </w:r>
      <w:r>
        <w:rPr>
          <w:rFonts w:ascii="Consolas" w:cs="Consolas" w:eastAsia="Consolas" w:hAnsi="Consolas"/>
          <w:sz w:val="20"/>
          <w:szCs w:val="20"/>
        </w:rPr>
        <w:t xml:space="preserve">g</w:t>
      </w:r>
      <w:r>
        <w:t xml:space="preserve"> are o formă remarcabil de simplă: este media erorilor de predicție </w:t>
      </w:r>
      <w:r>
        <w:rPr>
          <w:rFonts w:ascii="Consolas" w:cs="Consolas" w:eastAsia="Consolas" w:hAnsi="Consolas"/>
          <w:sz w:val="20"/>
          <w:szCs w:val="20"/>
        </w:rPr>
        <w:t xml:space="preserve">(p − y)</w:t>
      </w:r>
      <w:r>
        <w:t xml:space="preserve">, ponderată cu variabilele. Vectorul </w:t>
      </w:r>
      <w:r>
        <w:rPr>
          <w:rFonts w:ascii="Consolas" w:cs="Consolas" w:eastAsia="Consolas" w:hAnsi="Consolas"/>
          <w:sz w:val="20"/>
          <w:szCs w:val="20"/>
        </w:rPr>
        <w:t xml:space="preserve">v</w:t>
      </w:r>
      <w:r>
        <w:t xml:space="preserve"> este „momentul”: păstrează o parte din direcția pasului anterior, ceea ce accelerează coborârea pe pante lungi și atenuează oscilațiile. Rata de învățare </w:t>
      </w:r>
      <w:r>
        <w:rPr>
          <w:rFonts w:ascii="Consolas" w:cs="Consolas" w:eastAsia="Consolas" w:hAnsi="Consolas"/>
          <w:sz w:val="20"/>
          <w:szCs w:val="20"/>
        </w:rPr>
        <w:t xml:space="preserve">η</w:t>
      </w:r>
      <w:r>
        <w:t xml:space="preserve"> pornește de la 0,9 și este redusă de două ori, la 60 % și la 85 % din parcurs, ca pașii să devină fini spre final.</w:t>
      </w:r>
    </w:p>
    <w:p>
      <w:pPr>
        <w:spacing w:after="100"/>
        <w:jc w:val="left"/>
      </w:pPr>
      <w:r>
        <w:t xml:space="preserve">Parametrii exacți: </w:t>
      </w:r>
      <w:r>
        <w:rPr>
          <w:b/>
          <w:bCs/>
        </w:rPr>
        <w:t xml:space="preserve">220 de iterații</w:t>
      </w:r>
      <w:r>
        <w:t xml:space="preserve">, moment 0,9, </w:t>
      </w:r>
      <w:r>
        <w:rPr>
          <w:rFonts w:ascii="Consolas" w:cs="Consolas" w:eastAsia="Consolas" w:hAnsi="Consolas"/>
          <w:sz w:val="20"/>
          <w:szCs w:val="20"/>
        </w:rPr>
        <w:t xml:space="preserve">λ</w:t>
      </w:r>
      <w:r>
        <w:t xml:space="preserve"> implicit 0,003 (cursorul acoperă intervalul 0 … 0,3 pe o scală pătratică). Fiecare iterație parcurge toate cele circa 84.000 de rânduri de antrenare, deci antrenarea completă face în jur de 220 de milioane de înmulțiri — de unde cele câteva secunde de așteptare.</w:t>
      </w:r>
    </w:p>
    <w:p>
      <w:pPr>
        <w:spacing w:after="100"/>
        <w:jc w:val="left"/>
      </w:pPr>
      <w:r>
        <w:t xml:space="preserve">Alegerea lotului complet, în locul variantei stocastice folosite în biblioteci, este deliberată: rezultatul devine reproductibil, iar participanții obțin aceleași cifre. Verificare independentă: implementarea din browser reproduce coeficienții și AUC-ul obținute cu </w:t>
      </w:r>
      <w:r>
        <w:rPr>
          <w:rFonts w:ascii="Consolas" w:cs="Consolas" w:eastAsia="Consolas" w:hAnsi="Consolas"/>
          <w:sz w:val="20"/>
          <w:szCs w:val="20"/>
        </w:rPr>
        <w:t xml:space="preserve">scikit-learn</w:t>
      </w:r>
      <w:r>
        <w:t xml:space="preserve"> pe aceleași date, cu o diferență de trei miimi de AUC (0,669 față de 0,666 pe eticheta compusă).</w:t>
      </w:r>
    </w:p>
    <w:p>
      <w:pPr>
        <w:pStyle w:val="Heading1"/>
        <w:keepNext/>
        <w:spacing w:after="120" w:before="240" w:line="240" w:lineRule="auto"/>
      </w:pPr>
      <w:r>
        <w:t xml:space="preserve">II.5 Împărțirea antrenare / holdout</w:t>
      </w:r>
    </w:p>
    <w:p>
      <w:pPr>
        <w:spacing w:after="100"/>
        <w:jc w:val="left"/>
      </w:pPr>
      <w:r>
        <w:t xml:space="preserve">Rândurile se împart determinist: primele șapte din fiecare grup de zece, în ordinea din eșantion, merg la antrenare, celelalte trei la holdout. Rezultă 84.000 de firme pentru estimare și 36.000 pentru evaluare. Deoarece eșantionul a fost extras aleator și ordonat după CUI — un identificator fără legătură cu situația financiară — împărțirea este efectiv aleatoare, dar și perfect reproductibilă.</w:t>
      </w:r>
    </w:p>
    <w:p>
      <w:pPr>
        <w:spacing w:after="100"/>
        <w:jc w:val="left"/>
      </w:pPr>
      <w:r>
        <w:t xml:space="preserve">Toate cifrele de performanță afișate se calculează </w:t>
      </w:r>
      <w:r>
        <w:rPr>
          <w:b/>
          <w:bCs/>
        </w:rPr>
        <w:t xml:space="preserve">pe holdout</w:t>
      </w:r>
      <w:r>
        <w:t xml:space="preserve">. AUC-ul de antrenare este afișat lângă el, ca să se vadă diferența: la douăsprezece variabile și peste optzeci de mii de observații, diferența este practic nulă (0,667 față de 0,669), ceea ce spune că modelul nu suprainvață. Ar fi altfel cu două sute de variabile sau cu opt sute de firme.</w:t>
      </w:r>
    </w:p>
    <w:p>
      <w:pPr>
        <w:pStyle w:val="Heading1"/>
        <w:keepNext/>
        <w:spacing w:after="120" w:before="240" w:line="240" w:lineRule="auto"/>
      </w:pPr>
      <w:r>
        <w:t xml:space="preserve">II.6 AUC și curba ROC</w:t>
      </w:r>
    </w:p>
    <w:p>
      <w:pPr>
        <w:spacing w:after="100"/>
        <w:jc w:val="left"/>
      </w:pPr>
      <w:r>
        <w:rPr>
          <w:b/>
          <w:bCs/>
        </w:rPr>
        <w:t xml:space="preserve">Intuiția.</w:t>
      </w:r>
      <w:r>
        <w:t xml:space="preserve"> Fixați un prag și declarați „risc” tot ce e deasupra lui. Obțineți două rate: câte evenimente reale prindeți (rata de adevărat pozitiv) și câte alarme false dați (rata de fals pozitiv). Mișcând pragul de la foarte permisiv la foarte sever, obțineți o curbă — curba ROC. Aria de sub ea, </w:t>
      </w:r>
      <w:r>
        <w:rPr>
          <w:b/>
          <w:bCs/>
        </w:rPr>
        <w:t xml:space="preserve">AUC</w:t>
      </w:r>
      <w:r>
        <w:t xml:space="preserve">, măsoară cât de bine separă modelul cele două populații, independent de pragul ales.</w:t>
      </w:r>
    </w:p>
    <w:p>
      <w:pPr>
        <w:spacing w:after="100"/>
        <w:jc w:val="left"/>
      </w:pPr>
      <w:r>
        <w:rPr>
          <w:b/>
          <w:bCs/>
        </w:rPr>
        <w:t xml:space="preserve">Interpretarea care merită memorată.</w:t>
      </w:r>
      <w:r>
        <w:t xml:space="preserve"> AUC este probabilitatea ca, luând la întâmplare o firmă cu eveniment și una fără, modelul să acorde scorul mai mare celei cu eveniment. AUC = 0,5 înseamnă aruncarea cu moneda; AUC = 1 înseamnă separare perfectă. În credit risc, modelele de portofoliu retail ajung frecvent la 0,75–0,85; un model pe date publice, cu eveniment indirect, la 0,65–0,75, exact cum vedeți în instrument.</w:t>
      </w:r>
    </w:p>
    <w:p>
      <w:pPr>
        <w:spacing w:after="100"/>
        <w:jc w:val="left"/>
      </w:pPr>
      <w:r>
        <w:rPr>
          <w:b/>
          <w:bCs/>
        </w:rPr>
        <w:t xml:space="preserve">Cum se calculează.</w:t>
      </w:r>
      <w:r>
        <w:t xml:space="preserve"> Nu prin integrarea curbei, ci prin ranguri, folosind echivalența cu statistica U a lui Mann-Whitney:</w:t>
      </w:r>
    </w:p>
    <w:p>
      <w:pPr>
        <w:spacing w:after="100"/>
        <w:jc w:val="left"/>
      </w:pPr>
      <w:r>
        <w:rPr>
          <w:rFonts w:ascii="Consolas" w:cs="Consolas" w:eastAsia="Consolas" w:hAnsi="Consolas"/>
          <w:sz w:val="20"/>
          <w:szCs w:val="20"/>
        </w:rPr>
        <w:t xml:space="preserve">AUC = [ Σ(rangurile firmelor cu eveniment) − n+ · (n+ + 1)/2 ]  /  (n+ · n−)</w:t>
      </w:r>
    </w:p>
    <w:p>
      <w:pPr>
        <w:spacing w:after="100"/>
        <w:jc w:val="left"/>
      </w:pPr>
      <w:r>
        <w:t xml:space="preserve">unde </w:t>
      </w:r>
      <w:r>
        <w:rPr>
          <w:rFonts w:ascii="Consolas" w:cs="Consolas" w:eastAsia="Consolas" w:hAnsi="Consolas"/>
          <w:sz w:val="20"/>
          <w:szCs w:val="20"/>
        </w:rPr>
        <w:t xml:space="preserve">n+</w:t>
      </w:r>
      <w:r>
        <w:t xml:space="preserve"> și </w:t>
      </w:r>
      <w:r>
        <w:rPr>
          <w:rFonts w:ascii="Consolas" w:cs="Consolas" w:eastAsia="Consolas" w:hAnsi="Consolas"/>
          <w:sz w:val="20"/>
          <w:szCs w:val="20"/>
        </w:rPr>
        <w:t xml:space="preserve">n−</w:t>
      </w:r>
      <w:r>
        <w:t xml:space="preserve"> sunt numărul de firme cu și fără eveniment. Rangurile se atribuie după sortarea crescătoare a scorurilor, iar scorurile egale primesc rangul mediu. Metoda este exactă și rapidă — </w:t>
      </w:r>
      <w:r>
        <w:rPr>
          <w:rFonts w:ascii="Consolas" w:cs="Consolas" w:eastAsia="Consolas" w:hAnsi="Consolas"/>
          <w:sz w:val="20"/>
          <w:szCs w:val="20"/>
        </w:rPr>
        <w:t xml:space="preserve">O(n log n)</w:t>
      </w:r>
      <w:r>
        <w:t xml:space="preserve">, dominată de sortare.</w:t>
      </w:r>
    </w:p>
    <w:p>
      <w:pPr>
        <w:spacing w:after="100"/>
        <w:jc w:val="left"/>
      </w:pPr>
      <w:r>
        <w:t xml:space="preserve">Curba desenată în instrument este subeșantionată la circa 120 de puncte, doar pentru claritate grafică; aria se calculează pe toate observațiile.</w:t>
      </w:r>
    </w:p>
    <w:p>
      <w:pPr>
        <w:pBdr>
          <w:left w:val="single" w:color="D9720F" w:sz="18" w:space="8"/>
        </w:pBdr>
        <w:shd w:fill="FFF4E6" w:color="auto" w:val="clear"/>
        <w:spacing w:after="40" w:before="40"/>
        <w:ind w:left="200"/>
      </w:pPr>
      <w:r>
        <w:rPr>
          <w:b/>
          <w:bCs/>
          <w:color w:val="162554"/>
          <w:sz w:val="20"/>
          <w:szCs w:val="20"/>
        </w:rPr>
        <w:t xml:space="preserve">Citește mai departe:</w:t>
      </w:r>
      <w:r>
        <w:rPr>
          <w:color w:val="162554"/>
          <w:sz w:val="20"/>
          <w:szCs w:val="20"/>
        </w:rPr>
        <w:t xml:space="preserve"> Hanley &amp; McNeil (1982) pentru interpretarea probabilistică și erorile standard; documentul BCBS </w:t>
      </w:r>
      <w:r>
        <w:rPr>
          <w:i/>
          <w:iCs/>
          <w:color w:val="162554"/>
          <w:sz w:val="20"/>
          <w:szCs w:val="20"/>
        </w:rPr>
        <w:t xml:space="preserve">Studies on the Validation of Internal Rating Systems</w:t>
      </w:r>
      <w:r>
        <w:rPr>
          <w:color w:val="162554"/>
          <w:sz w:val="20"/>
          <w:szCs w:val="20"/>
        </w:rPr>
        <w:t xml:space="preserve"> (Working Paper 14, 2005) pentru practica bancară a măsurării discriminării, inclusiv relația </w:t>
      </w:r>
      <w:r>
        <w:rPr>
          <w:rFonts w:ascii="Consolas" w:cs="Consolas" w:eastAsia="Consolas" w:hAnsi="Consolas"/>
          <w:color w:val="162554"/>
          <w:sz w:val="20"/>
          <w:szCs w:val="20"/>
        </w:rPr>
        <w:t xml:space="preserve">Gini = 2 × AUC − 1</w:t>
      </w:r>
      <w:r>
        <w:rPr>
          <w:color w:val="162554"/>
          <w:sz w:val="20"/>
          <w:szCs w:val="20"/>
        </w:rPr>
        <w:t xml:space="preserve">. Anexa B, tema 3.</w:t>
      </w:r>
    </w:p>
    <w:p>
      <w:pPr>
        <w:pStyle w:val="Heading1"/>
        <w:keepNext/>
        <w:spacing w:after="120" w:before="240" w:line="240" w:lineRule="auto"/>
      </w:pPr>
      <w:r>
        <w:t xml:space="preserve">II.7 Calibrarea</w:t>
      </w:r>
    </w:p>
    <w:p>
      <w:pPr>
        <w:spacing w:after="100"/>
        <w:jc w:val="left"/>
      </w:pPr>
      <w:r>
        <w:t xml:space="preserve">AUC măsoară </w:t>
      </w:r>
      <w:r>
        <w:rPr>
          <w:b/>
          <w:bCs/>
        </w:rPr>
        <w:t xml:space="preserve">ordonarea</w:t>
      </w:r>
      <w:r>
        <w:t xml:space="preserve">. Nu spune nimic despre nivel: un model care prezice constant 1 % pentru toate firmele, dar le ordonează perfect, are AUC 1 și este inutilizabil pentru provizionare sau pentru preț.</w:t>
      </w:r>
    </w:p>
    <w:p>
      <w:pPr>
        <w:spacing w:after="100"/>
        <w:jc w:val="left"/>
      </w:pPr>
      <w:r>
        <w:t xml:space="preserve">Nivelul se verifică prin calibrare. Instrumentul împarte holdout-ul în </w:t>
      </w:r>
      <w:r>
        <w:rPr>
          <w:b/>
          <w:bCs/>
        </w:rPr>
        <w:t xml:space="preserve">decile după probabilitatea prezisă</w:t>
      </w:r>
      <w:r>
        <w:t xml:space="preserve"> și afișează, pentru fiecare decilă, media probabilităților prezise alături de frecvența observată a evenimentului. Un model calibrat are cele două coloane apropiate pe toate decilele.</w:t>
      </w:r>
    </w:p>
    <w:p>
      <w:pPr>
        <w:spacing w:after="100"/>
        <w:jc w:val="left"/>
      </w:pPr>
      <w:r>
        <w:t xml:space="preserve">Ce veți vedea pe eticheta compusă: nouă decile aproape perfecte, iar decila a noua cu 19,85 % prezis față de 24,94 % observat — o subestimare reală, în zona care contează cel mai mult pentru decizie. Aceasta este o observație despre model, nu un defect al instrumentului: regresia logistică cu variabile winsorizate turtește sistematic capătul superior.</w:t>
      </w:r>
    </w:p>
    <w:p>
      <w:pPr>
        <w:spacing w:after="100"/>
        <w:jc w:val="left"/>
      </w:pPr>
      <w:r>
        <w:t xml:space="preserve">Pentru practică: o probabilitate necalibrată se poate corecta </w:t>
      </w:r>
      <w:r>
        <w:rPr>
          <w:i/>
          <w:iCs/>
        </w:rPr>
        <w:t xml:space="preserve">a posteriori</w:t>
      </w:r>
      <w:r>
        <w:t xml:space="preserve">, fără reantrenare, prin calibrare izotonică sau prin scalare Platt. Aplicația nu face această corecție, intenționat — dispariția problemei ar șterge lecția.</w:t>
      </w:r>
    </w:p>
    <w:p>
      <w:pPr>
        <w:pBdr>
          <w:left w:val="single" w:color="D9720F" w:sz="18" w:space="8"/>
        </w:pBdr>
        <w:shd w:fill="FFF4E6" w:color="auto" w:val="clear"/>
        <w:spacing w:after="40" w:before="40"/>
        <w:ind w:left="200"/>
      </w:pPr>
      <w:r>
        <w:rPr>
          <w:b/>
          <w:bCs/>
          <w:color w:val="162554"/>
          <w:sz w:val="20"/>
          <w:szCs w:val="20"/>
        </w:rPr>
        <w:t xml:space="preserve">Citește mai departe:</w:t>
      </w:r>
      <w:r>
        <w:rPr>
          <w:color w:val="162554"/>
          <w:sz w:val="20"/>
          <w:szCs w:val="20"/>
        </w:rPr>
        <w:t xml:space="preserve"> Niculescu-Mizil &amp; Caruana (2005) compară metodele de calibrare; testul clasic Hosmer-Lemeshow este descris în Hosmer et al. (2013). Anexa B, tema 3.</w:t>
      </w:r>
    </w:p>
    <w:p>
      <w:pPr>
        <w:pStyle w:val="Heading1"/>
        <w:keepNext/>
        <w:spacing w:after="120" w:before="240" w:line="240" w:lineRule="auto"/>
      </w:pPr>
      <w:r>
        <w:t xml:space="preserve">II.8 Multicolinearitatea și semnele coeficienților</w:t>
      </w:r>
    </w:p>
    <w:p>
      <w:pPr>
        <w:spacing w:after="100"/>
        <w:jc w:val="left"/>
      </w:pPr>
      <w:r>
        <w:t xml:space="preserve">Instrumentul afișează, sub lista de variabile, toate perechile cu corelație absolută de cel puțin 0,80, calculată pe un subeșantion de 12.000 de firme. Cu setul complet de variabile apare una: </w:t>
      </w:r>
      <w:r>
        <w:rPr>
          <w:b/>
          <w:bCs/>
        </w:rPr>
        <w:t xml:space="preserve">autonomia financiară și datorii/active, corelate la −0,99</w:t>
      </w:r>
      <w:r>
        <w:t xml:space="preserve">. Explicația e contabilă: capitalurile plus datoriile aproximează activul, deci cele două rate sunt aproape complementare prin construcție.</w:t>
      </w:r>
    </w:p>
    <w:p>
      <w:pPr>
        <w:spacing w:after="100"/>
        <w:jc w:val="left"/>
      </w:pPr>
      <w:r>
        <w:t xml:space="preserve">Consecința este multicolinearitatea. Când două variabile transmit aproape aceeași informație, funcția de pierdere devine aproape plată pe direcția care le schimbă în sens opus, iar soluția devine instabilă: coeficienții se pot împărți arbitrar, uneori cu semne inversate care se compensează reciproc. Predicțiile rămân corecte; interpretarea se face praf.</w:t>
      </w:r>
    </w:p>
    <w:p>
      <w:pPr>
        <w:spacing w:after="100"/>
        <w:jc w:val="left"/>
      </w:pPr>
      <w:r>
        <w:t xml:space="preserve">De aici mecanismul de avertizare: pentru fiecare variabilă, instrumentul are un </w:t>
      </w:r>
      <w:r>
        <w:rPr>
          <w:b/>
          <w:bCs/>
        </w:rPr>
        <w:t xml:space="preserve">semn așteptat</w:t>
      </w:r>
      <w:r>
        <w:t xml:space="preserve"> (mai multă lichiditate ar trebui să scadă riscul, mai multe datorii să îl crească) și marchează cu „semn contraintuitiv” coeficienții care îl contrazic cu o magnitudine peste 0,005. Pe eticheta compusă apar trei. Remediul se poate încerca pe loc: debifați una dintre variabilele redundante, reantrenați, și veți vedea AUC-ul aproape neschimbat cu semnele revenite la normal.</w:t>
      </w:r>
    </w:p>
    <w:p>
      <w:pPr>
        <w:spacing w:after="100"/>
        <w:jc w:val="left"/>
      </w:pPr>
      <w:r>
        <w:t xml:space="preserve">În credit risc, aceasta nu este o subtilitate academică: un model pe baza căruia trebuie scrisă o justificare într-un memo trebuie să fie interpretabil, nu doar performant.</w:t>
      </w:r>
    </w:p>
    <w:p>
      <w:pPr>
        <w:pBdr>
          <w:left w:val="single" w:color="D9720F" w:sz="18" w:space="8"/>
        </w:pBdr>
        <w:shd w:fill="FFF4E6" w:color="auto" w:val="clear"/>
        <w:spacing w:after="40" w:before="40"/>
        <w:ind w:left="200"/>
      </w:pPr>
      <w:r>
        <w:rPr>
          <w:b/>
          <w:bCs/>
          <w:color w:val="162554"/>
          <w:sz w:val="20"/>
          <w:szCs w:val="20"/>
        </w:rPr>
        <w:t xml:space="preserve">Citește mai departe:</w:t>
      </w:r>
      <w:r>
        <w:rPr>
          <w:color w:val="162554"/>
          <w:sz w:val="20"/>
          <w:szCs w:val="20"/>
        </w:rPr>
        <w:t xml:space="preserve"> Belsley, Kuh &amp; Welsch (1980) pentru diagnosticele clasice de colinearitate, inclusiv factorul de inflație a varianței și numărul de condiționare. Anexa B, tema 2.</w:t>
      </w:r>
    </w:p>
    <w:p>
      <w:pPr>
        <w:pStyle w:val="Heading1"/>
        <w:keepNext/>
        <w:spacing w:after="120" w:before="240" w:line="240" w:lineRule="auto"/>
      </w:pPr>
      <w:r>
        <w:t xml:space="preserve">II.9 Scurgerea de informație</w:t>
      </w:r>
    </w:p>
    <w:p>
      <w:pPr>
        <w:spacing w:after="100"/>
        <w:jc w:val="left"/>
      </w:pPr>
      <w:r>
        <w:rPr>
          <w:b/>
          <w:bCs/>
        </w:rPr>
        <w:t xml:space="preserve">Definiție.</w:t>
      </w:r>
      <w:r>
        <w:t xml:space="preserve"> Scurgere de informație (</w:t>
      </w:r>
      <w:r>
        <w:rPr>
          <w:i/>
          <w:iCs/>
        </w:rPr>
        <w:t xml:space="preserve">data leakage</w:t>
      </w:r>
      <w:r>
        <w:t xml:space="preserve">) există atunci când printre variabile se află informație care, în momentul real al deciziei, nu ar fi fost disponibilă. Modelul o folosește, performanța în testare crește, iar în producție dispare — pentru că informația nu mai există la momentul potrivit.</w:t>
      </w:r>
    </w:p>
    <w:p>
      <w:pPr>
        <w:spacing w:after="100"/>
        <w:jc w:val="left"/>
      </w:pPr>
      <w:r>
        <w:rPr>
          <w:b/>
          <w:bCs/>
        </w:rPr>
        <w:t xml:space="preserve">Demonstrația din instrument.</w:t>
      </w:r>
      <w:r>
        <w:t xml:space="preserve"> Alegeți eticheta C (pierdere în 2024 și în 2025) cu toate variabilele: AUC 0,927. Debifați marja netă și ROA — singurele două variabile care conțin rezultatul din 2024 — și AUC scade la </w:t>
      </w:r>
      <w:r>
        <w:rPr>
          <w:b/>
          <w:bCs/>
        </w:rPr>
        <w:t xml:space="preserve">0,779</w:t>
      </w:r>
      <w:r>
        <w:t xml:space="preserve">. Cele o sută cincizeci de puncte pierdute nu erau putere predictivă, ci definiția evenimentului reflectată în variabile.</w:t>
      </w:r>
    </w:p>
    <w:p>
      <w:pPr>
        <w:spacing w:after="100"/>
        <w:jc w:val="left"/>
      </w:pPr>
      <w:r>
        <w:rPr>
          <w:b/>
          <w:bCs/>
        </w:rPr>
        <w:t xml:space="preserve">Formele în care apare în practică bancară:</w:t>
      </w:r>
      <w:r>
        <w:t xml:space="preserve"> o variabilă actualizată în sistem după data deciziei și extrasă la data raportului; un indicator de restructurare care există doar la clienții deja restructurați; un rating intern revizuit după apariția întârzierii; comportamentul de plată din luna în care s-a produs default-ul. Toate produc același simptom — performanță excelentă în backtest, prăbușire la implementare.</w:t>
      </w:r>
    </w:p>
    <w:p>
      <w:pPr>
        <w:pBdr>
          <w:left w:val="single" w:color="D9720F" w:sz="18" w:space="8"/>
        </w:pBdr>
        <w:shd w:fill="FFF4E6" w:color="auto" w:val="clear"/>
        <w:spacing w:after="40" w:before="40"/>
        <w:ind w:left="200"/>
      </w:pPr>
      <w:r>
        <w:rPr>
          <w:b/>
          <w:bCs/>
          <w:color w:val="162554"/>
          <w:sz w:val="20"/>
          <w:szCs w:val="20"/>
        </w:rPr>
        <w:t xml:space="preserve">Citește mai departe:</w:t>
      </w:r>
      <w:r>
        <w:rPr>
          <w:color w:val="162554"/>
          <w:sz w:val="20"/>
          <w:szCs w:val="20"/>
        </w:rPr>
        <w:t xml:space="preserve"> Kaufman, Rosset &amp; Perlich (2012) este referința canonică, cu o taxonomie a formelor de scurgere și cu reguli de prevenire. Anexa B, tema 4.</w:t>
      </w:r>
    </w:p>
    <w:p>
      <w:pPr>
        <w:pStyle w:val="Heading1"/>
        <w:keepNext/>
        <w:spacing w:after="120" w:before="240" w:line="240" w:lineRule="auto"/>
      </w:pPr>
      <w:r>
        <w:t xml:space="preserve">II.10 Modelul de referință</w:t>
      </w:r>
    </w:p>
    <w:p>
      <w:pPr>
        <w:spacing w:after="100"/>
        <w:jc w:val="left"/>
      </w:pPr>
      <w:r>
        <w:t xml:space="preserve">Linia punctată de pe curba ROC și a doua probabilitate din panoul „Aplică modelul pe o companie” provin dintr-un model diferit, pe care participanții nu îl antrenează.</w:t>
      </w:r>
    </w:p>
    <w:p>
      <w:pPr>
        <w:spacing w:after="100"/>
        <w:jc w:val="left"/>
      </w:pPr>
      <w:r>
        <w:rPr>
          <w:b/>
          <w:bCs/>
        </w:rPr>
        <w:t xml:space="preserve">Ce este.</w:t>
      </w:r>
      <w:r>
        <w:t xml:space="preserve"> Un ansamblu de arbori de decizie construiți secvențial prin </w:t>
      </w:r>
      <w:r>
        <w:rPr>
          <w:i/>
          <w:iCs/>
        </w:rPr>
        <w:t xml:space="preserve">gradient boosting</w:t>
      </w:r>
      <w:r>
        <w:t xml:space="preserve">: fiecare arbore nou se antrenează pe erorile ansamblului existent, iar predicția finală este suma contribuțiilor. Varianta folosită este cea cu histograme, care discretizează fiecare variabilă în intervale înainte de a căuta tăieturile — de aici viteza. Parametri: 200 de iterații, rată de învățare 0,08, maximum 24 de noduri terminale pe arbore.</w:t>
      </w:r>
    </w:p>
    <w:p>
      <w:pPr>
        <w:spacing w:after="100"/>
        <w:jc w:val="left"/>
      </w:pPr>
      <w:r>
        <w:rPr>
          <w:b/>
          <w:bCs/>
        </w:rPr>
        <w:t xml:space="preserve">De ce este mai bun pe unele etichete.</w:t>
      </w:r>
      <w:r>
        <w:t xml:space="preserve"> Un arbore poate reprezenta neliniarități și interacțiuni pe care un model liniar nu le poate exprima. Diferența se vede clar pe eticheta B, „capitalurile devin negative”: regresia logistică ajunge la 0,655, ansamblul de arbori la </w:t>
      </w:r>
      <w:r>
        <w:rPr>
          <w:b/>
          <w:bCs/>
        </w:rPr>
        <w:t xml:space="preserve">0,857</w:t>
      </w:r>
      <w:r>
        <w:t xml:space="preserve">. Cauza economică este că relația nu e liniară — o scădere a autonomiei financiare de la 60 % la 50 % nu contează aproape deloc, aceeași scădere de la 5 % la −5 % este evenimentul însuși.</w:t>
      </w:r>
    </w:p>
    <w:p>
      <w:pPr>
        <w:spacing w:after="100"/>
        <w:jc w:val="left"/>
      </w:pPr>
      <w:r>
        <w:rPr>
          <w:b/>
          <w:bCs/>
        </w:rPr>
        <w:t xml:space="preserve">Bagging.</w:t>
      </w:r>
      <w:r>
        <w:t xml:space="preserve"> Un singur ansamblu de arbori dă probabilități individuale instabile: la reantrenare pe alt eșantion, PD-ul Profi trece de la 35 % la 27,6 % în timp ce AUC-ul rămâne 0,73. Ordonarea e stabilă, cifra nu. De aceea scorurile livrate sunt </w:t>
      </w:r>
      <w:r>
        <w:rPr>
          <w:b/>
          <w:bCs/>
        </w:rPr>
        <w:t xml:space="preserve">media a cinci antrenări</w:t>
      </w:r>
      <w:r>
        <w:t xml:space="preserve"> pe subeșantioane diferite de 250.000 de firme, extrase fără înlocuire. Este </w:t>
      </w:r>
      <w:r>
        <w:rPr>
          <w:i/>
          <w:iCs/>
        </w:rPr>
        <w:t xml:space="preserve">bagging</w:t>
      </w:r>
      <w:r>
        <w:t xml:space="preserve"> în sensul lui Breiman, cu scop de stabilizare, nu de creștere a performanței.</w:t>
      </w:r>
    </w:p>
    <w:p>
      <w:pPr>
        <w:spacing w:after="100"/>
        <w:jc w:val="left"/>
      </w:pPr>
      <w:r>
        <w:rPr>
          <w:b/>
          <w:bCs/>
        </w:rPr>
        <w:t xml:space="preserve">De ce AUC-ul de referință este onest.</w:t>
      </w:r>
      <w:r>
        <w:t xml:space="preserve"> Cele cinci modele sunt antrenate exclusiv pe rezerva de 380.483 de firme, disjunctă de eșantionul de 120.000 livrat în browser. Prin urmare, pentru fiecare rând pe care îl evaluați, predicția de referință este în afara eșantionului de antrenare al modelului de referință — comparația nu este falsificată în favoarea lui.</w:t>
      </w:r>
    </w:p>
    <w:p>
      <w:pPr>
        <w:spacing w:after="100"/>
        <w:jc w:val="left"/>
      </w:pPr>
      <w:r>
        <w:rPr>
          <w:b/>
          <w:bCs/>
        </w:rPr>
        <w:t xml:space="preserve">Precizie de stocare.</w:t>
      </w:r>
      <w:r>
        <w:t xml:space="preserve"> Probabilitățile de referință sunt cuantificate pe 16 biți (pas de 0,000015) și indexate după CUI, cu căutare binară, pentru cele 147.699 de firme cu cifră de afaceri de peste un milion de lei. Pentru firmele mai mici, referința nu este livrată și instrumentul afișează asta explicit.</w:t>
      </w:r>
    </w:p>
    <w:p>
      <w:pPr>
        <w:pBdr>
          <w:left w:val="single" w:color="D9720F" w:sz="18" w:space="8"/>
        </w:pBdr>
        <w:shd w:fill="FFF4E6" w:color="auto" w:val="clear"/>
        <w:spacing w:after="40" w:before="40"/>
        <w:ind w:left="200"/>
      </w:pPr>
      <w:r>
        <w:rPr>
          <w:b/>
          <w:bCs/>
          <w:color w:val="162554"/>
          <w:sz w:val="20"/>
          <w:szCs w:val="20"/>
        </w:rPr>
        <w:t xml:space="preserve">Citește mai departe:</w:t>
      </w:r>
      <w:r>
        <w:rPr>
          <w:color w:val="162554"/>
          <w:sz w:val="20"/>
          <w:szCs w:val="20"/>
        </w:rPr>
        <w:t xml:space="preserve"> Friedman (2001) este articolul fondator al gradient boosting-ului; Ke et al. (2017), articolul LightGBM, descrie varianta cu histograme; Breiman (1996) pentru bagging; </w:t>
      </w:r>
      <w:r>
        <w:rPr>
          <w:i/>
          <w:iCs/>
          <w:color w:val="162554"/>
          <w:sz w:val="20"/>
          <w:szCs w:val="20"/>
        </w:rPr>
        <w:t xml:space="preserve">The Elements of Statistical Learning</w:t>
      </w:r>
      <w:r>
        <w:rPr>
          <w:color w:val="162554"/>
          <w:sz w:val="20"/>
          <w:szCs w:val="20"/>
        </w:rPr>
        <w:t xml:space="preserve">, capitolul 10, pentru tratarea unificată — PDF liber pe pagina lui Trevor Hastie. Anexa B, tema 5.</w:t>
      </w:r>
    </w:p>
    <w:p>
      <w:r>
        <w:br w:type="page"/>
      </w:r>
    </w:p>
    <w:p>
      <w:pPr>
        <w:pStyle w:val="Title"/>
        <w:keepNext/>
        <w:spacing w:after="120" w:before="360" w:line="240" w:lineRule="auto"/>
      </w:pPr>
      <w:r>
        <w:t xml:space="preserve">Partea III · Percentilele pe sector</w:t>
      </w:r>
    </w:p>
    <w:p>
      <w:pPr>
        <w:pStyle w:val="Heading1"/>
        <w:keepNext/>
        <w:spacing w:after="120" w:before="240" w:line="240" w:lineRule="auto"/>
      </w:pPr>
      <w:r>
        <w:t xml:space="preserve">III.1 Ideea</w:t>
      </w:r>
    </w:p>
    <w:p>
      <w:pPr>
        <w:spacing w:after="100"/>
        <w:jc w:val="left"/>
      </w:pPr>
      <w:r>
        <w:t xml:space="preserve">La nivelul început, fiecare rată avea un reper: „lichiditate curentă peste 1,5”. De unde vine 1,5? Din manual. Instrumentul de percentile înlocuiește reperul din manual cu reperul empiric: </w:t>
      </w:r>
      <w:r>
        <w:rPr>
          <w:b/>
          <w:bCs/>
        </w:rPr>
        <w:t xml:space="preserve">unde stă firma în distribuția reală a sectorului ei</w:t>
      </w:r>
      <w:r>
        <w:t xml:space="preserve">.</w:t>
      </w:r>
    </w:p>
    <w:p>
      <w:pPr>
        <w:spacing w:after="100"/>
        <w:jc w:val="left"/>
      </w:pPr>
      <w:r>
        <w:t xml:space="preserve">Schimbarea nu e cosmetică. Pragul de 1,5 cade în percentila 27 în programarea IT și în percentila 67 în transporturile terestre. Același prag, „prudent” prin convenție, respinge 27 % dintr-un sector și 67 % din altul. Nu pragul e greșit, ci ideea că un singur prag poate fi neutru între modele de business diferite.</w:t>
      </w:r>
    </w:p>
    <w:p>
      <w:pPr>
        <w:pStyle w:val="Heading1"/>
        <w:keepNext/>
        <w:spacing w:after="120" w:before="240" w:line="240" w:lineRule="auto"/>
      </w:pPr>
      <w:r>
        <w:t xml:space="preserve">III.2 Funcția de cuantile empirică</w:t>
      </w:r>
    </w:p>
    <w:p>
      <w:pPr>
        <w:spacing w:after="100"/>
        <w:jc w:val="left"/>
      </w:pPr>
      <w:r>
        <w:t xml:space="preserve">Pentru fiecare grup de referință și fiecare rată, aplicația stochează douăzeci și una de valori: percentilele 0, 5, 10, … 100. Notăm vectorul </w:t>
      </w:r>
      <w:r>
        <w:rPr>
          <w:rFonts w:ascii="Consolas" w:cs="Consolas" w:eastAsia="Consolas" w:hAnsi="Consolas"/>
          <w:sz w:val="20"/>
          <w:szCs w:val="20"/>
        </w:rPr>
        <w:t xml:space="preserve">q[0 … 20]</w:t>
      </w:r>
      <w:r>
        <w:t xml:space="preserve">, deci </w:t>
      </w:r>
      <w:r>
        <w:rPr>
          <w:rFonts w:ascii="Consolas" w:cs="Consolas" w:eastAsia="Consolas" w:hAnsi="Consolas"/>
          <w:sz w:val="20"/>
          <w:szCs w:val="20"/>
        </w:rPr>
        <w:t xml:space="preserve">q[10]</w:t>
      </w:r>
      <w:r>
        <w:t xml:space="preserve"> este mediana, </w:t>
      </w:r>
      <w:r>
        <w:rPr>
          <w:rFonts w:ascii="Consolas" w:cs="Consolas" w:eastAsia="Consolas" w:hAnsi="Consolas"/>
          <w:sz w:val="20"/>
          <w:szCs w:val="20"/>
        </w:rPr>
        <w:t xml:space="preserve">q[5]</w:t>
      </w:r>
      <w:r>
        <w:t xml:space="preserve"> și </w:t>
      </w:r>
      <w:r>
        <w:rPr>
          <w:rFonts w:ascii="Consolas" w:cs="Consolas" w:eastAsia="Consolas" w:hAnsi="Consolas"/>
          <w:sz w:val="20"/>
          <w:szCs w:val="20"/>
        </w:rPr>
        <w:t xml:space="preserve">q[15]</w:t>
      </w:r>
      <w:r>
        <w:t xml:space="preserve"> sunt cuartilele.</w:t>
      </w:r>
    </w:p>
    <w:p>
      <w:pPr>
        <w:spacing w:after="100"/>
        <w:jc w:val="left"/>
      </w:pPr>
      <w:r>
        <w:t xml:space="preserve">Percentilele se calculează cu interpolare liniară între valorile ordonate ale eșantionului (convenția implicită din NumPy, tipul 7 în clasificarea Hyndman-Fan). Pentru un eșantion ordonat crescător, percentila </w:t>
      </w:r>
      <w:r>
        <w:rPr>
          <w:rFonts w:ascii="Consolas" w:cs="Consolas" w:eastAsia="Consolas" w:hAnsi="Consolas"/>
          <w:sz w:val="20"/>
          <w:szCs w:val="20"/>
        </w:rPr>
        <w:t xml:space="preserve">P</w:t>
      </w:r>
      <w:r>
        <w:t xml:space="preserve"> se citește la poziția </w:t>
      </w:r>
      <w:r>
        <w:rPr>
          <w:rFonts w:ascii="Consolas" w:cs="Consolas" w:eastAsia="Consolas" w:hAnsi="Consolas"/>
          <w:sz w:val="20"/>
          <w:szCs w:val="20"/>
        </w:rPr>
        <w:t xml:space="preserve">h = (n − 1) × P/100 + 1</w:t>
      </w:r>
      <w:r>
        <w:t xml:space="preserve">, prin interpolare între vecinii ei.</w:t>
      </w:r>
    </w:p>
    <w:p>
      <w:pPr>
        <w:pStyle w:val="Heading1"/>
        <w:keepNext/>
        <w:spacing w:after="120" w:before="240" w:line="240" w:lineRule="auto"/>
      </w:pPr>
      <w:r>
        <w:t xml:space="preserve">III.3 Percentila unei valori</w:t>
      </w:r>
    </w:p>
    <w:p>
      <w:pPr>
        <w:spacing w:after="100"/>
        <w:jc w:val="left"/>
      </w:pPr>
      <w:r>
        <w:t xml:space="preserve">Operația inversă — dat fiind o valoare, în ce percentilă cade — se face prin interpolare liniară în același vector. Dacă </w:t>
      </w:r>
      <w:r>
        <w:rPr>
          <w:rFonts w:ascii="Consolas" w:cs="Consolas" w:eastAsia="Consolas" w:hAnsi="Consolas"/>
          <w:sz w:val="20"/>
          <w:szCs w:val="20"/>
        </w:rPr>
        <w:t xml:space="preserve">v</w:t>
      </w:r>
      <w:r>
        <w:t xml:space="preserve"> se află între </w:t>
      </w:r>
      <w:r>
        <w:rPr>
          <w:rFonts w:ascii="Consolas" w:cs="Consolas" w:eastAsia="Consolas" w:hAnsi="Consolas"/>
          <w:sz w:val="20"/>
          <w:szCs w:val="20"/>
        </w:rPr>
        <w:t xml:space="preserve">q[i]</w:t>
      </w:r>
      <w:r>
        <w:t xml:space="preserve"> și </w:t>
      </w:r>
      <w:r>
        <w:rPr>
          <w:rFonts w:ascii="Consolas" w:cs="Consolas" w:eastAsia="Consolas" w:hAnsi="Consolas"/>
          <w:sz w:val="20"/>
          <w:szCs w:val="20"/>
        </w:rPr>
        <w:t xml:space="preserve">q[i+1]</w:t>
      </w:r>
      <w:r>
        <w:t xml:space="preserve">:</w:t>
      </w:r>
    </w:p>
    <w:p>
      <w:pPr>
        <w:spacing w:after="100"/>
        <w:jc w:val="left"/>
      </w:pPr>
      <w:r>
        <w:rPr>
          <w:rFonts w:ascii="Consolas" w:cs="Consolas" w:eastAsia="Consolas" w:hAnsi="Consolas"/>
          <w:sz w:val="20"/>
          <w:szCs w:val="20"/>
        </w:rPr>
        <w:t xml:space="preserve">percentila(v) = 5 × [ i + (v − q[i]) / (q[i+1] − q[i]) ]</w:t>
      </w:r>
    </w:p>
    <w:p>
      <w:pPr>
        <w:spacing w:after="100"/>
        <w:jc w:val="left"/>
      </w:pPr>
      <w:r>
        <w:t xml:space="preserve">cu saturare la 0 și 100 în afara intervalului. Precizia este limitată de granularitatea de cinci puncte procentuale a vectorului, ceea ce înseamnă o eroare tipică sub un punct de percentilă în zona centrală și mai mare în cozi, unde cuantilele sunt rare — acolo unde, oricum, distincția dintre percentila 97 și 98 nu schimbă nicio decizie.</w:t>
      </w:r>
    </w:p>
    <w:p>
      <w:pPr>
        <w:spacing w:after="100"/>
        <w:jc w:val="left"/>
      </w:pPr>
      <w:r>
        <w:t xml:space="preserve">Pentru ratele la care valoarea mică este de dorit — datorii/capitaluri, zilele de încasare, zilele de stoc — percentila afișată este </w:t>
      </w:r>
      <w:r>
        <w:rPr>
          <w:b/>
          <w:bCs/>
        </w:rPr>
        <w:t xml:space="preserve">inversată</w:t>
      </w:r>
      <w:r>
        <w:t xml:space="preserve"> (100 minus percentila brută), astfel încât „percentila 80” să însemne consecvent „mai bun decât 80 % din grup”, la toate ratele.</w:t>
      </w:r>
    </w:p>
    <w:p>
      <w:pPr>
        <w:pStyle w:val="Heading1"/>
        <w:keepNext/>
        <w:spacing w:after="120" w:before="240" w:line="240" w:lineRule="auto"/>
      </w:pPr>
      <w:r>
        <w:t xml:space="preserve">III.4 Histograma reconstruită din cuantile</w:t>
      </w:r>
    </w:p>
    <w:p>
      <w:pPr>
        <w:spacing w:after="100"/>
        <w:jc w:val="left"/>
      </w:pPr>
      <w:r>
        <w:t xml:space="preserve">Aplicația nu livrează distribuțiile complete, doar cuantilele. Histograma din panoul „Distribuția sectorului” se reconstruiește din ele, folosind un fapt simplu: </w:t>
      </w:r>
      <w:r>
        <w:rPr>
          <w:b/>
          <w:bCs/>
        </w:rPr>
        <w:t xml:space="preserve">între două percentile consecutive se află exact 5 % din firme</w:t>
      </w:r>
      <w:r>
        <w:t xml:space="preserve">.</w:t>
      </w:r>
    </w:p>
    <w:p>
      <w:pPr>
        <w:spacing w:after="100"/>
        <w:jc w:val="left"/>
      </w:pPr>
      <w:r>
        <w:t xml:space="preserve">Algoritmul împarte intervalul de la percentila 5 la percentila 95 în 26 de bare de lățime egală, apoi distribuie masa fiecărui interval de cuantile peste barele pe care le acoperă, proporțional cu suprapunerea. Rezultatul este un estimator al densității care respectă exact cuantilele cunoscute. Nu este o histogramă a datelor brute: în zonele unde cuantilele sunt depărtate, densitatea afișată este netezită liniar. Pentru scopul ei — a arăta unde cade firma și pragul în raport cu masa sectorului — aproximarea este suficientă, dar nu citiți din ea multimodalitate.</w:t>
      </w:r>
    </w:p>
    <w:p>
      <w:pPr>
        <w:pStyle w:val="Heading1"/>
        <w:keepNext/>
        <w:spacing w:after="120" w:before="240" w:line="240" w:lineRule="auto"/>
      </w:pPr>
      <w:r>
        <w:t xml:space="preserve">III.5 Grupul de referință</w:t>
      </w:r>
    </w:p>
    <w:p>
      <w:pPr>
        <w:spacing w:after="100"/>
        <w:jc w:val="left"/>
      </w:pPr>
      <w:r>
        <w:t xml:space="preserve">Trei niveluri, selectabile: </w:t>
      </w:r>
      <w:r>
        <w:rPr>
          <w:b/>
          <w:bCs/>
        </w:rPr>
        <w:t xml:space="preserve">sectorul și banda de mărime</w:t>
      </w:r>
      <w:r>
        <w:t xml:space="preserve"> (implicit), </w:t>
      </w:r>
      <w:r>
        <w:rPr>
          <w:b/>
          <w:bCs/>
        </w:rPr>
        <w:t xml:space="preserve">tot sectorul</w:t>
      </w:r>
      <w:r>
        <w:t xml:space="preserve">, </w:t>
      </w:r>
      <w:r>
        <w:rPr>
          <w:b/>
          <w:bCs/>
        </w:rPr>
        <w:t xml:space="preserve">toată piața</w:t>
      </w:r>
      <w:r>
        <w:t xml:space="preserve">. Sectorul este diviziunea CAEN la două cifre (88 de diviziuni prezente). Benzile de mărime, după cifra de afaceri: sub 2 milioane lei, 2–10, 10–50, peste 50.</w:t>
      </w:r>
    </w:p>
    <w:p>
      <w:pPr>
        <w:spacing w:after="100"/>
        <w:jc w:val="left"/>
      </w:pPr>
      <w:r>
        <w:t xml:space="preserve">Pragurile de acoperire: o celulă se afișează de la </w:t>
      </w:r>
      <w:r>
        <w:rPr>
          <w:b/>
          <w:bCs/>
        </w:rPr>
        <w:t xml:space="preserve">30 de firme</w:t>
      </w:r>
      <w:r>
        <w:t xml:space="preserve"> în sus, iar sub acest prag aplicația coboară automat la tot sectorul și marchează situația. Din cele 352 de combinații posibile sector × bandă, 181 au cel puțin 100 de firme și acoperă 99,3 % din firmele analizabile.</w:t>
      </w:r>
    </w:p>
    <w:p>
      <w:pPr>
        <w:spacing w:after="100"/>
        <w:jc w:val="left"/>
      </w:pPr>
      <w:r>
        <w:t xml:space="preserve">Alegerea grupului mișcă verdictul mai mult decât alegerea pragului, iar acesta este exercițiul de la acest instrument: lichiditatea de 0,47 a Auchan cade în percentila 23 raportat la tot comerțul cu amănuntul, dar în percentila 5 raportat la cei 549 de retaileri de mărimea lui. Ambele cifre sunt corecte. Prima spune „nu e neobișnuit în comerț”, a doua spune „e neobișnuit între cei comparabili”.</w:t>
      </w:r>
    </w:p>
    <w:p>
      <w:pPr>
        <w:pBdr>
          <w:left w:val="single" w:color="D9720F" w:sz="18" w:space="8"/>
        </w:pBdr>
        <w:shd w:fill="FFF4E6" w:color="auto" w:val="clear"/>
        <w:spacing w:after="40" w:before="40"/>
        <w:ind w:left="200"/>
      </w:pPr>
      <w:r>
        <w:rPr>
          <w:b/>
          <w:bCs/>
          <w:color w:val="162554"/>
          <w:sz w:val="20"/>
          <w:szCs w:val="20"/>
        </w:rPr>
        <w:t xml:space="preserve">Citește mai departe:</w:t>
      </w:r>
      <w:r>
        <w:rPr>
          <w:color w:val="162554"/>
          <w:sz w:val="20"/>
          <w:szCs w:val="20"/>
        </w:rPr>
        <w:t xml:space="preserve"> Hyndman &amp; Fan (1996) pentru convențiile de calcul al cuantilelor, care diferă între pachete statistice și produc rezultate ușor diferite pe același eșantion. Anexa B, tema 6.</w:t>
      </w:r>
    </w:p>
    <w:p>
      <w:r>
        <w:br w:type="page"/>
      </w:r>
    </w:p>
    <w:p>
      <w:pPr>
        <w:pStyle w:val="Title"/>
        <w:keepNext/>
        <w:spacing w:after="120" w:before="360" w:line="240" w:lineRule="auto"/>
      </w:pPr>
      <w:r>
        <w:t xml:space="preserve">Partea IV · Laboratorul de anomalii</w:t>
      </w:r>
    </w:p>
    <w:p>
      <w:pPr>
        <w:pStyle w:val="Heading1"/>
        <w:keepNext/>
        <w:spacing w:after="120" w:before="240" w:line="240" w:lineRule="auto"/>
      </w:pPr>
      <w:r>
        <w:t xml:space="preserve">IV.1 Verificările de plauzibilitate</w:t>
      </w:r>
    </w:p>
    <w:p>
      <w:pPr>
        <w:spacing w:after="100"/>
        <w:jc w:val="left"/>
      </w:pPr>
      <w:r>
        <w:t xml:space="preserve">Șapte verificări deterministe, aplicate firmei căutate, fiecare afișată împreună cu frecvența ei în populație. Toleranța pentru comparațiile de egalitate este</w:t>
      </w:r>
    </w:p>
    <w:p>
      <w:pPr>
        <w:spacing w:after="100"/>
        <w:jc w:val="left"/>
      </w:pPr>
      <w:r>
        <w:rPr>
          <w:rFonts w:ascii="Consolas" w:cs="Consolas" w:eastAsia="Consolas" w:hAnsi="Consolas"/>
          <w:sz w:val="20"/>
          <w:szCs w:val="20"/>
        </w:rPr>
        <w:t xml:space="preserve">toleranță = max(1.000 lei, 0,5 % din mărimea de referință)</w:t>
      </w:r>
    </w:p>
    <w:p>
      <w:pPr>
        <w:spacing w:after="100"/>
        <w:jc w:val="left"/>
      </w:pPr>
      <w:r>
        <w:t xml:space="preserve">și este necesară: rotunjirile din raportare produc diferențe de câțiva lei care nu înseamnă nimic.</w:t>
      </w:r>
    </w:p>
    <w:p>
      <w:pPr>
        <w:spacing w:after="100"/>
        <w:jc w:val="left"/>
      </w:pPr>
      <w:r>
        <w:t xml:space="preserve">Rezultatul global este el însuși constatarea principală: identitățile contabile </w:t>
      </w:r>
      <w:r>
        <w:rPr>
          <w:b/>
          <w:bCs/>
        </w:rPr>
        <w:t xml:space="preserve">se verifică</w:t>
      </w:r>
      <w:r>
        <w:t xml:space="preserve">. Din 891.727 de bilanțuri pe 2025, doar </w:t>
      </w:r>
      <w:r>
        <w:rPr>
          <w:b/>
          <w:bCs/>
        </w:rPr>
        <w:t xml:space="preserve">11</w:t>
      </w:r>
      <w:r>
        <w:t xml:space="preserve"> nu se închid la toleranța de 0,5 %, iar 14 la toleranța de 100 lei; la toleranță de un leu apar 6.911, adică discrepanțe de ordinul rotunjirii. Egalitatea „venituri minus cheltuieli egal rezultat brut” nu este încălcată nicăieri. Explicația: depunerile sunt validate electronic la depunere.</w:t>
      </w:r>
    </w:p>
    <w:p>
      <w:pPr>
        <w:spacing w:after="100"/>
        <w:jc w:val="left"/>
      </w:pPr>
      <w:r>
        <w:t xml:space="preserve">Ce rămâne nu este fraudă, ci igienă de date, și chiar și acolo explicația e de obicei banală: 24.291 de firme (2,72 %) raportează valori negative imposibile, dominate de </w:t>
      </w:r>
      <w:r>
        <w:rPr>
          <w:b/>
          <w:bCs/>
        </w:rPr>
        <w:t xml:space="preserve">numerar negativ</w:t>
      </w:r>
      <w:r>
        <w:t xml:space="preserve"> (17.911 cazuri), care e aproape sigur un descoperit de cont trecut pe linia de trezorerie — o convenție de raportare. De aceea panoul afișează frecvența lângă fiecare verificare: fără ea, orice verificare produce alarme false.</w:t>
      </w:r>
    </w:p>
    <w:p>
      <w:pPr>
        <w:pStyle w:val="Heading1"/>
        <w:keepNext/>
        <w:spacing w:after="120" w:before="240" w:line="240" w:lineRule="auto"/>
      </w:pPr>
      <w:r>
        <w:t xml:space="preserve">IV.2 Discontinuitatea rezultatului la zero</w:t>
      </w:r>
    </w:p>
    <w:p>
      <w:pPr>
        <w:spacing w:after="100"/>
        <w:jc w:val="left"/>
      </w:pPr>
      <w:r>
        <w:rPr>
          <w:b/>
          <w:bCs/>
        </w:rPr>
        <w:t xml:space="preserve">Constatarea.</w:t>
      </w:r>
      <w:r>
        <w:t xml:space="preserve"> Se construiește histograma rezultatului net raportat la activele totale, cu bare de un punct procentual, pe firmele cu active și cifră de afaceri de peste 100.000 lei. Distribuția crește lin dinspre pierderi, </w:t>
      </w:r>
      <w:r>
        <w:rPr>
          <w:b/>
          <w:bCs/>
        </w:rPr>
        <w:t xml:space="preserve">sare brusc la trecerea peste zero</w:t>
      </w:r>
      <w:r>
        <w:t xml:space="preserve"> și scade lin după. În 2025: 3.761 de firme în intervalul −1 %…0 și 21.918 în intervalul 0…+1 %, adică un raport de </w:t>
      </w:r>
      <w:r>
        <w:rPr>
          <w:b/>
          <w:bCs/>
        </w:rPr>
        <w:t xml:space="preserve">5,83×</w:t>
      </w:r>
      <w:r>
        <w:t xml:space="preserve">.</w:t>
      </w:r>
    </w:p>
    <w:p>
      <w:pPr>
        <w:spacing w:after="100"/>
        <w:jc w:val="left"/>
      </w:pPr>
      <w:r>
        <w:rPr>
          <w:b/>
          <w:bCs/>
        </w:rPr>
        <w:t xml:space="preserve">Interpretarea.</w:t>
      </w:r>
      <w:r>
        <w:t xml:space="preserve"> Este semnătura statistică a evitării raportării pierderilor mici, descrisă de Burgstahler &amp; Dichev (1997): când rezultatul iese ușor negativ, se găsește o ajustare contabilă care îl aduce ușor pozitiv. Fenomenul nu spune nimic despre o firmă anume — un profit de 0,4 % din active poate fi perfect real — dar spune ceva important despre populație: în vecinătatea lui zero, informația din semnul rezultatului este degradată sistematic.</w:t>
      </w:r>
    </w:p>
    <w:p>
      <w:pPr>
        <w:spacing w:after="100"/>
        <w:jc w:val="left"/>
      </w:pPr>
      <w:r>
        <w:rPr>
          <w:b/>
          <w:bCs/>
        </w:rPr>
        <w:t xml:space="preserve">Cum se măsoară deficitul.</w:t>
      </w:r>
      <w:r>
        <w:t xml:space="preserve"> Numărul de firme „lipsă” din intervalul de sub zero se raportează la o interpolare între vecini:</w:t>
      </w:r>
    </w:p>
    <w:p>
      <w:pPr>
        <w:spacing w:after="100"/>
        <w:jc w:val="left"/>
      </w:pPr>
      <w:r>
        <w:rPr>
          <w:rFonts w:ascii="Consolas" w:cs="Consolas" w:eastAsia="Consolas" w:hAnsi="Consolas"/>
          <w:sz w:val="20"/>
          <w:szCs w:val="20"/>
        </w:rPr>
        <w:t xml:space="preserve">deficit = 1 − h(−1…0) / [ ( h(−2…−1) + h(+1…+2) ) / 2 ]</w:t>
      </w:r>
    </w:p>
    <w:p>
      <w:pPr>
        <w:spacing w:after="100"/>
        <w:jc w:val="left"/>
      </w:pPr>
      <w:r>
        <w:t xml:space="preserve">ceea ce dă 58,2 % pentru 2025. Observați ancorele: intervalul imediat de peste zero </w:t>
      </w:r>
      <w:r>
        <w:rPr>
          <w:b/>
          <w:bCs/>
        </w:rPr>
        <w:t xml:space="preserve">nu</w:t>
      </w:r>
      <w:r>
        <w:t xml:space="preserve"> se folosește, pentru că el este tocmai cel umflat de fenomen; folosirea lui ar supraestima deficitul (ar da 71 %). Alegerea aceasta este conservatoare și este declarată pe ecran.</w:t>
      </w:r>
    </w:p>
    <w:p>
      <w:pPr>
        <w:spacing w:after="100"/>
        <w:jc w:val="left"/>
      </w:pPr>
      <w:r>
        <w:rPr>
          <w:b/>
          <w:bCs/>
        </w:rPr>
        <w:t xml:space="preserve">Testele de robustețe</w:t>
      </w:r>
      <w:r>
        <w:t xml:space="preserve">, toate afișabile în instrument sau verificate la construcție: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49"/>
        <w:gridCol w:w="4011"/>
      </w:tblGrid>
      <w:tr>
        <w:trPr>
          <w:tblHeader/>
        </w:trPr>
        <w:tc>
          <w:tcPr>
            <w:tcW w:type="dxa" w:w="5349"/>
            <w:shd w:fill="EDF3FF" w:color="auto" w:val="clear"/>
            <w:tcMar>
              <w:top w:type="dxa" w:w="60"/>
              <w:left w:type="dxa" w:w="90"/>
              <w:bottom w:type="dxa" w:w="60"/>
              <w:right w:type="dxa" w:w="90"/>
            </w:tcMar>
          </w:tcPr>
          <w:p>
            <w:pPr>
              <w:keepNext/>
              <w:spacing w:after="0" w:before="0"/>
            </w:pPr>
            <w:r>
              <w:rPr>
                <w:b/>
                <w:bCs/>
                <w:color w:val="1A35A8"/>
                <w:sz w:val="18"/>
                <w:szCs w:val="18"/>
              </w:rPr>
              <w:t xml:space="preserve">Test</w:t>
            </w:r>
          </w:p>
        </w:tc>
        <w:tc>
          <w:tcPr>
            <w:tcW w:type="dxa" w:w="4011"/>
            <w:shd w:fill="EDF3FF" w:color="auto" w:val="clear"/>
            <w:tcMar>
              <w:top w:type="dxa" w:w="60"/>
              <w:left w:type="dxa" w:w="90"/>
              <w:bottom w:type="dxa" w:w="60"/>
              <w:right w:type="dxa" w:w="90"/>
            </w:tcMar>
          </w:tcPr>
          <w:p>
            <w:pPr>
              <w:keepNext/>
              <w:spacing w:after="0" w:before="0"/>
            </w:pPr>
            <w:r>
              <w:rPr>
                <w:b/>
                <w:bCs/>
                <w:color w:val="1A35A8"/>
                <w:sz w:val="18"/>
                <w:szCs w:val="18"/>
              </w:rPr>
              <w:t xml:space="preserve">Rezultat</w:t>
            </w:r>
          </w:p>
        </w:tc>
      </w:tr>
      <w:tr>
        <w:trPr>
          <w:tblHeader w:val="false"/>
        </w:trPr>
        <w:tc>
          <w:tcPr>
            <w:tcW w:type="dxa" w:w="5349"/>
            <w:tcMar>
              <w:top w:type="dxa" w:w="60"/>
              <w:left w:type="dxa" w:w="90"/>
              <w:bottom w:type="dxa" w:w="60"/>
              <w:right w:type="dxa" w:w="90"/>
            </w:tcMar>
          </w:tcPr>
          <w:p>
            <w:pPr>
              <w:keepNext/>
              <w:spacing w:after="0" w:before="0"/>
            </w:pPr>
            <w:r>
              <w:rPr>
                <w:b w:val="false"/>
                <w:bCs w:val="false"/>
                <w:color w:val="162554"/>
                <w:sz w:val="18"/>
                <w:szCs w:val="18"/>
              </w:rPr>
              <w:t xml:space="preserve">Stabilitate în timp</w:t>
            </w:r>
          </w:p>
        </w:tc>
        <w:tc>
          <w:tcPr>
            <w:tcW w:type="dxa" w:w="4011"/>
            <w:tcMar>
              <w:top w:type="dxa" w:w="60"/>
              <w:left w:type="dxa" w:w="90"/>
              <w:bottom w:type="dxa" w:w="60"/>
              <w:right w:type="dxa" w:w="90"/>
            </w:tcMar>
          </w:tcPr>
          <w:p>
            <w:pPr>
              <w:keepNext/>
              <w:spacing w:after="0" w:before="0"/>
            </w:pPr>
            <w:r>
              <w:rPr>
                <w:b w:val="false"/>
                <w:bCs w:val="false"/>
                <w:color w:val="162554"/>
                <w:sz w:val="18"/>
                <w:szCs w:val="18"/>
              </w:rPr>
              <w:t xml:space="preserve">5,70× în 2023, 5,44× în 2024, 5,83× în 2025</w:t>
            </w:r>
          </w:p>
        </w:tc>
      </w:tr>
      <w:tr>
        <w:trPr>
          <w:tblHeader w:val="false"/>
        </w:trPr>
        <w:tc>
          <w:tcPr>
            <w:tcW w:type="dxa" w:w="5349"/>
            <w:tcMar>
              <w:top w:type="dxa" w:w="60"/>
              <w:left w:type="dxa" w:w="90"/>
              <w:bottom w:type="dxa" w:w="60"/>
              <w:right w:type="dxa" w:w="90"/>
            </w:tcMar>
          </w:tcPr>
          <w:p>
            <w:pPr>
              <w:keepNext/>
              <w:spacing w:after="0" w:before="0"/>
            </w:pPr>
            <w:r>
              <w:rPr>
                <w:b w:val="false"/>
                <w:bCs w:val="false"/>
                <w:color w:val="162554"/>
                <w:sz w:val="18"/>
                <w:szCs w:val="18"/>
              </w:rPr>
              <w:t xml:space="preserve">Lățimea barei</w:t>
            </w:r>
          </w:p>
        </w:tc>
        <w:tc>
          <w:tcPr>
            <w:tcW w:type="dxa" w:w="4011"/>
            <w:tcMar>
              <w:top w:type="dxa" w:w="60"/>
              <w:left w:type="dxa" w:w="90"/>
              <w:bottom w:type="dxa" w:w="60"/>
              <w:right w:type="dxa" w:w="90"/>
            </w:tcMar>
          </w:tcPr>
          <w:p>
            <w:pPr>
              <w:keepNext/>
              <w:spacing w:after="0" w:before="0"/>
            </w:pPr>
            <w:r>
              <w:rPr>
                <w:b w:val="false"/>
                <w:bCs w:val="false"/>
                <w:color w:val="162554"/>
                <w:sz w:val="18"/>
                <w:szCs w:val="18"/>
              </w:rPr>
              <w:t xml:space="preserve">6,96× la 0,5 pp, 5,83× la 1 pp, 4,99× la 2 pp</w:t>
            </w:r>
          </w:p>
        </w:tc>
      </w:tr>
      <w:tr>
        <w:trPr>
          <w:tblHeader w:val="false"/>
        </w:trPr>
        <w:tc>
          <w:tcPr>
            <w:tcW w:type="dxa" w:w="5349"/>
            <w:tcMar>
              <w:top w:type="dxa" w:w="60"/>
              <w:left w:type="dxa" w:w="90"/>
              <w:bottom w:type="dxa" w:w="60"/>
              <w:right w:type="dxa" w:w="90"/>
            </w:tcMar>
          </w:tcPr>
          <w:p>
            <w:pPr>
              <w:keepNext/>
              <w:spacing w:after="0" w:before="0"/>
            </w:pPr>
            <w:r>
              <w:rPr>
                <w:b w:val="false"/>
                <w:bCs w:val="false"/>
                <w:color w:val="162554"/>
                <w:sz w:val="18"/>
                <w:szCs w:val="18"/>
              </w:rPr>
              <w:t xml:space="preserve">Schimbarea numitorului (cifra de afaceri în loc de active)</w:t>
            </w:r>
          </w:p>
        </w:tc>
        <w:tc>
          <w:tcPr>
            <w:tcW w:type="dxa" w:w="4011"/>
            <w:tcMar>
              <w:top w:type="dxa" w:w="60"/>
              <w:left w:type="dxa" w:w="90"/>
              <w:bottom w:type="dxa" w:w="60"/>
              <w:right w:type="dxa" w:w="90"/>
            </w:tcMar>
          </w:tcPr>
          <w:p>
            <w:pPr>
              <w:keepNext/>
              <w:spacing w:after="0" w:before="0"/>
            </w:pPr>
            <w:r>
              <w:rPr>
                <w:b w:val="false"/>
                <w:bCs w:val="false"/>
                <w:color w:val="162554"/>
                <w:sz w:val="18"/>
                <w:szCs w:val="18"/>
              </w:rPr>
              <w:t xml:space="preserve">6,97× / 6,41× / 5,48× la aceleași lățimi</w:t>
            </w:r>
          </w:p>
        </w:tc>
      </w:tr>
      <w:tr>
        <w:trPr>
          <w:tblHeader w:val="false"/>
        </w:trPr>
        <w:tc>
          <w:tcPr>
            <w:tcW w:type="dxa" w:w="5349"/>
            <w:tcMar>
              <w:top w:type="dxa" w:w="60"/>
              <w:left w:type="dxa" w:w="90"/>
              <w:bottom w:type="dxa" w:w="60"/>
              <w:right w:type="dxa" w:w="90"/>
            </w:tcMar>
          </w:tcPr>
          <w:p>
            <w:pPr>
              <w:keepNext w:val="false"/>
              <w:spacing w:after="0" w:before="0"/>
            </w:pPr>
            <w:r>
              <w:rPr>
                <w:b w:val="false"/>
                <w:bCs w:val="false"/>
                <w:color w:val="162554"/>
                <w:sz w:val="18"/>
                <w:szCs w:val="18"/>
              </w:rPr>
              <w:t xml:space="preserve">Mărime de control fără semnificație de prag (creanțe / active)</w:t>
            </w:r>
          </w:p>
        </w:tc>
        <w:tc>
          <w:tcPr>
            <w:tcW w:type="dxa" w:w="4011"/>
            <w:tcMar>
              <w:top w:type="dxa" w:w="60"/>
              <w:left w:type="dxa" w:w="90"/>
              <w:bottom w:type="dxa" w:w="60"/>
              <w:right w:type="dxa" w:w="90"/>
            </w:tcMar>
          </w:tcPr>
          <w:p>
            <w:pPr>
              <w:keepNext w:val="false"/>
              <w:spacing w:after="0" w:before="0"/>
            </w:pPr>
            <w:r>
              <w:rPr>
                <w:b w:val="false"/>
                <w:bCs w:val="false"/>
                <w:color w:val="162554"/>
                <w:sz w:val="18"/>
                <w:szCs w:val="18"/>
              </w:rPr>
              <w:t xml:space="preserve">nicio discontinuitate</w:t>
            </w:r>
          </w:p>
        </w:tc>
      </w:tr>
    </w:tbl>
    <w:p>
      <w:pPr>
        <w:spacing w:after="80"/>
      </w:pPr>
    </w:p>
    <w:p>
      <w:pPr>
        <w:spacing w:after="100"/>
        <w:jc w:val="left"/>
      </w:pPr>
      <w:r>
        <w:rPr>
          <w:b/>
          <w:bCs/>
        </w:rPr>
        <w:t xml:space="preserve">Structura.</w:t>
      </w:r>
      <w:r>
        <w:t xml:space="preserve"> Fenomenul este cel mai puternic la firmele mici și medii — 9,32× în banda 2–10 milioane lei și 7,85× în 10–50 milioane — adică exact în segmentul de creditare al unei bănci comerciale. Pe sectoare, maximul este la activitățile juridice și de contabilitate (12,25×), minimul la tranzacții imobiliare (2,38×).</w:t>
      </w:r>
    </w:p>
    <w:p>
      <w:pPr>
        <w:pBdr>
          <w:left w:val="single" w:color="D9720F" w:sz="18" w:space="8"/>
        </w:pBdr>
        <w:shd w:fill="FFF4E6" w:color="auto" w:val="clear"/>
        <w:spacing w:after="40" w:before="40"/>
        <w:ind w:left="200"/>
      </w:pPr>
      <w:r>
        <w:rPr>
          <w:b/>
          <w:bCs/>
          <w:color w:val="162554"/>
          <w:sz w:val="20"/>
          <w:szCs w:val="20"/>
        </w:rPr>
        <w:t xml:space="preserve">Citește mai departe:</w:t>
      </w:r>
      <w:r>
        <w:rPr>
          <w:color w:val="162554"/>
          <w:sz w:val="20"/>
          <w:szCs w:val="20"/>
        </w:rPr>
        <w:t xml:space="preserve"> Burgstahler &amp; Dichev (1997) pentru testul original; Degeorge, Patel &amp; Zeckhauser (1999) pentru pragurile multiple (zero, anul anterior, prognoza analiștilor); Dechow, Ge &amp; Schrand (2010) pentru o sinteză a literaturii de calitate a rezultatului. Anexa B, tema 7.</w:t>
      </w:r>
    </w:p>
    <w:p>
      <w:pPr>
        <w:pStyle w:val="Heading1"/>
        <w:keepNext/>
        <w:spacing w:after="120" w:before="240" w:line="240" w:lineRule="auto"/>
      </w:pPr>
      <w:r>
        <w:t xml:space="preserve">IV.3 Legea Benford și capcana ei</w:t>
      </w:r>
    </w:p>
    <w:p>
      <w:pPr>
        <w:spacing w:after="100"/>
        <w:jc w:val="left"/>
      </w:pPr>
      <w:r>
        <w:rPr>
          <w:b/>
          <w:bCs/>
        </w:rPr>
        <w:t xml:space="preserve">Legea.</w:t>
      </w:r>
      <w:r>
        <w:t xml:space="preserve"> În multe colecții de numere care se întind pe mai multe ordine de mărime, prima cifră semnificativă nu este uniform distribuită: cifra 1 apare în circa 30 % din cazuri, cifra 9 în mai puțin de 5 %. Probabilitatea prezisă pentru cifra </w:t>
      </w:r>
      <w:r>
        <w:rPr>
          <w:rFonts w:ascii="Consolas" w:cs="Consolas" w:eastAsia="Consolas" w:hAnsi="Consolas"/>
          <w:sz w:val="20"/>
          <w:szCs w:val="20"/>
        </w:rPr>
        <w:t xml:space="preserve">d</w:t>
      </w:r>
      <w:r>
        <w:t xml:space="preserve">:</w:t>
      </w:r>
    </w:p>
    <w:p>
      <w:pPr>
        <w:spacing w:after="100"/>
        <w:jc w:val="left"/>
      </w:pPr>
      <w:r>
        <w:rPr>
          <w:rFonts w:ascii="Consolas" w:cs="Consolas" w:eastAsia="Consolas" w:hAnsi="Consolas"/>
          <w:sz w:val="20"/>
          <w:szCs w:val="20"/>
        </w:rPr>
        <w:t xml:space="preserve">P(d) = log10( 1 + 1/d )</w:t>
      </w:r>
      <w:r>
        <w:t xml:space="preserve">,  pentru </w:t>
      </w:r>
      <w:r>
        <w:rPr>
          <w:rFonts w:ascii="Consolas" w:cs="Consolas" w:eastAsia="Consolas" w:hAnsi="Consolas"/>
          <w:sz w:val="20"/>
          <w:szCs w:val="20"/>
        </w:rPr>
        <w:t xml:space="preserve">d = 1 … 9</w:t>
      </w:r>
    </w:p>
    <w:p>
      <w:pPr>
        <w:spacing w:after="100"/>
        <w:jc w:val="left"/>
      </w:pPr>
      <w:r>
        <w:t xml:space="preserve">Intuiția din spate este invarianța la scară: o distribuție a cifrelor care nu se schimbă când treci de la lei la euro sau de la metri la picioare trebuie să fie exact aceasta. Formalizarea riguroasă (Hill, 1995) arată că legea apare când datele provin din amestecarea mai multor distribuții cu scări diferite — situația tipică a unei populații de firme de mărimi foarte diferite.</w:t>
      </w:r>
    </w:p>
    <w:p>
      <w:pPr>
        <w:spacing w:after="100"/>
        <w:jc w:val="left"/>
      </w:pPr>
      <w:r>
        <w:rPr>
          <w:b/>
          <w:bCs/>
        </w:rPr>
        <w:t xml:space="preserve">Indicatorul.</w:t>
      </w:r>
      <w:r>
        <w:t xml:space="preserve"> Aplicația raportează abaterea absolută medie a lui Nigrini:</w:t>
      </w:r>
    </w:p>
    <w:p>
      <w:pPr>
        <w:spacing w:after="100"/>
        <w:jc w:val="left"/>
      </w:pPr>
      <w:r>
        <w:rPr>
          <w:rFonts w:ascii="Consolas" w:cs="Consolas" w:eastAsia="Consolas" w:hAnsi="Consolas"/>
          <w:sz w:val="20"/>
          <w:szCs w:val="20"/>
        </w:rPr>
        <w:t xml:space="preserve">MAD = (1/9) · Σ_cifre | p_observat(d) − P(d) |</w:t>
      </w:r>
    </w:p>
    <w:p>
      <w:pPr>
        <w:spacing w:after="100"/>
        <w:jc w:val="left"/>
      </w:pPr>
      <w:r>
        <w:t xml:space="preserve">cu pragurile de interpretare propuse de Nigrini: sub 0,006 conformitate strânsă, 0,006–0,012 acceptabilă, 0,012–0,015 marginală, peste 0,015 neconformitate. Valorile intrate în calcul sunt cele de peste 1.000 lei în valoare absolută, din zece poziții raportate (sau șapte, în varianta „doar poziții de bilanț”).</w:t>
      </w:r>
    </w:p>
    <w:p>
      <w:pPr>
        <w:spacing w:after="100"/>
        <w:jc w:val="left"/>
      </w:pPr>
      <w:r>
        <w:rPr>
          <w:b/>
          <w:bCs/>
        </w:rPr>
        <w:t xml:space="preserve">Rezultatul global:</w:t>
      </w:r>
      <w:r>
        <w:t xml:space="preserve"> pe 6.978.640 de valori din 2025, </w:t>
      </w:r>
      <w:r>
        <w:rPr>
          <w:b/>
          <w:bCs/>
        </w:rPr>
        <w:t xml:space="preserve">MAD = 0,0038</w:t>
      </w:r>
      <w:r>
        <w:t xml:space="preserve">, adică conformitate strânsă. Pe date validate la depunere, testul Benford nu găsește nimic la nivel de populație. Aceasta este o constatare, nu un eșec al metodei.</w:t>
      </w:r>
    </w:p>
    <w:p>
      <w:pPr>
        <w:spacing w:after="100"/>
        <w:jc w:val="left"/>
      </w:pPr>
      <w:r>
        <w:rPr>
          <w:b/>
          <w:bCs/>
        </w:rPr>
        <w:t xml:space="preserve">Capcana, și de ce e în instrument intenționat.</w:t>
      </w:r>
      <w:r>
        <w:t xml:space="preserve"> Filtrați pe banda de mărime „firme mici, 2–10 milioane lei” cu toate câmpurile incluse: MAD urcă la </w:t>
      </w:r>
      <w:r>
        <w:rPr>
          <w:b/>
          <w:bCs/>
        </w:rPr>
        <w:t xml:space="preserve">0,0174</w:t>
      </w:r>
      <w:r>
        <w:t xml:space="preserve">, adică neconformitate. Tentația este să concluzionați că firmele mici raportează suspect. Nu este cazul, și dovada are două părți:</w:t>
      </w:r>
    </w:p>
    <w:p>
      <w:pPr>
        <w:pStyle w:val="ListParagraph"/>
        <w:numPr>
          <w:ilvl w:val="0"/>
          <w:numId w:val="3"/>
        </w:numPr>
        <w:spacing w:after="60"/>
      </w:pPr>
      <w:r>
        <w:t xml:space="preserve">Scoateți din calcul cifra de afaceri, veniturile și cheltuielile — exact câmpurile prin care este </w:t>
      </w:r>
      <w:r>
        <w:rPr>
          <w:i/>
          <w:iCs/>
        </w:rPr>
        <w:t xml:space="preserve">definită</w:t>
      </w:r>
      <w:r>
        <w:t xml:space="preserve"> banda de mărime — și MAD scade la </w:t>
      </w:r>
      <w:r>
        <w:rPr>
          <w:b/>
          <w:bCs/>
        </w:rPr>
        <w:t xml:space="preserve">0,0024</w:t>
      </w:r>
      <w:r>
        <w:t xml:space="preserve">.</w:t>
      </w:r>
    </w:p>
    <w:p>
      <w:pPr>
        <w:pStyle w:val="ListParagraph"/>
        <w:numPr>
          <w:ilvl w:val="0"/>
          <w:numId w:val="3"/>
        </w:numPr>
        <w:spacing w:after="60"/>
      </w:pPr>
      <w:r>
        <w:t xml:space="preserve">Subeșantioane </w:t>
      </w:r>
      <w:r>
        <w:rPr>
          <w:b/>
          <w:bCs/>
        </w:rPr>
        <w:t xml:space="preserve">aleatoare</w:t>
      </w:r>
      <w:r>
        <w:t xml:space="preserve"> din toată populația, de aceeași dimensiune cu banda, dau toate MAD în jur de 0,0039, deci efectul nu vine din numărul de observații.</w:t>
      </w:r>
    </w:p>
    <w:p>
      <w:pPr>
        <w:spacing w:after="100"/>
        <w:jc w:val="left"/>
      </w:pPr>
      <w:r>
        <w:t xml:space="preserve">Explicația: filtrarea pe cifra de afaceri comprimă intervalul de valori al variabilei pe care apoi o testați, iar legea Benford presupune valori întinse pe mai multe ordine de mărime. Testul nu mai este aplicabil, iar „neconformitatea” este un artefact al modului în care ați tăiat datele.</w:t>
      </w:r>
    </w:p>
    <w:p>
      <w:pPr>
        <w:spacing w:after="100"/>
        <w:jc w:val="left"/>
      </w:pPr>
      <w:r>
        <w:t xml:space="preserve">Lecția de metodă depășește Benford: </w:t>
      </w:r>
      <w:r>
        <w:rPr>
          <w:b/>
          <w:bCs/>
        </w:rPr>
        <w:t xml:space="preserve">un instrument care produce un indicator produce și iluzia unei descoperiri</w:t>
      </w:r>
      <w:r>
        <w:t xml:space="preserve">. Diferența o face designul testului, nu softul — și este exact eroarea pe care o va face un asistent AI pus să „caute anomalii” într-un set de date.</w:t>
      </w:r>
    </w:p>
    <w:p>
      <w:pPr>
        <w:pBdr>
          <w:left w:val="single" w:color="D9720F" w:sz="18" w:space="8"/>
        </w:pBdr>
        <w:shd w:fill="FFF4E6" w:color="auto" w:val="clear"/>
        <w:spacing w:after="40" w:before="40"/>
        <w:ind w:left="200"/>
      </w:pPr>
      <w:r>
        <w:rPr>
          <w:b/>
          <w:bCs/>
          <w:color w:val="162554"/>
          <w:sz w:val="20"/>
          <w:szCs w:val="20"/>
        </w:rPr>
        <w:t xml:space="preserve">Citește mai departe:</w:t>
      </w:r>
      <w:r>
        <w:rPr>
          <w:color w:val="162554"/>
          <w:sz w:val="20"/>
          <w:szCs w:val="20"/>
        </w:rPr>
        <w:t xml:space="preserve"> Benford (1938) și, înaintea lui, Newcomb (1881); Hill (1995) pentru derivarea statistică; Nigrini (2012) pentru aplicațiile în audit, pragurile MAD și testele pe a doua cifră și pe primele două cifre. Anexa B, tema 8.</w:t>
      </w:r>
    </w:p>
    <w:p>
      <w:pPr>
        <w:pStyle w:val="Heading1"/>
        <w:keepNext/>
        <w:spacing w:after="120" w:before="240" w:line="240" w:lineRule="auto"/>
      </w:pPr>
      <w:r>
        <w:t xml:space="preserve">IV.4 Distanța Mahalanobis robustă</w:t>
      </w:r>
    </w:p>
    <w:p>
      <w:pPr>
        <w:spacing w:after="100"/>
        <w:jc w:val="left"/>
      </w:pPr>
      <w:r>
        <w:rPr>
          <w:b/>
          <w:bCs/>
        </w:rPr>
        <w:t xml:space="preserve">Problema.</w:t>
      </w:r>
      <w:r>
        <w:t xml:space="preserve"> Vrem firmele „atipice” din interiorul unui sector, ținând cont de faptul că structurile de bilanț sunt corelate între ele: la un retailer, stocuri mari merg împreună cu datorii comerciale mari, deci fiecare separat nu e anormal, dar combinația poate fi.</w:t>
      </w:r>
    </w:p>
    <w:p>
      <w:pPr>
        <w:spacing w:after="100"/>
        <w:jc w:val="left"/>
      </w:pPr>
      <w:r>
        <w:rPr>
          <w:b/>
          <w:bCs/>
        </w:rPr>
        <w:t xml:space="preserve">Distanța Mahalanobis</w:t>
      </w:r>
      <w:r>
        <w:t xml:space="preserve"> măsoară exact asta. Pentru un vector de indicatori </w:t>
      </w:r>
      <w:r>
        <w:rPr>
          <w:rFonts w:ascii="Consolas" w:cs="Consolas" w:eastAsia="Consolas" w:hAnsi="Consolas"/>
          <w:sz w:val="20"/>
          <w:szCs w:val="20"/>
        </w:rPr>
        <w:t xml:space="preserve">z</w:t>
      </w:r>
      <w:r>
        <w:t xml:space="preserve"> (standardizat) și matricea de covarianță </w:t>
      </w:r>
      <w:r>
        <w:rPr>
          <w:rFonts w:ascii="Consolas" w:cs="Consolas" w:eastAsia="Consolas" w:hAnsi="Consolas"/>
          <w:sz w:val="20"/>
          <w:szCs w:val="20"/>
        </w:rPr>
        <w:t xml:space="preserve">S</w:t>
      </w:r>
      <w:r>
        <w:t xml:space="preserve"> a grupului:</w:t>
      </w:r>
    </w:p>
    <w:p>
      <w:pPr>
        <w:spacing w:after="100"/>
        <w:jc w:val="left"/>
      </w:pPr>
      <w:r>
        <w:rPr>
          <w:rFonts w:ascii="Consolas" w:cs="Consolas" w:eastAsia="Consolas" w:hAnsi="Consolas"/>
          <w:sz w:val="20"/>
          <w:szCs w:val="20"/>
        </w:rPr>
        <w:t xml:space="preserve">d² = z' · S^(−1) · z</w:t>
      </w:r>
    </w:p>
    <w:p>
      <w:pPr>
        <w:spacing w:after="100"/>
        <w:jc w:val="left"/>
      </w:pPr>
      <w:r>
        <w:t xml:space="preserve">Aici </w:t>
      </w:r>
      <w:r>
        <w:rPr>
          <w:rFonts w:ascii="Consolas" w:cs="Consolas" w:eastAsia="Consolas" w:hAnsi="Consolas"/>
          <w:sz w:val="20"/>
          <w:szCs w:val="20"/>
        </w:rPr>
        <w:t xml:space="preserve">z'</w:t>
      </w:r>
      <w:r>
        <w:t xml:space="preserve"> este transpusa vectorului </w:t>
      </w:r>
      <w:r>
        <w:rPr>
          <w:rFonts w:ascii="Consolas" w:cs="Consolas" w:eastAsia="Consolas" w:hAnsi="Consolas"/>
          <w:sz w:val="20"/>
          <w:szCs w:val="20"/>
        </w:rPr>
        <w:t xml:space="preserve">z</w:t>
      </w:r>
      <w:r>
        <w:t xml:space="preserve">, iar </w:t>
      </w:r>
      <w:r>
        <w:rPr>
          <w:rFonts w:ascii="Consolas" w:cs="Consolas" w:eastAsia="Consolas" w:hAnsi="Consolas"/>
          <w:sz w:val="20"/>
          <w:szCs w:val="20"/>
        </w:rPr>
        <w:t xml:space="preserve">S^(−1)</w:t>
      </w:r>
      <w:r>
        <w:t xml:space="preserve"> inversa matricei de covarianță. Intuiția: împărțirea prin covarianță „decorelează și renormalizează” spațiul, astfel încât distanța să fie măsurată în unități de variație tipică </w:t>
      </w:r>
      <w:r>
        <w:rPr>
          <w:i/>
          <w:iCs/>
        </w:rPr>
        <w:t xml:space="preserve">a combinației</w:t>
      </w:r>
      <w:r>
        <w:t xml:space="preserve">, nu a fiecărei dimensiuni separat. La covarianță identitate, formula se reduce la suma pătratelor abaterilor standardizate.</w:t>
      </w:r>
    </w:p>
    <w:p>
      <w:pPr>
        <w:spacing w:after="100"/>
        <w:jc w:val="left"/>
      </w:pPr>
      <w:r>
        <w:rPr>
          <w:b/>
          <w:bCs/>
        </w:rPr>
        <w:t xml:space="preserve">Partea robustă.</w:t>
      </w:r>
      <w:r>
        <w:t xml:space="preserve"> Media și covarianța clasice sunt ele însele stricate de outlieri — fenomenul de </w:t>
      </w:r>
      <w:r>
        <w:rPr>
          <w:i/>
          <w:iCs/>
        </w:rPr>
        <w:t xml:space="preserve">mascare</w:t>
      </w:r>
      <w:r>
        <w:t xml:space="preserve">: câteva firme extreme umflă varianța atât de mult încât devin ele însele „normale”. De aceea standardizarea se face cu </w:t>
      </w:r>
      <w:r>
        <w:rPr>
          <w:b/>
          <w:bCs/>
        </w:rPr>
        <w:t xml:space="preserve">mediana</w:t>
      </w:r>
      <w:r>
        <w:t xml:space="preserve"> și cu </w:t>
      </w:r>
      <w:r>
        <w:rPr>
          <w:b/>
          <w:bCs/>
        </w:rPr>
        <w:t xml:space="preserve">abaterea absolută mediană</w:t>
      </w:r>
      <w:r>
        <w:t xml:space="preserve">:</w:t>
      </w:r>
    </w:p>
    <w:p>
      <w:pPr>
        <w:spacing w:after="100"/>
        <w:jc w:val="left"/>
      </w:pPr>
      <w:r>
        <w:rPr>
          <w:rFonts w:ascii="Consolas" w:cs="Consolas" w:eastAsia="Consolas" w:hAnsi="Consolas"/>
          <w:sz w:val="20"/>
          <w:szCs w:val="20"/>
        </w:rPr>
        <w:t xml:space="preserve">z_j = ( x_j − mediana_j ) / ( 1,4826 × MAD_j )</w:t>
      </w:r>
    </w:p>
    <w:p>
      <w:pPr>
        <w:spacing w:after="100"/>
        <w:jc w:val="left"/>
      </w:pPr>
      <w:r>
        <w:t xml:space="preserve">Constanta 1,4826 este </w:t>
      </w:r>
      <w:r>
        <w:rPr>
          <w:rFonts w:ascii="Consolas" w:cs="Consolas" w:eastAsia="Consolas" w:hAnsi="Consolas"/>
          <w:sz w:val="20"/>
          <w:szCs w:val="20"/>
        </w:rPr>
        <w:t xml:space="preserve">1 / Φ^(−1)(0,75)</w:t>
      </w:r>
      <w:r>
        <w:t xml:space="preserve"> și face ca MAD-ul să estimeze abaterea standard a unei distribuții normale — fără ea, scalele nu ar fi comparabile cu deviațiile standard obișnuite. Valorile standardizate sunt apoi tăiate la ±50 înainte de calculul covarianței, iar matricea primește o mică regularizare pe diagonală (</w:t>
      </w:r>
      <w:r>
        <w:rPr>
          <w:rFonts w:ascii="Consolas" w:cs="Consolas" w:eastAsia="Consolas" w:hAnsi="Consolas"/>
          <w:sz w:val="20"/>
          <w:szCs w:val="20"/>
        </w:rPr>
        <w:t xml:space="preserve">S + 0,001 × I</w:t>
      </w:r>
      <w:r>
        <w:t xml:space="preserve">) ca să fie inversabilă și când două dimensiuni sunt aproape identice.</w:t>
      </w:r>
    </w:p>
    <w:p>
      <w:pPr>
        <w:spacing w:after="100"/>
        <w:jc w:val="left"/>
      </w:pPr>
      <w:r>
        <w:rPr>
          <w:b/>
          <w:bCs/>
        </w:rPr>
        <w:t xml:space="preserve">Implementarea.</w:t>
      </w:r>
      <w:r>
        <w:t xml:space="preserve"> Nouă dimensiuni de structură (active circulante, stocuri, creanțe, numerar, datorii și capitaluri raportate la active; cifra de afaceri raportată la active; marja netă; cheltuieli raportate la venituri), calculate în interiorul fiecărei diviziuni CAEN, pe firmele cu cifră de afaceri de peste 10 milioane lei, pentru diviziunile cu cel puțin 120 de astfel de firme. Se afișează primele 25, cu cele trei dimensiuni care contribuie cel mai mult la distanță.</w:t>
      </w:r>
    </w:p>
    <w:p>
      <w:pPr>
        <w:spacing w:after="100"/>
        <w:jc w:val="left"/>
      </w:pPr>
      <w:r>
        <w:rPr>
          <w:b/>
          <w:bCs/>
        </w:rPr>
        <w:t xml:space="preserve">Precizarea care nu e opțională.</w:t>
      </w:r>
      <w:r>
        <w:t xml:space="preserve"> O deviere statistică nu indică nici fraudă, nici eroare. Indică o firmă a cărei structură nu seamănă cu a vecinilor ei de sector — ceea ce, de cele mai multe ori, are o explicație perfect banală: un model de business diferit, o reorganizare, o vânzare de activ, un vehicul de grup. Din acest motiv, clasamentul afișează </w:t>
      </w:r>
      <w:r>
        <w:rPr>
          <w:b/>
          <w:bCs/>
        </w:rPr>
        <w:t xml:space="preserve">doar CUI-ul</w:t>
      </w:r>
      <w:r>
        <w:t xml:space="preserve">, iar denumirea apare numai dacă utilizatorul o caută explicit.</w:t>
      </w:r>
    </w:p>
    <w:p>
      <w:pPr>
        <w:pBdr>
          <w:left w:val="single" w:color="D9720F" w:sz="18" w:space="8"/>
        </w:pBdr>
        <w:shd w:fill="FFF4E6" w:color="auto" w:val="clear"/>
        <w:spacing w:after="40" w:before="40"/>
        <w:ind w:left="200"/>
      </w:pPr>
      <w:r>
        <w:rPr>
          <w:b/>
          <w:bCs/>
          <w:color w:val="162554"/>
          <w:sz w:val="20"/>
          <w:szCs w:val="20"/>
        </w:rPr>
        <w:t xml:space="preserve">Citește mai departe:</w:t>
      </w:r>
      <w:r>
        <w:rPr>
          <w:color w:val="162554"/>
          <w:sz w:val="20"/>
          <w:szCs w:val="20"/>
        </w:rPr>
        <w:t xml:space="preserve"> Rousseeuw &amp; Van Zomeren (1990) pentru mascare și distanțe robuste; Rousseeuw &amp; Croux (1993) pentru alternativele la MAD și constanta de scalare; Maronna, Martin &amp; Yohai (2006) pentru tratarea completă. Anexa B, tema 9.</w:t>
      </w:r>
    </w:p>
    <w:p>
      <w:r>
        <w:br w:type="page"/>
      </w:r>
    </w:p>
    <w:p>
      <w:pPr>
        <w:pStyle w:val="Title"/>
        <w:keepNext/>
        <w:spacing w:after="120" w:before="360" w:line="240" w:lineRule="auto"/>
      </w:pPr>
      <w:r>
        <w:t xml:space="preserve">Partea V · Ce nu face aplicația</w:t>
      </w:r>
    </w:p>
    <w:p>
      <w:pPr>
        <w:spacing w:after="100"/>
        <w:jc w:val="left"/>
      </w:pPr>
      <w:r>
        <w:t xml:space="preserve">Lista aceasta nu e o formalitate juridică; fiecare punct schimbă felul în care se citesc rezultatele.</w:t>
      </w:r>
    </w:p>
    <w:p>
      <w:pPr>
        <w:pStyle w:val="ListParagraph"/>
        <w:numPr>
          <w:ilvl w:val="0"/>
          <w:numId w:val="4"/>
        </w:numPr>
        <w:spacing w:after="60"/>
      </w:pPr>
      <w:r>
        <w:rPr>
          <w:b/>
          <w:bCs/>
        </w:rPr>
        <w:t xml:space="preserve">Nu produce probabilități de default comparabile cu un model intern de bancă.</w:t>
      </w:r>
      <w:r>
        <w:t xml:space="preserve"> Evenimentul este un indicator indirect construit din date contabile, nu default-ul reglementat. Nivelul probabilităților depinde de definiția aleasă și de rata de bază din populație, care include microîntreprinderi care nu ar fi niciodată clienți de credit.</w:t>
      </w:r>
    </w:p>
    <w:p>
      <w:pPr>
        <w:pStyle w:val="ListParagraph"/>
        <w:numPr>
          <w:ilvl w:val="0"/>
          <w:numId w:val="4"/>
        </w:numPr>
        <w:spacing w:after="60"/>
      </w:pPr>
      <w:r>
        <w:rPr>
          <w:b/>
          <w:bCs/>
        </w:rPr>
        <w:t xml:space="preserve">Nu conține variabila cea mai predictivă.</w:t>
      </w:r>
      <w:r>
        <w:t xml:space="preserve"> Acoperirea serviciului datoriei lipsește, pentru că dobânzile și EBITDA nu sunt în datele publice.</w:t>
      </w:r>
    </w:p>
    <w:p>
      <w:pPr>
        <w:pStyle w:val="ListParagraph"/>
        <w:numPr>
          <w:ilvl w:val="0"/>
          <w:numId w:val="4"/>
        </w:numPr>
        <w:spacing w:after="60"/>
      </w:pPr>
      <w:r>
        <w:rPr>
          <w:b/>
          <w:bCs/>
        </w:rPr>
        <w:t xml:space="preserve">Nu vede informația calitativă.</w:t>
      </w:r>
      <w:r>
        <w:t xml:space="preserve"> Acționariat, garanții, poziție competitivă, calitatea managementului, contracte — nimic din ce un analist află din dosar și din discuție.</w:t>
      </w:r>
    </w:p>
    <w:p>
      <w:pPr>
        <w:pStyle w:val="ListParagraph"/>
        <w:numPr>
          <w:ilvl w:val="0"/>
          <w:numId w:val="4"/>
        </w:numPr>
        <w:spacing w:after="60"/>
      </w:pPr>
      <w:r>
        <w:rPr>
          <w:b/>
          <w:bCs/>
        </w:rPr>
        <w:t xml:space="preserve">Nu detectează fraudă.</w:t>
      </w:r>
      <w:r>
        <w:t xml:space="preserve"> Laboratorul de anomalii produce întrebări, cu frecvențele lor în populație, nu verdicte.</w:t>
      </w:r>
    </w:p>
    <w:p>
      <w:pPr>
        <w:pStyle w:val="ListParagraph"/>
        <w:numPr>
          <w:ilvl w:val="0"/>
          <w:numId w:val="4"/>
        </w:numPr>
        <w:spacing w:after="60"/>
      </w:pPr>
      <w:r>
        <w:rPr>
          <w:b/>
          <w:bCs/>
        </w:rPr>
        <w:t xml:space="preserve">Nu este calibrată pentru un portofoliu anume.</w:t>
      </w:r>
      <w:r>
        <w:t xml:space="preserve"> Ratele de bază sunt cele ale populației de firme românești care depun situații financiare, nu ale unui portofoliu de credit.</w:t>
      </w:r>
    </w:p>
    <w:p>
      <w:pPr>
        <w:pStyle w:val="ListParagraph"/>
        <w:numPr>
          <w:ilvl w:val="0"/>
          <w:numId w:val="4"/>
        </w:numPr>
        <w:spacing w:after="60"/>
      </w:pPr>
      <w:r>
        <w:rPr>
          <w:b/>
          <w:bCs/>
        </w:rPr>
        <w:t xml:space="preserve">Nu ține minte nimic.</w:t>
      </w:r>
      <w:r>
        <w:t xml:space="preserve"> Tot calculul rulează în browser; nici datele companiilor căutate, nici modelele antrenate nu ajung pe niciun server.</w:t>
      </w:r>
    </w:p>
    <w:p>
      <w:pPr>
        <w:pStyle w:val="Title"/>
        <w:keepNext/>
        <w:spacing w:after="120" w:before="360" w:line="240" w:lineRule="auto"/>
      </w:pPr>
      <w:r>
        <w:t xml:space="preserve">Anexa A · Notațiile folosite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tblHeader/>
        </w:trPr>
        <w:tc>
          <w:tcPr>
            <w:tcW w:type="dxa" w:w="1872"/>
            <w:shd w:fill="EDF3FF" w:color="auto" w:val="clear"/>
            <w:tcMar>
              <w:top w:type="dxa" w:w="60"/>
              <w:left w:type="dxa" w:w="90"/>
              <w:bottom w:type="dxa" w:w="60"/>
              <w:right w:type="dxa" w:w="90"/>
            </w:tcMar>
          </w:tcPr>
          <w:p>
            <w:pPr>
              <w:keepNext w:val="false"/>
              <w:spacing w:after="0" w:before="0"/>
            </w:pPr>
            <w:r>
              <w:rPr>
                <w:b/>
                <w:bCs/>
                <w:color w:val="1A35A8"/>
                <w:sz w:val="18"/>
                <w:szCs w:val="18"/>
              </w:rPr>
              <w:t xml:space="preserve">Simbol</w:t>
            </w:r>
          </w:p>
        </w:tc>
        <w:tc>
          <w:tcPr>
            <w:tcW w:type="dxa" w:w="7488"/>
            <w:shd w:fill="EDF3FF" w:color="auto" w:val="clear"/>
            <w:tcMar>
              <w:top w:type="dxa" w:w="60"/>
              <w:left w:type="dxa" w:w="90"/>
              <w:bottom w:type="dxa" w:w="60"/>
              <w:right w:type="dxa" w:w="90"/>
            </w:tcMar>
          </w:tcPr>
          <w:p>
            <w:pPr>
              <w:keepNext w:val="false"/>
              <w:spacing w:after="0" w:before="0"/>
            </w:pPr>
            <w:r>
              <w:rPr>
                <w:b/>
                <w:bCs/>
                <w:color w:val="1A35A8"/>
                <w:sz w:val="18"/>
                <w:szCs w:val="18"/>
              </w:rPr>
              <w:t xml:space="preserve">Înseamnă</w:t>
            </w:r>
          </w:p>
        </w:tc>
      </w:tr>
      <w:tr>
        <w:trPr>
          <w:tblHeader w:val="false"/>
        </w:trPr>
        <w:tc>
          <w:tcPr>
            <w:tcW w:type="dxa" w:w="1872"/>
            <w:tcMar>
              <w:top w:type="dxa" w:w="60"/>
              <w:left w:type="dxa" w:w="90"/>
              <w:bottom w:type="dxa" w:w="60"/>
              <w:right w:type="dxa" w:w="90"/>
            </w:tcMar>
          </w:tcPr>
          <w:p>
            <w:pPr>
              <w:keepNext w:val="false"/>
              <w:spacing w:after="0" w:before="0"/>
            </w:pPr>
            <w:r>
              <w:rPr>
                <w:rFonts w:ascii="Consolas" w:cs="Consolas" w:eastAsia="Consolas" w:hAnsi="Consolas"/>
                <w:b w:val="false"/>
                <w:bCs w:val="false"/>
                <w:color w:val="162554"/>
                <w:sz w:val="18"/>
                <w:szCs w:val="18"/>
              </w:rPr>
              <w:t xml:space="preserve">x</w:t>
            </w:r>
          </w:p>
        </w:tc>
        <w:tc>
          <w:tcPr>
            <w:tcW w:type="dxa" w:w="7488"/>
            <w:tcMar>
              <w:top w:type="dxa" w:w="60"/>
              <w:left w:type="dxa" w:w="90"/>
              <w:bottom w:type="dxa" w:w="60"/>
              <w:right w:type="dxa" w:w="90"/>
            </w:tcMar>
          </w:tcPr>
          <w:p>
            <w:pPr>
              <w:keepNext w:val="false"/>
              <w:spacing w:after="0" w:before="0"/>
            </w:pPr>
            <w:r>
              <w:rPr>
                <w:b w:val="false"/>
                <w:bCs w:val="false"/>
                <w:color w:val="162554"/>
                <w:sz w:val="18"/>
                <w:szCs w:val="18"/>
              </w:rPr>
              <w:t xml:space="preserve">valoarea brută a unei variabile</w:t>
            </w:r>
          </w:p>
        </w:tc>
      </w:tr>
      <w:tr>
        <w:trPr>
          <w:tblHeader w:val="false"/>
        </w:trPr>
        <w:tc>
          <w:tcPr>
            <w:tcW w:type="dxa" w:w="1872"/>
            <w:tcMar>
              <w:top w:type="dxa" w:w="60"/>
              <w:left w:type="dxa" w:w="90"/>
              <w:bottom w:type="dxa" w:w="60"/>
              <w:right w:type="dxa" w:w="90"/>
            </w:tcMar>
          </w:tcPr>
          <w:p>
            <w:pPr>
              <w:keepNext w:val="false"/>
              <w:spacing w:after="0" w:before="0"/>
            </w:pPr>
            <w:r>
              <w:rPr>
                <w:rFonts w:ascii="Consolas" w:cs="Consolas" w:eastAsia="Consolas" w:hAnsi="Consolas"/>
                <w:b w:val="false"/>
                <w:bCs w:val="false"/>
                <w:color w:val="162554"/>
                <w:sz w:val="18"/>
                <w:szCs w:val="18"/>
              </w:rPr>
              <w:t xml:space="preserve">x'</w:t>
            </w:r>
          </w:p>
        </w:tc>
        <w:tc>
          <w:tcPr>
            <w:tcW w:type="dxa" w:w="7488"/>
            <w:tcMar>
              <w:top w:type="dxa" w:w="60"/>
              <w:left w:type="dxa" w:w="90"/>
              <w:bottom w:type="dxa" w:w="60"/>
              <w:right w:type="dxa" w:w="90"/>
            </w:tcMar>
          </w:tcPr>
          <w:p>
            <w:pPr>
              <w:keepNext w:val="false"/>
              <w:spacing w:after="0" w:before="0"/>
            </w:pPr>
            <w:r>
              <w:rPr>
                <w:b w:val="false"/>
                <w:bCs w:val="false"/>
                <w:color w:val="162554"/>
                <w:sz w:val="18"/>
                <w:szCs w:val="18"/>
              </w:rPr>
              <w:t xml:space="preserve">valoarea după winsorizare (tăiere la percentilele 1 și 99)</w:t>
            </w:r>
          </w:p>
        </w:tc>
      </w:tr>
      <w:tr>
        <w:trPr>
          <w:tblHeader w:val="false"/>
        </w:trPr>
        <w:tc>
          <w:tcPr>
            <w:tcW w:type="dxa" w:w="1872"/>
            <w:tcMar>
              <w:top w:type="dxa" w:w="60"/>
              <w:left w:type="dxa" w:w="90"/>
              <w:bottom w:type="dxa" w:w="60"/>
              <w:right w:type="dxa" w:w="90"/>
            </w:tcMar>
          </w:tcPr>
          <w:p>
            <w:pPr>
              <w:keepNext w:val="false"/>
              <w:spacing w:after="0" w:before="0"/>
            </w:pPr>
            <w:r>
              <w:rPr>
                <w:rFonts w:ascii="Consolas" w:cs="Consolas" w:eastAsia="Consolas" w:hAnsi="Consolas"/>
                <w:b w:val="false"/>
                <w:bCs w:val="false"/>
                <w:color w:val="162554"/>
                <w:sz w:val="18"/>
                <w:szCs w:val="18"/>
              </w:rPr>
              <w:t xml:space="preserve">z</w:t>
            </w:r>
          </w:p>
        </w:tc>
        <w:tc>
          <w:tcPr>
            <w:tcW w:type="dxa" w:w="7488"/>
            <w:tcMar>
              <w:top w:type="dxa" w:w="60"/>
              <w:left w:type="dxa" w:w="90"/>
              <w:bottom w:type="dxa" w:w="60"/>
              <w:right w:type="dxa" w:w="90"/>
            </w:tcMar>
          </w:tcPr>
          <w:p>
            <w:pPr>
              <w:keepNext w:val="false"/>
              <w:spacing w:after="0" w:before="0"/>
            </w:pPr>
            <w:r>
              <w:rPr>
                <w:b w:val="false"/>
                <w:bCs w:val="false"/>
                <w:color w:val="162554"/>
                <w:sz w:val="18"/>
                <w:szCs w:val="18"/>
              </w:rPr>
              <w:t xml:space="preserve">valoarea standardizată: </w:t>
            </w:r>
            <w:r>
              <w:rPr>
                <w:rFonts w:ascii="Consolas" w:cs="Consolas" w:eastAsia="Consolas" w:hAnsi="Consolas"/>
                <w:b w:val="false"/>
                <w:bCs w:val="false"/>
                <w:color w:val="162554"/>
                <w:sz w:val="18"/>
                <w:szCs w:val="18"/>
              </w:rPr>
              <w:t xml:space="preserve">(x' − μ) / σ</w:t>
            </w:r>
          </w:p>
        </w:tc>
      </w:tr>
      <w:tr>
        <w:trPr>
          <w:tblHeader w:val="false"/>
        </w:trPr>
        <w:tc>
          <w:tcPr>
            <w:tcW w:type="dxa" w:w="1872"/>
            <w:tcMar>
              <w:top w:type="dxa" w:w="60"/>
              <w:left w:type="dxa" w:w="90"/>
              <w:bottom w:type="dxa" w:w="60"/>
              <w:right w:type="dxa" w:w="90"/>
            </w:tcMar>
          </w:tcPr>
          <w:p>
            <w:pPr>
              <w:keepNext w:val="false"/>
              <w:spacing w:after="0" w:before="0"/>
            </w:pPr>
            <w:r>
              <w:rPr>
                <w:rFonts w:ascii="Consolas" w:cs="Consolas" w:eastAsia="Consolas" w:hAnsi="Consolas"/>
                <w:b w:val="false"/>
                <w:bCs w:val="false"/>
                <w:color w:val="162554"/>
                <w:sz w:val="18"/>
                <w:szCs w:val="18"/>
              </w:rPr>
              <w:t xml:space="preserve">y</w:t>
            </w:r>
          </w:p>
        </w:tc>
        <w:tc>
          <w:tcPr>
            <w:tcW w:type="dxa" w:w="7488"/>
            <w:tcMar>
              <w:top w:type="dxa" w:w="60"/>
              <w:left w:type="dxa" w:w="90"/>
              <w:bottom w:type="dxa" w:w="60"/>
              <w:right w:type="dxa" w:w="90"/>
            </w:tcMar>
          </w:tcPr>
          <w:p>
            <w:pPr>
              <w:keepNext w:val="false"/>
              <w:spacing w:after="0" w:before="0"/>
            </w:pPr>
            <w:r>
              <w:rPr>
                <w:b w:val="false"/>
                <w:bCs w:val="false"/>
                <w:color w:val="162554"/>
                <w:sz w:val="18"/>
                <w:szCs w:val="18"/>
              </w:rPr>
              <w:t xml:space="preserve">eticheta observată: 1 dacă evenimentul s-a produs, 0 altfel</w:t>
            </w:r>
          </w:p>
        </w:tc>
      </w:tr>
      <w:tr>
        <w:trPr>
          <w:tblHeader w:val="false"/>
        </w:trPr>
        <w:tc>
          <w:tcPr>
            <w:tcW w:type="dxa" w:w="1872"/>
            <w:tcMar>
              <w:top w:type="dxa" w:w="60"/>
              <w:left w:type="dxa" w:w="90"/>
              <w:bottom w:type="dxa" w:w="60"/>
              <w:right w:type="dxa" w:w="90"/>
            </w:tcMar>
          </w:tcPr>
          <w:p>
            <w:pPr>
              <w:keepNext w:val="false"/>
              <w:spacing w:after="0" w:before="0"/>
            </w:pPr>
            <w:r>
              <w:rPr>
                <w:rFonts w:ascii="Consolas" w:cs="Consolas" w:eastAsia="Consolas" w:hAnsi="Consolas"/>
                <w:b w:val="false"/>
                <w:bCs w:val="false"/>
                <w:color w:val="162554"/>
                <w:sz w:val="18"/>
                <w:szCs w:val="18"/>
              </w:rPr>
              <w:t xml:space="preserve">p</w:t>
            </w:r>
          </w:p>
        </w:tc>
        <w:tc>
          <w:tcPr>
            <w:tcW w:type="dxa" w:w="7488"/>
            <w:tcMar>
              <w:top w:type="dxa" w:w="60"/>
              <w:left w:type="dxa" w:w="90"/>
              <w:bottom w:type="dxa" w:w="60"/>
              <w:right w:type="dxa" w:w="90"/>
            </w:tcMar>
          </w:tcPr>
          <w:p>
            <w:pPr>
              <w:keepNext w:val="false"/>
              <w:spacing w:after="0" w:before="0"/>
            </w:pPr>
            <w:r>
              <w:rPr>
                <w:b w:val="false"/>
                <w:bCs w:val="false"/>
                <w:color w:val="162554"/>
                <w:sz w:val="18"/>
                <w:szCs w:val="18"/>
              </w:rPr>
              <w:t xml:space="preserve">probabilitatea estimată de model</w:t>
            </w:r>
          </w:p>
        </w:tc>
      </w:tr>
      <w:tr>
        <w:trPr>
          <w:tblHeader w:val="false"/>
        </w:trPr>
        <w:tc>
          <w:tcPr>
            <w:tcW w:type="dxa" w:w="1872"/>
            <w:tcMar>
              <w:top w:type="dxa" w:w="60"/>
              <w:left w:type="dxa" w:w="90"/>
              <w:bottom w:type="dxa" w:w="60"/>
              <w:right w:type="dxa" w:w="90"/>
            </w:tcMar>
          </w:tcPr>
          <w:p>
            <w:pPr>
              <w:keepNext w:val="false"/>
              <w:spacing w:after="0" w:before="0"/>
            </w:pPr>
            <w:r>
              <w:rPr>
                <w:rFonts w:ascii="Consolas" w:cs="Consolas" w:eastAsia="Consolas" w:hAnsi="Consolas"/>
                <w:b w:val="false"/>
                <w:bCs w:val="false"/>
                <w:color w:val="162554"/>
                <w:sz w:val="18"/>
                <w:szCs w:val="18"/>
              </w:rPr>
              <w:t xml:space="preserve">s</w:t>
            </w:r>
          </w:p>
        </w:tc>
        <w:tc>
          <w:tcPr>
            <w:tcW w:type="dxa" w:w="7488"/>
            <w:tcMar>
              <w:top w:type="dxa" w:w="60"/>
              <w:left w:type="dxa" w:w="90"/>
              <w:bottom w:type="dxa" w:w="60"/>
              <w:right w:type="dxa" w:w="90"/>
            </w:tcMar>
          </w:tcPr>
          <w:p>
            <w:pPr>
              <w:keepNext w:val="false"/>
              <w:spacing w:after="0" w:before="0"/>
            </w:pPr>
            <w:r>
              <w:rPr>
                <w:b w:val="false"/>
                <w:bCs w:val="false"/>
                <w:color w:val="162554"/>
                <w:sz w:val="18"/>
                <w:szCs w:val="18"/>
              </w:rPr>
              <w:t xml:space="preserve">scorul liniar (log-odds): </w:t>
            </w:r>
            <w:r>
              <w:rPr>
                <w:rFonts w:ascii="Consolas" w:cs="Consolas" w:eastAsia="Consolas" w:hAnsi="Consolas"/>
                <w:b w:val="false"/>
                <w:bCs w:val="false"/>
                <w:color w:val="162554"/>
                <w:sz w:val="18"/>
                <w:szCs w:val="18"/>
              </w:rPr>
              <w:t xml:space="preserve">b + Σ w·z</w:t>
            </w:r>
          </w:p>
        </w:tc>
      </w:tr>
      <w:tr>
        <w:trPr>
          <w:tblHeader w:val="false"/>
        </w:trPr>
        <w:tc>
          <w:tcPr>
            <w:tcW w:type="dxa" w:w="1872"/>
            <w:tcMar>
              <w:top w:type="dxa" w:w="60"/>
              <w:left w:type="dxa" w:w="90"/>
              <w:bottom w:type="dxa" w:w="60"/>
              <w:right w:type="dxa" w:w="90"/>
            </w:tcMar>
          </w:tcPr>
          <w:p>
            <w:pPr>
              <w:keepNext w:val="false"/>
              <w:spacing w:after="0" w:before="0"/>
            </w:pPr>
            <w:r>
              <w:rPr>
                <w:rFonts w:ascii="Consolas" w:cs="Consolas" w:eastAsia="Consolas" w:hAnsi="Consolas"/>
                <w:b w:val="false"/>
                <w:bCs w:val="false"/>
                <w:color w:val="162554"/>
                <w:sz w:val="18"/>
                <w:szCs w:val="18"/>
              </w:rPr>
              <w:t xml:space="preserve">w</w:t>
            </w:r>
            <w:r>
              <w:rPr>
                <w:b w:val="false"/>
                <w:bCs w:val="false"/>
                <w:color w:val="162554"/>
                <w:sz w:val="18"/>
                <w:szCs w:val="18"/>
              </w:rPr>
              <w:t xml:space="preserve">, </w:t>
            </w:r>
            <w:r>
              <w:rPr>
                <w:rFonts w:ascii="Consolas" w:cs="Consolas" w:eastAsia="Consolas" w:hAnsi="Consolas"/>
                <w:b w:val="false"/>
                <w:bCs w:val="false"/>
                <w:color w:val="162554"/>
                <w:sz w:val="18"/>
                <w:szCs w:val="18"/>
              </w:rPr>
              <w:t xml:space="preserve">b</w:t>
            </w:r>
          </w:p>
        </w:tc>
        <w:tc>
          <w:tcPr>
            <w:tcW w:type="dxa" w:w="7488"/>
            <w:tcMar>
              <w:top w:type="dxa" w:w="60"/>
              <w:left w:type="dxa" w:w="90"/>
              <w:bottom w:type="dxa" w:w="60"/>
              <w:right w:type="dxa" w:w="90"/>
            </w:tcMar>
          </w:tcPr>
          <w:p>
            <w:pPr>
              <w:keepNext w:val="false"/>
              <w:spacing w:after="0" w:before="0"/>
            </w:pPr>
            <w:r>
              <w:rPr>
                <w:b w:val="false"/>
                <w:bCs w:val="false"/>
                <w:color w:val="162554"/>
                <w:sz w:val="18"/>
                <w:szCs w:val="18"/>
              </w:rPr>
              <w:t xml:space="preserve">coeficienții și interceptul modelului</w:t>
            </w:r>
          </w:p>
        </w:tc>
      </w:tr>
      <w:tr>
        <w:trPr>
          <w:tblHeader w:val="false"/>
        </w:trPr>
        <w:tc>
          <w:tcPr>
            <w:tcW w:type="dxa" w:w="1872"/>
            <w:tcMar>
              <w:top w:type="dxa" w:w="60"/>
              <w:left w:type="dxa" w:w="90"/>
              <w:bottom w:type="dxa" w:w="60"/>
              <w:right w:type="dxa" w:w="90"/>
            </w:tcMar>
          </w:tcPr>
          <w:p>
            <w:pPr>
              <w:keepNext w:val="false"/>
              <w:spacing w:after="0" w:before="0"/>
            </w:pPr>
            <w:r>
              <w:rPr>
                <w:rFonts w:ascii="Consolas" w:cs="Consolas" w:eastAsia="Consolas" w:hAnsi="Consolas"/>
                <w:b w:val="false"/>
                <w:bCs w:val="false"/>
                <w:color w:val="162554"/>
                <w:sz w:val="18"/>
                <w:szCs w:val="18"/>
              </w:rPr>
              <w:t xml:space="preserve">λ</w:t>
            </w:r>
          </w:p>
        </w:tc>
        <w:tc>
          <w:tcPr>
            <w:tcW w:type="dxa" w:w="7488"/>
            <w:tcMar>
              <w:top w:type="dxa" w:w="60"/>
              <w:left w:type="dxa" w:w="90"/>
              <w:bottom w:type="dxa" w:w="60"/>
              <w:right w:type="dxa" w:w="90"/>
            </w:tcMar>
          </w:tcPr>
          <w:p>
            <w:pPr>
              <w:keepNext w:val="false"/>
              <w:spacing w:after="0" w:before="0"/>
            </w:pPr>
            <w:r>
              <w:rPr>
                <w:b w:val="false"/>
                <w:bCs w:val="false"/>
                <w:color w:val="162554"/>
                <w:sz w:val="18"/>
                <w:szCs w:val="18"/>
              </w:rPr>
              <w:t xml:space="preserve">intensitatea regularizării L2</w:t>
            </w:r>
          </w:p>
        </w:tc>
      </w:tr>
      <w:tr>
        <w:trPr>
          <w:tblHeader w:val="false"/>
        </w:trPr>
        <w:tc>
          <w:tcPr>
            <w:tcW w:type="dxa" w:w="1872"/>
            <w:tcMar>
              <w:top w:type="dxa" w:w="60"/>
              <w:left w:type="dxa" w:w="90"/>
              <w:bottom w:type="dxa" w:w="60"/>
              <w:right w:type="dxa" w:w="90"/>
            </w:tcMar>
          </w:tcPr>
          <w:p>
            <w:pPr>
              <w:keepNext w:val="false"/>
              <w:spacing w:after="0" w:before="0"/>
            </w:pPr>
            <w:r>
              <w:rPr>
                <w:rFonts w:ascii="Consolas" w:cs="Consolas" w:eastAsia="Consolas" w:hAnsi="Consolas"/>
                <w:b w:val="false"/>
                <w:bCs w:val="false"/>
                <w:color w:val="162554"/>
                <w:sz w:val="18"/>
                <w:szCs w:val="18"/>
              </w:rPr>
              <w:t xml:space="preserve">η</w:t>
            </w:r>
          </w:p>
        </w:tc>
        <w:tc>
          <w:tcPr>
            <w:tcW w:type="dxa" w:w="7488"/>
            <w:tcMar>
              <w:top w:type="dxa" w:w="60"/>
              <w:left w:type="dxa" w:w="90"/>
              <w:bottom w:type="dxa" w:w="60"/>
              <w:right w:type="dxa" w:w="90"/>
            </w:tcMar>
          </w:tcPr>
          <w:p>
            <w:pPr>
              <w:keepNext w:val="false"/>
              <w:spacing w:after="0" w:before="0"/>
            </w:pPr>
            <w:r>
              <w:rPr>
                <w:b w:val="false"/>
                <w:bCs w:val="false"/>
                <w:color w:val="162554"/>
                <w:sz w:val="18"/>
                <w:szCs w:val="18"/>
              </w:rPr>
              <w:t xml:space="preserve">rata de învățare a gradientului descendent</w:t>
            </w:r>
          </w:p>
        </w:tc>
      </w:tr>
      <w:tr>
        <w:trPr>
          <w:tblHeader w:val="false"/>
        </w:trPr>
        <w:tc>
          <w:tcPr>
            <w:tcW w:type="dxa" w:w="1872"/>
            <w:tcMar>
              <w:top w:type="dxa" w:w="60"/>
              <w:left w:type="dxa" w:w="90"/>
              <w:bottom w:type="dxa" w:w="60"/>
              <w:right w:type="dxa" w:w="90"/>
            </w:tcMar>
          </w:tcPr>
          <w:p>
            <w:pPr>
              <w:keepNext w:val="false"/>
              <w:spacing w:after="0" w:before="0"/>
            </w:pPr>
            <w:r>
              <w:rPr>
                <w:rFonts w:ascii="Consolas" w:cs="Consolas" w:eastAsia="Consolas" w:hAnsi="Consolas"/>
                <w:b w:val="false"/>
                <w:bCs w:val="false"/>
                <w:color w:val="162554"/>
                <w:sz w:val="18"/>
                <w:szCs w:val="18"/>
              </w:rPr>
              <w:t xml:space="preserve">n+</w:t>
            </w:r>
            <w:r>
              <w:rPr>
                <w:b w:val="false"/>
                <w:bCs w:val="false"/>
                <w:color w:val="162554"/>
                <w:sz w:val="18"/>
                <w:szCs w:val="18"/>
              </w:rPr>
              <w:t xml:space="preserve">, </w:t>
            </w:r>
            <w:r>
              <w:rPr>
                <w:rFonts w:ascii="Consolas" w:cs="Consolas" w:eastAsia="Consolas" w:hAnsi="Consolas"/>
                <w:b w:val="false"/>
                <w:bCs w:val="false"/>
                <w:color w:val="162554"/>
                <w:sz w:val="18"/>
                <w:szCs w:val="18"/>
              </w:rPr>
              <w:t xml:space="preserve">n−</w:t>
            </w:r>
          </w:p>
        </w:tc>
        <w:tc>
          <w:tcPr>
            <w:tcW w:type="dxa" w:w="7488"/>
            <w:tcMar>
              <w:top w:type="dxa" w:w="60"/>
              <w:left w:type="dxa" w:w="90"/>
              <w:bottom w:type="dxa" w:w="60"/>
              <w:right w:type="dxa" w:w="90"/>
            </w:tcMar>
          </w:tcPr>
          <w:p>
            <w:pPr>
              <w:keepNext w:val="false"/>
              <w:spacing w:after="0" w:before="0"/>
            </w:pPr>
            <w:r>
              <w:rPr>
                <w:b w:val="false"/>
                <w:bCs w:val="false"/>
                <w:color w:val="162554"/>
                <w:sz w:val="18"/>
                <w:szCs w:val="18"/>
              </w:rPr>
              <w:t xml:space="preserve">numărul de observații cu și fără eveniment</w:t>
            </w:r>
          </w:p>
        </w:tc>
      </w:tr>
      <w:tr>
        <w:trPr>
          <w:tblHeader w:val="false"/>
        </w:trPr>
        <w:tc>
          <w:tcPr>
            <w:tcW w:type="dxa" w:w="1872"/>
            <w:tcMar>
              <w:top w:type="dxa" w:w="60"/>
              <w:left w:type="dxa" w:w="90"/>
              <w:bottom w:type="dxa" w:w="60"/>
              <w:right w:type="dxa" w:w="90"/>
            </w:tcMar>
          </w:tcPr>
          <w:p>
            <w:pPr>
              <w:keepNext w:val="false"/>
              <w:spacing w:after="0" w:before="0"/>
            </w:pPr>
            <w:r>
              <w:rPr>
                <w:rFonts w:ascii="Consolas" w:cs="Consolas" w:eastAsia="Consolas" w:hAnsi="Consolas"/>
                <w:b w:val="false"/>
                <w:bCs w:val="false"/>
                <w:color w:val="162554"/>
                <w:sz w:val="18"/>
                <w:szCs w:val="18"/>
              </w:rPr>
              <w:t xml:space="preserve">q[i]</w:t>
            </w:r>
          </w:p>
        </w:tc>
        <w:tc>
          <w:tcPr>
            <w:tcW w:type="dxa" w:w="7488"/>
            <w:tcMar>
              <w:top w:type="dxa" w:w="60"/>
              <w:left w:type="dxa" w:w="90"/>
              <w:bottom w:type="dxa" w:w="60"/>
              <w:right w:type="dxa" w:w="90"/>
            </w:tcMar>
          </w:tcPr>
          <w:p>
            <w:pPr>
              <w:keepNext w:val="false"/>
              <w:spacing w:after="0" w:before="0"/>
            </w:pPr>
            <w:r>
              <w:rPr>
                <w:b w:val="false"/>
                <w:bCs w:val="false"/>
                <w:color w:val="162554"/>
                <w:sz w:val="18"/>
                <w:szCs w:val="18"/>
              </w:rPr>
              <w:t xml:space="preserve">percentila </w:t>
            </w:r>
            <w:r>
              <w:rPr>
                <w:rFonts w:ascii="Consolas" w:cs="Consolas" w:eastAsia="Consolas" w:hAnsi="Consolas"/>
                <w:b w:val="false"/>
                <w:bCs w:val="false"/>
                <w:color w:val="162554"/>
                <w:sz w:val="18"/>
                <w:szCs w:val="18"/>
              </w:rPr>
              <w:t xml:space="preserve">5 × i</w:t>
            </w:r>
            <w:r>
              <w:rPr>
                <w:b w:val="false"/>
                <w:bCs w:val="false"/>
                <w:color w:val="162554"/>
                <w:sz w:val="18"/>
                <w:szCs w:val="18"/>
              </w:rPr>
              <w:t xml:space="preserve"> a grupului de referință</w:t>
            </w:r>
          </w:p>
        </w:tc>
      </w:tr>
      <w:tr>
        <w:trPr>
          <w:tblHeader w:val="false"/>
        </w:trPr>
        <w:tc>
          <w:tcPr>
            <w:tcW w:type="dxa" w:w="1872"/>
            <w:tcMar>
              <w:top w:type="dxa" w:w="60"/>
              <w:left w:type="dxa" w:w="90"/>
              <w:bottom w:type="dxa" w:w="60"/>
              <w:right w:type="dxa" w:w="90"/>
            </w:tcMar>
          </w:tcPr>
          <w:p>
            <w:pPr>
              <w:keepNext w:val="false"/>
              <w:spacing w:after="0" w:before="0"/>
            </w:pPr>
            <w:r>
              <w:rPr>
                <w:rFonts w:ascii="Consolas" w:cs="Consolas" w:eastAsia="Consolas" w:hAnsi="Consolas"/>
                <w:b w:val="false"/>
                <w:bCs w:val="false"/>
                <w:color w:val="162554"/>
                <w:sz w:val="18"/>
                <w:szCs w:val="18"/>
              </w:rPr>
              <w:t xml:space="preserve">MAD</w:t>
            </w:r>
          </w:p>
        </w:tc>
        <w:tc>
          <w:tcPr>
            <w:tcW w:type="dxa" w:w="7488"/>
            <w:tcMar>
              <w:top w:type="dxa" w:w="60"/>
              <w:left w:type="dxa" w:w="90"/>
              <w:bottom w:type="dxa" w:w="60"/>
              <w:right w:type="dxa" w:w="90"/>
            </w:tcMar>
          </w:tcPr>
          <w:p>
            <w:pPr>
              <w:keepNext w:val="false"/>
              <w:spacing w:after="0" w:before="0"/>
            </w:pPr>
            <w:r>
              <w:rPr>
                <w:b w:val="false"/>
                <w:bCs w:val="false"/>
                <w:color w:val="162554"/>
                <w:sz w:val="18"/>
                <w:szCs w:val="18"/>
              </w:rPr>
              <w:t xml:space="preserve">abaterea absolută mediană (secțiunea IV.4) sau abaterea absolută medie față de Benford (secțiunea IV.3) — omonimie nefericită, consacrată în ambele literaturi</w:t>
            </w:r>
          </w:p>
        </w:tc>
      </w:tr>
      <w:tr>
        <w:trPr>
          <w:tblHeader w:val="false"/>
        </w:trPr>
        <w:tc>
          <w:tcPr>
            <w:tcW w:type="dxa" w:w="1872"/>
            <w:tcMar>
              <w:top w:type="dxa" w:w="60"/>
              <w:left w:type="dxa" w:w="90"/>
              <w:bottom w:type="dxa" w:w="60"/>
              <w:right w:type="dxa" w:w="90"/>
            </w:tcMar>
          </w:tcPr>
          <w:p>
            <w:pPr>
              <w:keepNext w:val="false"/>
              <w:spacing w:after="0" w:before="0"/>
            </w:pPr>
            <w:r>
              <w:rPr>
                <w:rFonts w:ascii="Consolas" w:cs="Consolas" w:eastAsia="Consolas" w:hAnsi="Consolas"/>
                <w:b w:val="false"/>
                <w:bCs w:val="false"/>
                <w:color w:val="162554"/>
                <w:sz w:val="18"/>
                <w:szCs w:val="18"/>
              </w:rPr>
              <w:t xml:space="preserve">S</w:t>
            </w:r>
          </w:p>
        </w:tc>
        <w:tc>
          <w:tcPr>
            <w:tcW w:type="dxa" w:w="7488"/>
            <w:tcMar>
              <w:top w:type="dxa" w:w="60"/>
              <w:left w:type="dxa" w:w="90"/>
              <w:bottom w:type="dxa" w:w="60"/>
              <w:right w:type="dxa" w:w="90"/>
            </w:tcMar>
          </w:tcPr>
          <w:p>
            <w:pPr>
              <w:keepNext w:val="false"/>
              <w:spacing w:after="0" w:before="0"/>
            </w:pPr>
            <w:r>
              <w:rPr>
                <w:b w:val="false"/>
                <w:bCs w:val="false"/>
                <w:color w:val="162554"/>
                <w:sz w:val="18"/>
                <w:szCs w:val="18"/>
              </w:rPr>
              <w:t xml:space="preserve">matricea de covarianță</w:t>
            </w:r>
          </w:p>
        </w:tc>
      </w:tr>
      <w:tr>
        <w:trPr>
          <w:tblHeader w:val="false"/>
        </w:trPr>
        <w:tc>
          <w:tcPr>
            <w:tcW w:type="dxa" w:w="1872"/>
            <w:tcMar>
              <w:top w:type="dxa" w:w="60"/>
              <w:left w:type="dxa" w:w="90"/>
              <w:bottom w:type="dxa" w:w="60"/>
              <w:right w:type="dxa" w:w="90"/>
            </w:tcMar>
          </w:tcPr>
          <w:p>
            <w:pPr>
              <w:keepNext w:val="false"/>
              <w:spacing w:after="0" w:before="0"/>
            </w:pPr>
            <w:r>
              <w:rPr>
                <w:rFonts w:ascii="Consolas" w:cs="Consolas" w:eastAsia="Consolas" w:hAnsi="Consolas"/>
                <w:b w:val="false"/>
                <w:bCs w:val="false"/>
                <w:color w:val="162554"/>
                <w:sz w:val="18"/>
                <w:szCs w:val="18"/>
              </w:rPr>
              <w:t xml:space="preserve">d²</w:t>
            </w:r>
          </w:p>
        </w:tc>
        <w:tc>
          <w:tcPr>
            <w:tcW w:type="dxa" w:w="7488"/>
            <w:tcMar>
              <w:top w:type="dxa" w:w="60"/>
              <w:left w:type="dxa" w:w="90"/>
              <w:bottom w:type="dxa" w:w="60"/>
              <w:right w:type="dxa" w:w="90"/>
            </w:tcMar>
          </w:tcPr>
          <w:p>
            <w:pPr>
              <w:keepNext w:val="false"/>
              <w:spacing w:after="0" w:before="0"/>
            </w:pPr>
            <w:r>
              <w:rPr>
                <w:b w:val="false"/>
                <w:bCs w:val="false"/>
                <w:color w:val="162554"/>
                <w:sz w:val="18"/>
                <w:szCs w:val="18"/>
              </w:rPr>
              <w:t xml:space="preserve">distanța Mahalanobis pătratică</w:t>
            </w:r>
          </w:p>
        </w:tc>
      </w:tr>
    </w:tbl>
    <w:p>
      <w:pPr>
        <w:spacing w:after="80"/>
      </w:pPr>
    </w:p>
    <w:p>
      <w:r>
        <w:br w:type="page"/>
      </w:r>
    </w:p>
    <w:p>
      <w:pPr>
        <w:pStyle w:val="Title"/>
        <w:keepNext/>
        <w:spacing w:after="120" w:before="360" w:line="240" w:lineRule="auto"/>
      </w:pPr>
      <w:r>
        <w:t xml:space="preserve">Anexa B · Bibliografie comentată</w:t>
      </w:r>
    </w:p>
    <w:p>
      <w:pPr>
        <w:spacing w:after="100"/>
        <w:jc w:val="left"/>
      </w:pPr>
      <w:r>
        <w:t xml:space="preserve">Indicațiile de nivel: </w:t>
      </w:r>
      <w:r>
        <w:rPr>
          <w:b/>
          <w:bCs/>
        </w:rPr>
        <w:t xml:space="preserve">[intro]</w:t>
      </w:r>
      <w:r>
        <w:t xml:space="preserve"> accesibil fără pregătire statistică, </w:t>
      </w:r>
      <w:r>
        <w:rPr>
          <w:b/>
          <w:bCs/>
        </w:rPr>
        <w:t xml:space="preserve">[mediu]</w:t>
      </w:r>
      <w:r>
        <w:t xml:space="preserve"> cere noțiuni de statistică și algebră liniară, </w:t>
      </w:r>
      <w:r>
        <w:rPr>
          <w:b/>
          <w:bCs/>
        </w:rPr>
        <w:t xml:space="preserve">[avansat]</w:t>
      </w:r>
      <w:r>
        <w:t xml:space="preserve"> articol de specialitate. Unde există versiune gratuită legală, este menționată.</w:t>
      </w:r>
    </w:p>
    <w:p>
      <w:pPr>
        <w:pStyle w:val="Heading1"/>
        <w:keepNext/>
        <w:spacing w:after="120" w:before="240" w:line="240" w:lineRule="auto"/>
      </w:pPr>
      <w:r>
        <w:t xml:space="preserve">Tema 1 · Predicția falimentului și definiția evenimentului</w:t>
      </w:r>
    </w:p>
    <w:p>
      <w:pPr>
        <w:pStyle w:val="ListParagraph"/>
        <w:numPr>
          <w:ilvl w:val="0"/>
          <w:numId w:val="5"/>
        </w:numPr>
        <w:spacing w:after="60"/>
      </w:pPr>
      <w:r>
        <w:rPr>
          <w:b/>
          <w:bCs/>
        </w:rPr>
        <w:t xml:space="preserve">Beaver, W. H. (1966)</w:t>
      </w:r>
      <w:r>
        <w:t xml:space="preserve">, „Financial Ratios as Predictors of Failure”, </w:t>
      </w:r>
      <w:r>
        <w:rPr>
          <w:i/>
          <w:iCs/>
        </w:rPr>
        <w:t xml:space="preserve">Journal of Accounting Research</w:t>
      </w:r>
      <w:r>
        <w:t xml:space="preserve"> 4, 71–111. Studiul fondator: ce rate separă firmele care eșuează. </w:t>
      </w:r>
      <w:r>
        <w:rPr>
          <w:b/>
          <w:bCs/>
        </w:rPr>
        <w:t xml:space="preserve">[mediu]</w:t>
      </w:r>
    </w:p>
    <w:p>
      <w:pPr>
        <w:pStyle w:val="ListParagraph"/>
        <w:numPr>
          <w:ilvl w:val="0"/>
          <w:numId w:val="5"/>
        </w:numPr>
        <w:spacing w:after="60"/>
      </w:pPr>
      <w:r>
        <w:rPr>
          <w:b/>
          <w:bCs/>
        </w:rPr>
        <w:t xml:space="preserve">Altman, E. I. (1968)</w:t>
      </w:r>
      <w:r>
        <w:t xml:space="preserve">, „Financial Ratios, Discriminant Analysis and the Prediction of Corporate Bankruptcy”, </w:t>
      </w:r>
      <w:r>
        <w:rPr>
          <w:i/>
          <w:iCs/>
        </w:rPr>
        <w:t xml:space="preserve">Journal of Finance</w:t>
      </w:r>
      <w:r>
        <w:t xml:space="preserve"> 23(4), 589–609. Modelul Z-score original, prin analiză discriminantă. </w:t>
      </w:r>
      <w:r>
        <w:rPr>
          <w:b/>
          <w:bCs/>
        </w:rPr>
        <w:t xml:space="preserve">[mediu]</w:t>
      </w:r>
    </w:p>
    <w:p>
      <w:pPr>
        <w:pStyle w:val="ListParagraph"/>
        <w:numPr>
          <w:ilvl w:val="0"/>
          <w:numId w:val="5"/>
        </w:numPr>
        <w:spacing w:after="60"/>
      </w:pPr>
      <w:r>
        <w:rPr>
          <w:b/>
          <w:bCs/>
        </w:rPr>
        <w:t xml:space="preserve">Ohlson, J. A. (1980)</w:t>
      </w:r>
      <w:r>
        <w:t xml:space="preserve">, „Financial Ratios and the Probabilistic Prediction of Bankruptcy”, </w:t>
      </w:r>
      <w:r>
        <w:rPr>
          <w:i/>
          <w:iCs/>
        </w:rPr>
        <w:t xml:space="preserve">Journal of Accounting Research</w:t>
      </w:r>
      <w:r>
        <w:t xml:space="preserve"> 18(1), 109–131. Primul model logistic de faliment; discuția despre definirea evenimentului este încă actuală. </w:t>
      </w:r>
      <w:r>
        <w:rPr>
          <w:b/>
          <w:bCs/>
        </w:rPr>
        <w:t xml:space="preserve">[mediu]</w:t>
      </w:r>
    </w:p>
    <w:p>
      <w:pPr>
        <w:pStyle w:val="ListParagraph"/>
        <w:numPr>
          <w:ilvl w:val="0"/>
          <w:numId w:val="5"/>
        </w:numPr>
        <w:spacing w:after="60"/>
      </w:pPr>
      <w:r>
        <w:rPr>
          <w:b/>
          <w:bCs/>
        </w:rPr>
        <w:t xml:space="preserve">Altman, E. I. &amp; Hotchkiss, E. (2006)</w:t>
      </w:r>
      <w:r>
        <w:t xml:space="preserve">, </w:t>
      </w:r>
      <w:r>
        <w:rPr>
          <w:i/>
          <w:iCs/>
        </w:rPr>
        <w:t xml:space="preserve">Corporate Financial Distress and Bankruptcy</w:t>
      </w:r>
      <w:r>
        <w:t xml:space="preserve">, ediția a 3-a, Wiley. Conține variantele Z' și Z'' pentru firme private și nonproducție — modelul folosit la nivelul început. </w:t>
      </w:r>
      <w:r>
        <w:rPr>
          <w:b/>
          <w:bCs/>
        </w:rPr>
        <w:t xml:space="preserve">[mediu]</w:t>
      </w:r>
    </w:p>
    <w:p>
      <w:pPr>
        <w:pStyle w:val="ListParagraph"/>
        <w:numPr>
          <w:ilvl w:val="0"/>
          <w:numId w:val="5"/>
        </w:numPr>
        <w:spacing w:after="60"/>
      </w:pPr>
      <w:r>
        <w:rPr>
          <w:b/>
          <w:bCs/>
        </w:rPr>
        <w:t xml:space="preserve">Regulamentul (UE) 575/2013 (CRR), articolul 178</w:t>
      </w:r>
      <w:r>
        <w:t xml:space="preserve"> și </w:t>
      </w:r>
      <w:r>
        <w:rPr>
          <w:b/>
          <w:bCs/>
        </w:rPr>
        <w:t xml:space="preserve">EBA/GL/2016/07</w:t>
      </w:r>
      <w:r>
        <w:t xml:space="preserve">, ghidul privind aplicarea definiției de default. Textul reglementat al evenimentului, disponibil liber pe eur-lex.europa.eu și eba.europa.eu. </w:t>
      </w:r>
      <w:r>
        <w:rPr>
          <w:b/>
          <w:bCs/>
        </w:rPr>
        <w:t xml:space="preserve">[intro]</w:t>
      </w:r>
    </w:p>
    <w:p>
      <w:pPr>
        <w:pStyle w:val="ListParagraph"/>
        <w:numPr>
          <w:ilvl w:val="0"/>
          <w:numId w:val="5"/>
        </w:numPr>
        <w:spacing w:after="60"/>
      </w:pPr>
      <w:r>
        <w:rPr>
          <w:b/>
          <w:bCs/>
        </w:rPr>
        <w:t xml:space="preserve">EBA/GL/2017/16</w:t>
      </w:r>
      <w:r>
        <w:t xml:space="preserve">, ghidul privind estimarea PD și LGD. Cerințele de calibrare, reprezentativitate a eșantionului și validare. </w:t>
      </w:r>
      <w:r>
        <w:rPr>
          <w:b/>
          <w:bCs/>
        </w:rPr>
        <w:t xml:space="preserve">[mediu]</w:t>
      </w:r>
    </w:p>
    <w:p>
      <w:pPr>
        <w:pStyle w:val="Heading1"/>
        <w:keepNext/>
        <w:spacing w:after="120" w:before="240" w:line="240" w:lineRule="auto"/>
      </w:pPr>
      <w:r>
        <w:t xml:space="preserve">Tema 2 · Regresia logistică</w:t>
      </w:r>
    </w:p>
    <w:p>
      <w:pPr>
        <w:pStyle w:val="ListParagraph"/>
        <w:numPr>
          <w:ilvl w:val="0"/>
          <w:numId w:val="5"/>
        </w:numPr>
        <w:spacing w:after="60"/>
      </w:pPr>
      <w:r>
        <w:rPr>
          <w:b/>
          <w:bCs/>
        </w:rPr>
        <w:t xml:space="preserve">James, G., Witten, D., Hastie, T. &amp; Tibshirani, R.</w:t>
      </w:r>
      <w:r>
        <w:t xml:space="preserve">, </w:t>
      </w:r>
      <w:r>
        <w:rPr>
          <w:i/>
          <w:iCs/>
        </w:rPr>
        <w:t xml:space="preserve">An Introduction to Statistical Learning</w:t>
      </w:r>
      <w:r>
        <w:t xml:space="preserve">, capitolul 4. Cea mai bună poartă de intrare; PDF gratuit legal pe </w:t>
      </w:r>
      <w:r>
        <w:rPr>
          <w:b/>
          <w:bCs/>
        </w:rPr>
        <w:t xml:space="preserve">statlearning.com</w:t>
      </w:r>
      <w:r>
        <w:t xml:space="preserve">. </w:t>
      </w:r>
      <w:r>
        <w:rPr>
          <w:b/>
          <w:bCs/>
        </w:rPr>
        <w:t xml:space="preserve">[intro]</w:t>
      </w:r>
    </w:p>
    <w:p>
      <w:pPr>
        <w:pStyle w:val="ListParagraph"/>
        <w:numPr>
          <w:ilvl w:val="0"/>
          <w:numId w:val="5"/>
        </w:numPr>
        <w:spacing w:after="60"/>
      </w:pPr>
      <w:r>
        <w:rPr>
          <w:b/>
          <w:bCs/>
        </w:rPr>
        <w:t xml:space="preserve">Hosmer, D. W., Lemeshow, S. &amp; Sturdivant, R. X. (2013)</w:t>
      </w:r>
      <w:r>
        <w:t xml:space="preserve">, </w:t>
      </w:r>
      <w:r>
        <w:rPr>
          <w:i/>
          <w:iCs/>
        </w:rPr>
        <w:t xml:space="preserve">Applied Logistic Regression</w:t>
      </w:r>
      <w:r>
        <w:t xml:space="preserve">, ediția a 3-a, Wiley. Referința practică: interpretarea coeficienților, diagnostice, teste de potrivire. </w:t>
      </w:r>
      <w:r>
        <w:rPr>
          <w:b/>
          <w:bCs/>
        </w:rPr>
        <w:t xml:space="preserve">[mediu]</w:t>
      </w:r>
    </w:p>
    <w:p>
      <w:pPr>
        <w:pStyle w:val="ListParagraph"/>
        <w:numPr>
          <w:ilvl w:val="0"/>
          <w:numId w:val="5"/>
        </w:numPr>
        <w:spacing w:after="60"/>
      </w:pPr>
      <w:r>
        <w:rPr>
          <w:b/>
          <w:bCs/>
        </w:rPr>
        <w:t xml:space="preserve">Hastie, T., Tibshirani, R. &amp; Friedman, J. (2009)</w:t>
      </w:r>
      <w:r>
        <w:t xml:space="preserve">, </w:t>
      </w:r>
      <w:r>
        <w:rPr>
          <w:i/>
          <w:iCs/>
        </w:rPr>
        <w:t xml:space="preserve">The Elements of Statistical Learning</w:t>
      </w:r>
      <w:r>
        <w:t xml:space="preserve">, capitolul 4 pentru clasificare liniară și secțiunea 3.4 pentru regularizarea ridge. PDF gratuit legal pe pagina lui Trevor Hastie, la Stanford. </w:t>
      </w:r>
      <w:r>
        <w:rPr>
          <w:b/>
          <w:bCs/>
        </w:rPr>
        <w:t xml:space="preserve">[avansat]</w:t>
      </w:r>
    </w:p>
    <w:p>
      <w:pPr>
        <w:pStyle w:val="ListParagraph"/>
        <w:numPr>
          <w:ilvl w:val="0"/>
          <w:numId w:val="5"/>
        </w:numPr>
        <w:spacing w:after="60"/>
      </w:pPr>
      <w:r>
        <w:rPr>
          <w:b/>
          <w:bCs/>
        </w:rPr>
        <w:t xml:space="preserve">Belsley, D., Kuh, E. &amp; Welsch, R. (1980)</w:t>
      </w:r>
      <w:r>
        <w:t xml:space="preserve">, </w:t>
      </w:r>
      <w:r>
        <w:rPr>
          <w:i/>
          <w:iCs/>
        </w:rPr>
        <w:t xml:space="preserve">Regression Diagnostics</w:t>
      </w:r>
      <w:r>
        <w:t xml:space="preserve">, Wiley. Colinearitatea, factorul de inflație a varianței, numărul de condiționare. </w:t>
      </w:r>
      <w:r>
        <w:rPr>
          <w:b/>
          <w:bCs/>
        </w:rPr>
        <w:t xml:space="preserve">[avansat]</w:t>
      </w:r>
    </w:p>
    <w:p>
      <w:pPr>
        <w:pStyle w:val="ListParagraph"/>
        <w:numPr>
          <w:ilvl w:val="0"/>
          <w:numId w:val="5"/>
        </w:numPr>
        <w:spacing w:after="60"/>
      </w:pPr>
      <w:r>
        <w:rPr>
          <w:b/>
          <w:bCs/>
        </w:rPr>
        <w:t xml:space="preserve">Baesens, B., Roesch, D. &amp; Scheule, H. (2016)</w:t>
      </w:r>
      <w:r>
        <w:t xml:space="preserve">, </w:t>
      </w:r>
      <w:r>
        <w:rPr>
          <w:i/>
          <w:iCs/>
        </w:rPr>
        <w:t xml:space="preserve">Credit Risk Analytics</w:t>
      </w:r>
      <w:r>
        <w:t xml:space="preserve">, Wiley. Traducerea întregii teorii în practica de credit scoring, inclusiv gruparea variabilelor și </w:t>
      </w:r>
      <w:r>
        <w:rPr>
          <w:i/>
          <w:iCs/>
        </w:rPr>
        <w:t xml:space="preserve">weight of evidence</w:t>
      </w:r>
      <w:r>
        <w:t xml:space="preserve">. </w:t>
      </w:r>
      <w:r>
        <w:rPr>
          <w:b/>
          <w:bCs/>
        </w:rPr>
        <w:t xml:space="preserve">[mediu]</w:t>
      </w:r>
    </w:p>
    <w:p>
      <w:pPr>
        <w:pStyle w:val="Heading1"/>
        <w:keepNext/>
        <w:spacing w:after="120" w:before="240" w:line="240" w:lineRule="auto"/>
      </w:pPr>
      <w:r>
        <w:t xml:space="preserve">Tema 3 · Discriminare și calibrare</w:t>
      </w:r>
    </w:p>
    <w:p>
      <w:pPr>
        <w:pStyle w:val="ListParagraph"/>
        <w:numPr>
          <w:ilvl w:val="0"/>
          <w:numId w:val="5"/>
        </w:numPr>
        <w:spacing w:after="60"/>
      </w:pPr>
      <w:r>
        <w:rPr>
          <w:b/>
          <w:bCs/>
        </w:rPr>
        <w:t xml:space="preserve">Hanley, J. A. &amp; McNeil, B. J. (1982)</w:t>
      </w:r>
      <w:r>
        <w:t xml:space="preserve">, „The meaning and use of the area under a receiver operating characteristic (ROC) curve”, </w:t>
      </w:r>
      <w:r>
        <w:rPr>
          <w:i/>
          <w:iCs/>
        </w:rPr>
        <w:t xml:space="preserve">Radiology</w:t>
      </w:r>
      <w:r>
        <w:t xml:space="preserve"> 143(1), 29–36. Interpretarea probabilistică a AUC și erorile sale standard. </w:t>
      </w:r>
      <w:r>
        <w:rPr>
          <w:b/>
          <w:bCs/>
        </w:rPr>
        <w:t xml:space="preserve">[mediu]</w:t>
      </w:r>
    </w:p>
    <w:p>
      <w:pPr>
        <w:pStyle w:val="ListParagraph"/>
        <w:numPr>
          <w:ilvl w:val="0"/>
          <w:numId w:val="5"/>
        </w:numPr>
        <w:spacing w:after="60"/>
      </w:pPr>
      <w:r>
        <w:rPr>
          <w:b/>
          <w:bCs/>
        </w:rPr>
        <w:t xml:space="preserve">Basel Committee on Banking Supervision (2005)</w:t>
      </w:r>
      <w:r>
        <w:t xml:space="preserve">, </w:t>
      </w:r>
      <w:r>
        <w:rPr>
          <w:i/>
          <w:iCs/>
        </w:rPr>
        <w:t xml:space="preserve">Studies on the Validation of Internal Rating Systems</w:t>
      </w:r>
      <w:r>
        <w:t xml:space="preserve">, Working Paper 14. Practica supravegherii în materie de discriminare și calibrare; gratuit pe bis.org. </w:t>
      </w:r>
      <w:r>
        <w:rPr>
          <w:b/>
          <w:bCs/>
        </w:rPr>
        <w:t xml:space="preserve">[mediu]</w:t>
      </w:r>
    </w:p>
    <w:p>
      <w:pPr>
        <w:pStyle w:val="ListParagraph"/>
        <w:numPr>
          <w:ilvl w:val="0"/>
          <w:numId w:val="5"/>
        </w:numPr>
        <w:spacing w:after="60"/>
      </w:pPr>
      <w:r>
        <w:rPr>
          <w:b/>
          <w:bCs/>
        </w:rPr>
        <w:t xml:space="preserve">Niculescu-Mizil, A. &amp; Caruana, R. (2005)</w:t>
      </w:r>
      <w:r>
        <w:t xml:space="preserve">, „Predicting Good Probabilities with Supervised Learning”, ICML. Comparația metodelor de calibrare — Platt, izotonică. Disponibil liber pe paginile autorilor. </w:t>
      </w:r>
      <w:r>
        <w:rPr>
          <w:b/>
          <w:bCs/>
        </w:rPr>
        <w:t xml:space="preserve">[avansat]</w:t>
      </w:r>
    </w:p>
    <w:p>
      <w:pPr>
        <w:pStyle w:val="Heading1"/>
        <w:keepNext/>
        <w:spacing w:after="120" w:before="240" w:line="240" w:lineRule="auto"/>
      </w:pPr>
      <w:r>
        <w:t xml:space="preserve">Tema 4 · Scurgerea de informație</w:t>
      </w:r>
    </w:p>
    <w:p>
      <w:pPr>
        <w:pStyle w:val="ListParagraph"/>
        <w:numPr>
          <w:ilvl w:val="0"/>
          <w:numId w:val="5"/>
        </w:numPr>
        <w:spacing w:after="60"/>
      </w:pPr>
      <w:r>
        <w:rPr>
          <w:b/>
          <w:bCs/>
        </w:rPr>
        <w:t xml:space="preserve">Kaufman, S., Rosset, S., Perlich, C. &amp; Stitelman, O. (2012)</w:t>
      </w:r>
      <w:r>
        <w:t xml:space="preserve">, „Leakage in Data Mining: Formulation, Detection, and Avoidance”, </w:t>
      </w:r>
      <w:r>
        <w:rPr>
          <w:i/>
          <w:iCs/>
        </w:rPr>
        <w:t xml:space="preserve">ACM Transactions on Knowledge Discovery from Data</w:t>
      </w:r>
      <w:r>
        <w:t xml:space="preserve"> 6(4). Referința canonică, cu exemple din competiții reale. </w:t>
      </w:r>
      <w:r>
        <w:rPr>
          <w:b/>
          <w:bCs/>
        </w:rPr>
        <w:t xml:space="preserve">[mediu]</w:t>
      </w:r>
    </w:p>
    <w:p>
      <w:pPr>
        <w:pStyle w:val="Heading1"/>
        <w:keepNext/>
        <w:spacing w:after="120" w:before="240" w:line="240" w:lineRule="auto"/>
      </w:pPr>
      <w:r>
        <w:t xml:space="preserve">Tema 5 · Arbori, boosting, bagging</w:t>
      </w:r>
    </w:p>
    <w:p>
      <w:pPr>
        <w:pStyle w:val="ListParagraph"/>
        <w:numPr>
          <w:ilvl w:val="0"/>
          <w:numId w:val="5"/>
        </w:numPr>
        <w:spacing w:after="60"/>
      </w:pPr>
      <w:r>
        <w:rPr>
          <w:b/>
          <w:bCs/>
        </w:rPr>
        <w:t xml:space="preserve">Breiman, L. (1996)</w:t>
      </w:r>
      <w:r>
        <w:t xml:space="preserve">, „Bagging Predictors”, </w:t>
      </w:r>
      <w:r>
        <w:rPr>
          <w:i/>
          <w:iCs/>
        </w:rPr>
        <w:t xml:space="preserve">Machine Learning</w:t>
      </w:r>
      <w:r>
        <w:t xml:space="preserve"> 24(2), 123–140. </w:t>
      </w:r>
      <w:r>
        <w:rPr>
          <w:b/>
          <w:bCs/>
        </w:rPr>
        <w:t xml:space="preserve">[mediu]</w:t>
      </w:r>
    </w:p>
    <w:p>
      <w:pPr>
        <w:pStyle w:val="ListParagraph"/>
        <w:numPr>
          <w:ilvl w:val="0"/>
          <w:numId w:val="5"/>
        </w:numPr>
        <w:spacing w:after="60"/>
      </w:pPr>
      <w:r>
        <w:rPr>
          <w:b/>
          <w:bCs/>
        </w:rPr>
        <w:t xml:space="preserve">Friedman, J. H. (2001)</w:t>
      </w:r>
      <w:r>
        <w:t xml:space="preserve">, „Greedy Function Approximation: A Gradient Boosting Machine”, </w:t>
      </w:r>
      <w:r>
        <w:rPr>
          <w:i/>
          <w:iCs/>
        </w:rPr>
        <w:t xml:space="preserve">Annals of Statistics</w:t>
      </w:r>
      <w:r>
        <w:t xml:space="preserve"> 29(5), 1189–1232. Articolul fondator. </w:t>
      </w:r>
      <w:r>
        <w:rPr>
          <w:b/>
          <w:bCs/>
        </w:rPr>
        <w:t xml:space="preserve">[avansat]</w:t>
      </w:r>
    </w:p>
    <w:p>
      <w:pPr>
        <w:pStyle w:val="ListParagraph"/>
        <w:numPr>
          <w:ilvl w:val="0"/>
          <w:numId w:val="5"/>
        </w:numPr>
        <w:spacing w:after="60"/>
      </w:pPr>
      <w:r>
        <w:rPr>
          <w:b/>
          <w:bCs/>
        </w:rPr>
        <w:t xml:space="preserve">Ke, G. et al. (2017)</w:t>
      </w:r>
      <w:r>
        <w:t xml:space="preserve">, „LightGBM: A Highly Efficient Gradient Boosting Decision Tree”, NeurIPS. Varianta cu histograme, cea folosită pentru modelul de referință; PDF gratuit pe proceedings.neurips.cc. </w:t>
      </w:r>
      <w:r>
        <w:rPr>
          <w:b/>
          <w:bCs/>
        </w:rPr>
        <w:t xml:space="preserve">[avansat]</w:t>
      </w:r>
    </w:p>
    <w:p>
      <w:pPr>
        <w:pStyle w:val="ListParagraph"/>
        <w:numPr>
          <w:ilvl w:val="0"/>
          <w:numId w:val="5"/>
        </w:numPr>
        <w:spacing w:after="60"/>
      </w:pPr>
      <w:r>
        <w:rPr>
          <w:b/>
          <w:bCs/>
        </w:rPr>
        <w:t xml:space="preserve">Hastie, Tibshirani &amp; Friedman (2009)</w:t>
      </w:r>
      <w:r>
        <w:t xml:space="preserve">, </w:t>
      </w:r>
      <w:r>
        <w:rPr>
          <w:i/>
          <w:iCs/>
        </w:rPr>
        <w:t xml:space="preserve">The Elements of Statistical Learning</w:t>
      </w:r>
      <w:r>
        <w:t xml:space="preserve">, capitolul 10. Tratarea unificată a boosting-ului, gratuit. </w:t>
      </w:r>
      <w:r>
        <w:rPr>
          <w:b/>
          <w:bCs/>
        </w:rPr>
        <w:t xml:space="preserve">[avansat]</w:t>
      </w:r>
    </w:p>
    <w:p>
      <w:pPr>
        <w:pStyle w:val="Heading1"/>
        <w:keepNext/>
        <w:spacing w:after="120" w:before="240" w:line="240" w:lineRule="auto"/>
      </w:pPr>
      <w:r>
        <w:t xml:space="preserve">Tema 6 · Cuantile</w:t>
      </w:r>
    </w:p>
    <w:p>
      <w:pPr>
        <w:pStyle w:val="ListParagraph"/>
        <w:numPr>
          <w:ilvl w:val="0"/>
          <w:numId w:val="5"/>
        </w:numPr>
        <w:spacing w:after="60"/>
      </w:pPr>
      <w:r>
        <w:rPr>
          <w:b/>
          <w:bCs/>
        </w:rPr>
        <w:t xml:space="preserve">Hyndman, R. J. &amp; Fan, Y. (1996)</w:t>
      </w:r>
      <w:r>
        <w:t xml:space="preserve">, „Sample Quantiles in Statistical Packages”, </w:t>
      </w:r>
      <w:r>
        <w:rPr>
          <w:i/>
          <w:iCs/>
        </w:rPr>
        <w:t xml:space="preserve">The American Statistician</w:t>
      </w:r>
      <w:r>
        <w:t xml:space="preserve"> 50(4), 361–365. De ce același eșantion dă percentile ușor diferite în R, SAS și Python. </w:t>
      </w:r>
      <w:r>
        <w:rPr>
          <w:b/>
          <w:bCs/>
        </w:rPr>
        <w:t xml:space="preserve">[mediu]</w:t>
      </w:r>
    </w:p>
    <w:p>
      <w:pPr>
        <w:pStyle w:val="Heading1"/>
        <w:keepNext/>
        <w:spacing w:after="120" w:before="240" w:line="240" w:lineRule="auto"/>
      </w:pPr>
      <w:r>
        <w:t xml:space="preserve">Tema 7 · Managementul rezultatului</w:t>
      </w:r>
    </w:p>
    <w:p>
      <w:pPr>
        <w:pStyle w:val="ListParagraph"/>
        <w:numPr>
          <w:ilvl w:val="0"/>
          <w:numId w:val="5"/>
        </w:numPr>
        <w:spacing w:after="60"/>
      </w:pPr>
      <w:r>
        <w:rPr>
          <w:b/>
          <w:bCs/>
        </w:rPr>
        <w:t xml:space="preserve">Burgstahler, D. &amp; Dichev, I. (1997)</w:t>
      </w:r>
      <w:r>
        <w:t xml:space="preserve">, „Earnings management to avoid earnings decreases and losses”, </w:t>
      </w:r>
      <w:r>
        <w:rPr>
          <w:i/>
          <w:iCs/>
        </w:rPr>
        <w:t xml:space="preserve">Journal of Accounting and Economics</w:t>
      </w:r>
      <w:r>
        <w:t xml:space="preserve"> 24(1), 99–126. Testul reprodus în instrument. </w:t>
      </w:r>
      <w:r>
        <w:rPr>
          <w:b/>
          <w:bCs/>
        </w:rPr>
        <w:t xml:space="preserve">[mediu]</w:t>
      </w:r>
    </w:p>
    <w:p>
      <w:pPr>
        <w:pStyle w:val="ListParagraph"/>
        <w:numPr>
          <w:ilvl w:val="0"/>
          <w:numId w:val="5"/>
        </w:numPr>
        <w:spacing w:after="60"/>
      </w:pPr>
      <w:r>
        <w:rPr>
          <w:b/>
          <w:bCs/>
        </w:rPr>
        <w:t xml:space="preserve">Degeorge, F., Patel, J. &amp; Zeckhauser, R. (1999)</w:t>
      </w:r>
      <w:r>
        <w:t xml:space="preserve">, „Earnings Management to Exceed Thresholds”, </w:t>
      </w:r>
      <w:r>
        <w:rPr>
          <w:i/>
          <w:iCs/>
        </w:rPr>
        <w:t xml:space="preserve">Journal of Business</w:t>
      </w:r>
      <w:r>
        <w:t xml:space="preserve"> 72(1), 1–33. Pragurile multiple și ierarhia lor. </w:t>
      </w:r>
      <w:r>
        <w:rPr>
          <w:b/>
          <w:bCs/>
        </w:rPr>
        <w:t xml:space="preserve">[mediu]</w:t>
      </w:r>
    </w:p>
    <w:p>
      <w:pPr>
        <w:pStyle w:val="ListParagraph"/>
        <w:numPr>
          <w:ilvl w:val="0"/>
          <w:numId w:val="5"/>
        </w:numPr>
        <w:spacing w:after="60"/>
      </w:pPr>
      <w:r>
        <w:rPr>
          <w:b/>
          <w:bCs/>
        </w:rPr>
        <w:t xml:space="preserve">Dechow, P., Ge, W. &amp; Schrand, C. (2010)</w:t>
      </w:r>
      <w:r>
        <w:t xml:space="preserve">, „Understanding earnings quality: A review of the proxies, their determinants and their consequences”, </w:t>
      </w:r>
      <w:r>
        <w:rPr>
          <w:i/>
          <w:iCs/>
        </w:rPr>
        <w:t xml:space="preserve">Journal of Accounting and Economics</w:t>
      </w:r>
      <w:r>
        <w:t xml:space="preserve"> 50(2–3), 344–401. Sinteza domeniului. </w:t>
      </w:r>
      <w:r>
        <w:rPr>
          <w:b/>
          <w:bCs/>
        </w:rPr>
        <w:t xml:space="preserve">[avansat]</w:t>
      </w:r>
    </w:p>
    <w:p>
      <w:pPr>
        <w:pStyle w:val="ListParagraph"/>
        <w:numPr>
          <w:ilvl w:val="0"/>
          <w:numId w:val="5"/>
        </w:numPr>
        <w:spacing w:after="60"/>
      </w:pPr>
      <w:r>
        <w:rPr>
          <w:b/>
          <w:bCs/>
        </w:rPr>
        <w:t xml:space="preserve">Beneish, M. D. (1999)</w:t>
      </w:r>
      <w:r>
        <w:t xml:space="preserve">, „The Detection of Earnings Manipulation”, </w:t>
      </w:r>
      <w:r>
        <w:rPr>
          <w:i/>
          <w:iCs/>
        </w:rPr>
        <w:t xml:space="preserve">Financial Analysts Journal</w:t>
      </w:r>
      <w:r>
        <w:t xml:space="preserve"> 55(5), 24–36. Modelul M-score; nu este implementat în aplicație, pentru că are nevoie de poziții care lipsesc din datele publice, dar este lectura naturală următoare. </w:t>
      </w:r>
      <w:r>
        <w:rPr>
          <w:b/>
          <w:bCs/>
        </w:rPr>
        <w:t xml:space="preserve">[mediu]</w:t>
      </w:r>
    </w:p>
    <w:p>
      <w:pPr>
        <w:pStyle w:val="Heading1"/>
        <w:keepNext/>
        <w:spacing w:after="120" w:before="240" w:line="240" w:lineRule="auto"/>
      </w:pPr>
      <w:r>
        <w:t xml:space="preserve">Tema 8 · Legea Benford</w:t>
      </w:r>
    </w:p>
    <w:p>
      <w:pPr>
        <w:pStyle w:val="ListParagraph"/>
        <w:numPr>
          <w:ilvl w:val="0"/>
          <w:numId w:val="5"/>
        </w:numPr>
        <w:spacing w:after="60"/>
      </w:pPr>
      <w:r>
        <w:rPr>
          <w:b/>
          <w:bCs/>
        </w:rPr>
        <w:t xml:space="preserve">Newcomb, S. (1881)</w:t>
      </w:r>
      <w:r>
        <w:t xml:space="preserve">, „Note on the Frequency of Use of the Different Digits in Natural Numbers”, </w:t>
      </w:r>
      <w:r>
        <w:rPr>
          <w:i/>
          <w:iCs/>
        </w:rPr>
        <w:t xml:space="preserve">American Journal of Mathematics</w:t>
      </w:r>
      <w:r>
        <w:t xml:space="preserve"> 4, 39–40. Prima observație, cu cincizeci de ani înaintea lui Benford. </w:t>
      </w:r>
      <w:r>
        <w:rPr>
          <w:b/>
          <w:bCs/>
        </w:rPr>
        <w:t xml:space="preserve">[intro]</w:t>
      </w:r>
    </w:p>
    <w:p>
      <w:pPr>
        <w:pStyle w:val="ListParagraph"/>
        <w:numPr>
          <w:ilvl w:val="0"/>
          <w:numId w:val="5"/>
        </w:numPr>
        <w:spacing w:after="60"/>
      </w:pPr>
      <w:r>
        <w:rPr>
          <w:b/>
          <w:bCs/>
        </w:rPr>
        <w:t xml:space="preserve">Benford, F. (1938)</w:t>
      </w:r>
      <w:r>
        <w:t xml:space="preserve">, „The Law of Anomalous Numbers”, </w:t>
      </w:r>
      <w:r>
        <w:rPr>
          <w:i/>
          <w:iCs/>
        </w:rPr>
        <w:t xml:space="preserve">Proceedings of the American Philosophical Society</w:t>
      </w:r>
      <w:r>
        <w:t xml:space="preserve"> 78(4), 551–572. </w:t>
      </w:r>
      <w:r>
        <w:rPr>
          <w:b/>
          <w:bCs/>
        </w:rPr>
        <w:t xml:space="preserve">[intro]</w:t>
      </w:r>
    </w:p>
    <w:p>
      <w:pPr>
        <w:pStyle w:val="ListParagraph"/>
        <w:numPr>
          <w:ilvl w:val="0"/>
          <w:numId w:val="5"/>
        </w:numPr>
        <w:spacing w:after="60"/>
      </w:pPr>
      <w:r>
        <w:rPr>
          <w:b/>
          <w:bCs/>
        </w:rPr>
        <w:t xml:space="preserve">Hill, T. P. (1995)</w:t>
      </w:r>
      <w:r>
        <w:t xml:space="preserve">, „A Statistical Derivation of the Significant-Digit Law”, </w:t>
      </w:r>
      <w:r>
        <w:rPr>
          <w:i/>
          <w:iCs/>
        </w:rPr>
        <w:t xml:space="preserve">Statistical Science</w:t>
      </w:r>
      <w:r>
        <w:t xml:space="preserve"> 10(4), 354–363. Demonstrația riguroasă prin invarianța la scară și amestecul de distribuții. </w:t>
      </w:r>
      <w:r>
        <w:rPr>
          <w:b/>
          <w:bCs/>
        </w:rPr>
        <w:t xml:space="preserve">[avansat]</w:t>
      </w:r>
    </w:p>
    <w:p>
      <w:pPr>
        <w:pStyle w:val="ListParagraph"/>
        <w:numPr>
          <w:ilvl w:val="0"/>
          <w:numId w:val="5"/>
        </w:numPr>
        <w:spacing w:after="60"/>
      </w:pPr>
      <w:r>
        <w:rPr>
          <w:b/>
          <w:bCs/>
        </w:rPr>
        <w:t xml:space="preserve">Nigrini, M. J. (2012)</w:t>
      </w:r>
      <w:r>
        <w:t xml:space="preserve">, </w:t>
      </w:r>
      <w:r>
        <w:rPr>
          <w:i/>
          <w:iCs/>
        </w:rPr>
        <w:t xml:space="preserve">Benford's Law: Applications for Forensic Accounting, Auditing, and Fraud Detection</w:t>
      </w:r>
      <w:r>
        <w:t xml:space="preserve">, Wiley. Sursa pragurilor MAD folosite în instrument și a testelor pe a doua cifră. </w:t>
      </w:r>
      <w:r>
        <w:rPr>
          <w:b/>
          <w:bCs/>
        </w:rPr>
        <w:t xml:space="preserve">[mediu]</w:t>
      </w:r>
    </w:p>
    <w:p>
      <w:pPr>
        <w:pStyle w:val="Heading1"/>
        <w:keepNext/>
        <w:spacing w:after="120" w:before="240" w:line="240" w:lineRule="auto"/>
      </w:pPr>
      <w:r>
        <w:t xml:space="preserve">Tema 9 · Statistică robustă și outlieri</w:t>
      </w:r>
    </w:p>
    <w:p>
      <w:pPr>
        <w:pStyle w:val="ListParagraph"/>
        <w:numPr>
          <w:ilvl w:val="0"/>
          <w:numId w:val="5"/>
        </w:numPr>
        <w:spacing w:after="60"/>
      </w:pPr>
      <w:r>
        <w:rPr>
          <w:b/>
          <w:bCs/>
        </w:rPr>
        <w:t xml:space="preserve">Rousseeuw, P. J. &amp; Van Zomeren, B. C. (1990)</w:t>
      </w:r>
      <w:r>
        <w:t xml:space="preserve">, „Unmasking Multivariate Outliers and Leverage Points”, </w:t>
      </w:r>
      <w:r>
        <w:rPr>
          <w:i/>
          <w:iCs/>
        </w:rPr>
        <w:t xml:space="preserve">Journal of the American Statistical Association</w:t>
      </w:r>
      <w:r>
        <w:t xml:space="preserve"> 85(411), 633–651. Fenomenul de mascare și distanțele robuste. </w:t>
      </w:r>
      <w:r>
        <w:rPr>
          <w:b/>
          <w:bCs/>
        </w:rPr>
        <w:t xml:space="preserve">[avansat]</w:t>
      </w:r>
    </w:p>
    <w:p>
      <w:pPr>
        <w:pStyle w:val="ListParagraph"/>
        <w:numPr>
          <w:ilvl w:val="0"/>
          <w:numId w:val="5"/>
        </w:numPr>
        <w:spacing w:after="60"/>
      </w:pPr>
      <w:r>
        <w:rPr>
          <w:b/>
          <w:bCs/>
        </w:rPr>
        <w:t xml:space="preserve">Rousseeuw, P. J. &amp; Croux, C. (1993)</w:t>
      </w:r>
      <w:r>
        <w:t xml:space="preserve">, „Alternatives to the Median Absolute Deviation”, </w:t>
      </w:r>
      <w:r>
        <w:rPr>
          <w:i/>
          <w:iCs/>
        </w:rPr>
        <w:t xml:space="preserve">JASA</w:t>
      </w:r>
      <w:r>
        <w:t xml:space="preserve"> 88(424), 1273–1283. Constanta 1,4826 și limitele MAD-ului. </w:t>
      </w:r>
      <w:r>
        <w:rPr>
          <w:b/>
          <w:bCs/>
        </w:rPr>
        <w:t xml:space="preserve">[avansat]</w:t>
      </w:r>
    </w:p>
    <w:p>
      <w:pPr>
        <w:pStyle w:val="ListParagraph"/>
        <w:numPr>
          <w:ilvl w:val="0"/>
          <w:numId w:val="5"/>
        </w:numPr>
        <w:spacing w:after="60"/>
      </w:pPr>
      <w:r>
        <w:rPr>
          <w:b/>
          <w:bCs/>
        </w:rPr>
        <w:t xml:space="preserve">Maronna, R., Martin, R. D. &amp; Yohai, V. (2006)</w:t>
      </w:r>
      <w:r>
        <w:t xml:space="preserve">, </w:t>
      </w:r>
      <w:r>
        <w:rPr>
          <w:i/>
          <w:iCs/>
        </w:rPr>
        <w:t xml:space="preserve">Robust Statistics: Theory and Methods</w:t>
      </w:r>
      <w:r>
        <w:t xml:space="preserve">, Wiley. Manualul domeniului. </w:t>
      </w:r>
      <w:r>
        <w:rPr>
          <w:b/>
          <w:bCs/>
        </w:rPr>
        <w:t xml:space="preserve">[avansat]</w:t>
      </w:r>
    </w:p>
    <w:p>
      <w:r>
        <w:br w:type="page"/>
      </w:r>
    </w:p>
    <w:p>
      <w:pPr>
        <w:pStyle w:val="Title"/>
        <w:keepNext/>
        <w:spacing w:after="120" w:before="360" w:line="240" w:lineRule="auto"/>
      </w:pPr>
      <w:r>
        <w:t xml:space="preserve">Anexa C · Variabilele modelului și puntea către nivelul început</w:t>
      </w:r>
    </w:p>
    <w:p>
      <w:pPr>
        <w:pStyle w:val="Heading1"/>
        <w:keepNext/>
        <w:spacing w:after="120" w:before="240" w:line="240" w:lineRule="auto"/>
      </w:pPr>
      <w:r>
        <w:t xml:space="preserve">C.1 Cele douăsprezece variabile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59"/>
        <w:gridCol w:w="4034"/>
        <w:gridCol w:w="1452"/>
        <w:gridCol w:w="1615"/>
      </w:tblGrid>
      <w:tr>
        <w:trPr>
          <w:tblHeader/>
        </w:trPr>
        <w:tc>
          <w:tcPr>
            <w:tcW w:type="dxa" w:w="2259"/>
            <w:shd w:fill="EDF3FF" w:color="auto" w:val="clear"/>
            <w:tcMar>
              <w:top w:type="dxa" w:w="60"/>
              <w:left w:type="dxa" w:w="90"/>
              <w:bottom w:type="dxa" w:w="60"/>
              <w:right w:type="dxa" w:w="90"/>
            </w:tcMar>
          </w:tcPr>
          <w:p>
            <w:pPr>
              <w:keepNext w:val="false"/>
              <w:spacing w:after="0" w:before="0"/>
            </w:pPr>
            <w:r>
              <w:rPr>
                <w:b/>
                <w:bCs/>
                <w:color w:val="1A35A8"/>
                <w:sz w:val="18"/>
                <w:szCs w:val="18"/>
              </w:rPr>
              <w:t xml:space="preserve">Variabilă</w:t>
            </w:r>
          </w:p>
        </w:tc>
        <w:tc>
          <w:tcPr>
            <w:tcW w:type="dxa" w:w="4034"/>
            <w:shd w:fill="EDF3FF" w:color="auto" w:val="clear"/>
            <w:tcMar>
              <w:top w:type="dxa" w:w="60"/>
              <w:left w:type="dxa" w:w="90"/>
              <w:bottom w:type="dxa" w:w="60"/>
              <w:right w:type="dxa" w:w="90"/>
            </w:tcMar>
          </w:tcPr>
          <w:p>
            <w:pPr>
              <w:keepNext w:val="false"/>
              <w:spacing w:after="0" w:before="0"/>
            </w:pPr>
            <w:r>
              <w:rPr>
                <w:b/>
                <w:bCs/>
                <w:color w:val="1A35A8"/>
                <w:sz w:val="18"/>
                <w:szCs w:val="18"/>
              </w:rPr>
              <w:t xml:space="preserve">Formulă (date din 2024)</w:t>
            </w:r>
          </w:p>
        </w:tc>
        <w:tc>
          <w:tcPr>
            <w:tcW w:type="dxa" w:w="1452"/>
            <w:shd w:fill="EDF3FF" w:color="auto" w:val="clear"/>
            <w:tcMar>
              <w:top w:type="dxa" w:w="60"/>
              <w:left w:type="dxa" w:w="90"/>
              <w:bottom w:type="dxa" w:w="60"/>
              <w:right w:type="dxa" w:w="90"/>
            </w:tcMar>
          </w:tcPr>
          <w:p>
            <w:pPr>
              <w:keepNext w:val="false"/>
              <w:spacing w:after="0" w:before="0"/>
            </w:pPr>
            <w:r>
              <w:rPr>
                <w:b/>
                <w:bCs/>
                <w:color w:val="1A35A8"/>
                <w:sz w:val="18"/>
                <w:szCs w:val="18"/>
              </w:rPr>
              <w:t xml:space="preserve">Efect așteptat</w:t>
            </w:r>
          </w:p>
        </w:tc>
        <w:tc>
          <w:tcPr>
            <w:tcW w:type="dxa" w:w="1615"/>
            <w:shd w:fill="EDF3FF" w:color="auto" w:val="clear"/>
            <w:tcMar>
              <w:top w:type="dxa" w:w="60"/>
              <w:left w:type="dxa" w:w="90"/>
              <w:bottom w:type="dxa" w:w="60"/>
              <w:right w:type="dxa" w:w="90"/>
            </w:tcMar>
          </w:tcPr>
          <w:p>
            <w:pPr>
              <w:keepNext w:val="false"/>
              <w:spacing w:after="0" w:before="0"/>
            </w:pPr>
            <w:r>
              <w:rPr>
                <w:b/>
                <w:bCs/>
                <w:color w:val="1A35A8"/>
                <w:sz w:val="18"/>
                <w:szCs w:val="18"/>
              </w:rPr>
              <w:t xml:space="preserve">Mediana eșantionului</w:t>
            </w:r>
          </w:p>
        </w:tc>
      </w:tr>
      <w:tr>
        <w:trPr>
          <w:tblHeader w:val="false"/>
        </w:trPr>
        <w:tc>
          <w:tcPr>
            <w:tcW w:type="dxa" w:w="2259"/>
            <w:tcMar>
              <w:top w:type="dxa" w:w="60"/>
              <w:left w:type="dxa" w:w="90"/>
              <w:bottom w:type="dxa" w:w="60"/>
              <w:right w:type="dxa" w:w="90"/>
            </w:tcMar>
          </w:tcPr>
          <w:p>
            <w:pPr>
              <w:keepNext w:val="false"/>
              <w:spacing w:after="0" w:before="0"/>
            </w:pPr>
            <w:r>
              <w:rPr>
                <w:b w:val="false"/>
                <w:bCs w:val="false"/>
                <w:color w:val="162554"/>
                <w:sz w:val="18"/>
                <w:szCs w:val="18"/>
              </w:rPr>
              <w:t xml:space="preserve">Lichiditate curentă</w:t>
            </w:r>
          </w:p>
        </w:tc>
        <w:tc>
          <w:tcPr>
            <w:tcW w:type="dxa" w:w="4034"/>
            <w:tcMar>
              <w:top w:type="dxa" w:w="60"/>
              <w:left w:type="dxa" w:w="90"/>
              <w:bottom w:type="dxa" w:w="60"/>
              <w:right w:type="dxa" w:w="90"/>
            </w:tcMar>
          </w:tcPr>
          <w:p>
            <w:pPr>
              <w:keepNext w:val="false"/>
              <w:spacing w:after="0" w:before="0"/>
            </w:pPr>
            <w:r>
              <w:rPr>
                <w:b w:val="false"/>
                <w:bCs w:val="false"/>
                <w:color w:val="162554"/>
                <w:sz w:val="18"/>
                <w:szCs w:val="18"/>
              </w:rPr>
              <w:t xml:space="preserve">Active circulante / Datorii totale</w:t>
            </w:r>
          </w:p>
        </w:tc>
        <w:tc>
          <w:tcPr>
            <w:tcW w:type="dxa" w:w="1452"/>
            <w:tcMar>
              <w:top w:type="dxa" w:w="60"/>
              <w:left w:type="dxa" w:w="90"/>
              <w:bottom w:type="dxa" w:w="60"/>
              <w:right w:type="dxa" w:w="90"/>
            </w:tcMar>
          </w:tcPr>
          <w:p>
            <w:pPr>
              <w:keepNext w:val="false"/>
              <w:spacing w:after="0" w:before="0"/>
            </w:pPr>
            <w:r>
              <w:rPr>
                <w:b w:val="false"/>
                <w:bCs w:val="false"/>
                <w:color w:val="162554"/>
                <w:sz w:val="18"/>
                <w:szCs w:val="18"/>
              </w:rPr>
              <w:t xml:space="preserve">risc mai mic</w:t>
            </w:r>
          </w:p>
        </w:tc>
        <w:tc>
          <w:tcPr>
            <w:tcW w:type="dxa" w:w="1615"/>
            <w:tcMar>
              <w:top w:type="dxa" w:w="60"/>
              <w:left w:type="dxa" w:w="90"/>
              <w:bottom w:type="dxa" w:w="60"/>
              <w:right w:type="dxa" w:w="90"/>
            </w:tcMar>
          </w:tcPr>
          <w:p>
            <w:pPr>
              <w:keepNext w:val="false"/>
              <w:spacing w:after="0" w:before="0"/>
            </w:pPr>
            <w:r>
              <w:rPr>
                <w:b w:val="false"/>
                <w:bCs w:val="false"/>
                <w:color w:val="162554"/>
                <w:sz w:val="18"/>
                <w:szCs w:val="18"/>
              </w:rPr>
              <w:t xml:space="preserve">1,45</w:t>
            </w:r>
          </w:p>
        </w:tc>
      </w:tr>
      <w:tr>
        <w:trPr>
          <w:tblHeader w:val="false"/>
        </w:trPr>
        <w:tc>
          <w:tcPr>
            <w:tcW w:type="dxa" w:w="2259"/>
            <w:tcMar>
              <w:top w:type="dxa" w:w="60"/>
              <w:left w:type="dxa" w:w="90"/>
              <w:bottom w:type="dxa" w:w="60"/>
              <w:right w:type="dxa" w:w="90"/>
            </w:tcMar>
          </w:tcPr>
          <w:p>
            <w:pPr>
              <w:keepNext w:val="false"/>
              <w:spacing w:after="0" w:before="0"/>
            </w:pPr>
            <w:r>
              <w:rPr>
                <w:b w:val="false"/>
                <w:bCs w:val="false"/>
                <w:color w:val="162554"/>
                <w:sz w:val="18"/>
                <w:szCs w:val="18"/>
              </w:rPr>
              <w:t xml:space="preserve">Lichiditate imediată</w:t>
            </w:r>
          </w:p>
        </w:tc>
        <w:tc>
          <w:tcPr>
            <w:tcW w:type="dxa" w:w="4034"/>
            <w:tcMar>
              <w:top w:type="dxa" w:w="60"/>
              <w:left w:type="dxa" w:w="90"/>
              <w:bottom w:type="dxa" w:w="60"/>
              <w:right w:type="dxa" w:w="90"/>
            </w:tcMar>
          </w:tcPr>
          <w:p>
            <w:pPr>
              <w:keepNext w:val="false"/>
              <w:spacing w:after="0" w:before="0"/>
            </w:pPr>
            <w:r>
              <w:rPr>
                <w:b w:val="false"/>
                <w:bCs w:val="false"/>
                <w:color w:val="162554"/>
                <w:sz w:val="18"/>
                <w:szCs w:val="18"/>
              </w:rPr>
              <w:t xml:space="preserve">Numerar și conturi la bănci / Datorii totale</w:t>
            </w:r>
          </w:p>
        </w:tc>
        <w:tc>
          <w:tcPr>
            <w:tcW w:type="dxa" w:w="1452"/>
            <w:tcMar>
              <w:top w:type="dxa" w:w="60"/>
              <w:left w:type="dxa" w:w="90"/>
              <w:bottom w:type="dxa" w:w="60"/>
              <w:right w:type="dxa" w:w="90"/>
            </w:tcMar>
          </w:tcPr>
          <w:p>
            <w:pPr>
              <w:keepNext w:val="false"/>
              <w:spacing w:after="0" w:before="0"/>
            </w:pPr>
            <w:r>
              <w:rPr>
                <w:b w:val="false"/>
                <w:bCs w:val="false"/>
                <w:color w:val="162554"/>
                <w:sz w:val="18"/>
                <w:szCs w:val="18"/>
              </w:rPr>
              <w:t xml:space="preserve">risc mai mic</w:t>
            </w:r>
          </w:p>
        </w:tc>
        <w:tc>
          <w:tcPr>
            <w:tcW w:type="dxa" w:w="1615"/>
            <w:tcMar>
              <w:top w:type="dxa" w:w="60"/>
              <w:left w:type="dxa" w:w="90"/>
              <w:bottom w:type="dxa" w:w="60"/>
              <w:right w:type="dxa" w:w="90"/>
            </w:tcMar>
          </w:tcPr>
          <w:p>
            <w:pPr>
              <w:keepNext w:val="false"/>
              <w:spacing w:after="0" w:before="0"/>
            </w:pPr>
            <w:r>
              <w:rPr>
                <w:b w:val="false"/>
                <w:bCs w:val="false"/>
                <w:color w:val="162554"/>
                <w:sz w:val="18"/>
                <w:szCs w:val="18"/>
              </w:rPr>
              <w:t xml:space="preserve">0,29</w:t>
            </w:r>
          </w:p>
        </w:tc>
      </w:tr>
      <w:tr>
        <w:trPr>
          <w:tblHeader w:val="false"/>
        </w:trPr>
        <w:tc>
          <w:tcPr>
            <w:tcW w:type="dxa" w:w="2259"/>
            <w:tcMar>
              <w:top w:type="dxa" w:w="60"/>
              <w:left w:type="dxa" w:w="90"/>
              <w:bottom w:type="dxa" w:w="60"/>
              <w:right w:type="dxa" w:w="90"/>
            </w:tcMar>
          </w:tcPr>
          <w:p>
            <w:pPr>
              <w:keepNext w:val="false"/>
              <w:spacing w:after="0" w:before="0"/>
            </w:pPr>
            <w:r>
              <w:rPr>
                <w:b w:val="false"/>
                <w:bCs w:val="false"/>
                <w:color w:val="162554"/>
                <w:sz w:val="18"/>
                <w:szCs w:val="18"/>
              </w:rPr>
              <w:t xml:space="preserve">Autonomie financiară</w:t>
            </w:r>
          </w:p>
        </w:tc>
        <w:tc>
          <w:tcPr>
            <w:tcW w:type="dxa" w:w="4034"/>
            <w:tcMar>
              <w:top w:type="dxa" w:w="60"/>
              <w:left w:type="dxa" w:w="90"/>
              <w:bottom w:type="dxa" w:w="60"/>
              <w:right w:type="dxa" w:w="90"/>
            </w:tcMar>
          </w:tcPr>
          <w:p>
            <w:pPr>
              <w:keepNext w:val="false"/>
              <w:spacing w:after="0" w:before="0"/>
            </w:pPr>
            <w:r>
              <w:rPr>
                <w:b w:val="false"/>
                <w:bCs w:val="false"/>
                <w:color w:val="162554"/>
                <w:sz w:val="18"/>
                <w:szCs w:val="18"/>
              </w:rPr>
              <w:t xml:space="preserve">Capitaluri proprii / Active totale</w:t>
            </w:r>
          </w:p>
        </w:tc>
        <w:tc>
          <w:tcPr>
            <w:tcW w:type="dxa" w:w="1452"/>
            <w:tcMar>
              <w:top w:type="dxa" w:w="60"/>
              <w:left w:type="dxa" w:w="90"/>
              <w:bottom w:type="dxa" w:w="60"/>
              <w:right w:type="dxa" w:w="90"/>
            </w:tcMar>
          </w:tcPr>
          <w:p>
            <w:pPr>
              <w:keepNext w:val="false"/>
              <w:spacing w:after="0" w:before="0"/>
            </w:pPr>
            <w:r>
              <w:rPr>
                <w:b w:val="false"/>
                <w:bCs w:val="false"/>
                <w:color w:val="162554"/>
                <w:sz w:val="18"/>
                <w:szCs w:val="18"/>
              </w:rPr>
              <w:t xml:space="preserve">risc mai mic</w:t>
            </w:r>
          </w:p>
        </w:tc>
        <w:tc>
          <w:tcPr>
            <w:tcW w:type="dxa" w:w="1615"/>
            <w:tcMar>
              <w:top w:type="dxa" w:w="60"/>
              <w:left w:type="dxa" w:w="90"/>
              <w:bottom w:type="dxa" w:w="60"/>
              <w:right w:type="dxa" w:w="90"/>
            </w:tcMar>
          </w:tcPr>
          <w:p>
            <w:pPr>
              <w:keepNext w:val="false"/>
              <w:spacing w:after="0" w:before="0"/>
            </w:pPr>
            <w:r>
              <w:rPr>
                <w:b w:val="false"/>
                <w:bCs w:val="false"/>
                <w:color w:val="162554"/>
                <w:sz w:val="18"/>
                <w:szCs w:val="18"/>
              </w:rPr>
              <w:t xml:space="preserve">50,6 %</w:t>
            </w:r>
          </w:p>
        </w:tc>
      </w:tr>
      <w:tr>
        <w:trPr>
          <w:tblHeader w:val="false"/>
        </w:trPr>
        <w:tc>
          <w:tcPr>
            <w:tcW w:type="dxa" w:w="2259"/>
            <w:tcMar>
              <w:top w:type="dxa" w:w="60"/>
              <w:left w:type="dxa" w:w="90"/>
              <w:bottom w:type="dxa" w:w="60"/>
              <w:right w:type="dxa" w:w="90"/>
            </w:tcMar>
          </w:tcPr>
          <w:p>
            <w:pPr>
              <w:keepNext w:val="false"/>
              <w:spacing w:after="0" w:before="0"/>
            </w:pPr>
            <w:r>
              <w:rPr>
                <w:b w:val="false"/>
                <w:bCs w:val="false"/>
                <w:color w:val="162554"/>
                <w:sz w:val="18"/>
                <w:szCs w:val="18"/>
              </w:rPr>
              <w:t xml:space="preserve">Datorii / active</w:t>
            </w:r>
          </w:p>
        </w:tc>
        <w:tc>
          <w:tcPr>
            <w:tcW w:type="dxa" w:w="4034"/>
            <w:tcMar>
              <w:top w:type="dxa" w:w="60"/>
              <w:left w:type="dxa" w:w="90"/>
              <w:bottom w:type="dxa" w:w="60"/>
              <w:right w:type="dxa" w:w="90"/>
            </w:tcMar>
          </w:tcPr>
          <w:p>
            <w:pPr>
              <w:keepNext w:val="false"/>
              <w:spacing w:after="0" w:before="0"/>
            </w:pPr>
            <w:r>
              <w:rPr>
                <w:b w:val="false"/>
                <w:bCs w:val="false"/>
                <w:color w:val="162554"/>
                <w:sz w:val="18"/>
                <w:szCs w:val="18"/>
              </w:rPr>
              <w:t xml:space="preserve">Datorii totale / Active totale</w:t>
            </w:r>
          </w:p>
        </w:tc>
        <w:tc>
          <w:tcPr>
            <w:tcW w:type="dxa" w:w="1452"/>
            <w:tcMar>
              <w:top w:type="dxa" w:w="60"/>
              <w:left w:type="dxa" w:w="90"/>
              <w:bottom w:type="dxa" w:w="60"/>
              <w:right w:type="dxa" w:w="90"/>
            </w:tcMar>
          </w:tcPr>
          <w:p>
            <w:pPr>
              <w:keepNext w:val="false"/>
              <w:spacing w:after="0" w:before="0"/>
            </w:pPr>
            <w:r>
              <w:rPr>
                <w:b w:val="false"/>
                <w:bCs w:val="false"/>
                <w:color w:val="162554"/>
                <w:sz w:val="18"/>
                <w:szCs w:val="18"/>
              </w:rPr>
              <w:t xml:space="preserve">risc mai mare</w:t>
            </w:r>
          </w:p>
        </w:tc>
        <w:tc>
          <w:tcPr>
            <w:tcW w:type="dxa" w:w="1615"/>
            <w:tcMar>
              <w:top w:type="dxa" w:w="60"/>
              <w:left w:type="dxa" w:w="90"/>
              <w:bottom w:type="dxa" w:w="60"/>
              <w:right w:type="dxa" w:w="90"/>
            </w:tcMar>
          </w:tcPr>
          <w:p>
            <w:pPr>
              <w:keepNext w:val="false"/>
              <w:spacing w:after="0" w:before="0"/>
            </w:pPr>
            <w:r>
              <w:rPr>
                <w:b w:val="false"/>
                <w:bCs w:val="false"/>
                <w:color w:val="162554"/>
                <w:sz w:val="18"/>
                <w:szCs w:val="18"/>
              </w:rPr>
              <w:t xml:space="preserve">46,6 %</w:t>
            </w:r>
          </w:p>
        </w:tc>
      </w:tr>
      <w:tr>
        <w:trPr>
          <w:tblHeader w:val="false"/>
        </w:trPr>
        <w:tc>
          <w:tcPr>
            <w:tcW w:type="dxa" w:w="2259"/>
            <w:tcMar>
              <w:top w:type="dxa" w:w="60"/>
              <w:left w:type="dxa" w:w="90"/>
              <w:bottom w:type="dxa" w:w="60"/>
              <w:right w:type="dxa" w:w="90"/>
            </w:tcMar>
          </w:tcPr>
          <w:p>
            <w:pPr>
              <w:keepNext w:val="false"/>
              <w:spacing w:after="0" w:before="0"/>
            </w:pPr>
            <w:r>
              <w:rPr>
                <w:b w:val="false"/>
                <w:bCs w:val="false"/>
                <w:color w:val="162554"/>
                <w:sz w:val="18"/>
                <w:szCs w:val="18"/>
              </w:rPr>
              <w:t xml:space="preserve">Marjă netă</w:t>
            </w:r>
          </w:p>
        </w:tc>
        <w:tc>
          <w:tcPr>
            <w:tcW w:type="dxa" w:w="4034"/>
            <w:tcMar>
              <w:top w:type="dxa" w:w="60"/>
              <w:left w:type="dxa" w:w="90"/>
              <w:bottom w:type="dxa" w:w="60"/>
              <w:right w:type="dxa" w:w="90"/>
            </w:tcMar>
          </w:tcPr>
          <w:p>
            <w:pPr>
              <w:keepNext w:val="false"/>
              <w:spacing w:after="0" w:before="0"/>
            </w:pPr>
            <w:r>
              <w:rPr>
                <w:b w:val="false"/>
                <w:bCs w:val="false"/>
                <w:color w:val="162554"/>
                <w:sz w:val="18"/>
                <w:szCs w:val="18"/>
              </w:rPr>
              <w:t xml:space="preserve">Profit net / Cifra de afaceri</w:t>
            </w:r>
          </w:p>
        </w:tc>
        <w:tc>
          <w:tcPr>
            <w:tcW w:type="dxa" w:w="1452"/>
            <w:tcMar>
              <w:top w:type="dxa" w:w="60"/>
              <w:left w:type="dxa" w:w="90"/>
              <w:bottom w:type="dxa" w:w="60"/>
              <w:right w:type="dxa" w:w="90"/>
            </w:tcMar>
          </w:tcPr>
          <w:p>
            <w:pPr>
              <w:keepNext w:val="false"/>
              <w:spacing w:after="0" w:before="0"/>
            </w:pPr>
            <w:r>
              <w:rPr>
                <w:b w:val="false"/>
                <w:bCs w:val="false"/>
                <w:color w:val="162554"/>
                <w:sz w:val="18"/>
                <w:szCs w:val="18"/>
              </w:rPr>
              <w:t xml:space="preserve">risc mai mic</w:t>
            </w:r>
          </w:p>
        </w:tc>
        <w:tc>
          <w:tcPr>
            <w:tcW w:type="dxa" w:w="1615"/>
            <w:tcMar>
              <w:top w:type="dxa" w:w="60"/>
              <w:left w:type="dxa" w:w="90"/>
              <w:bottom w:type="dxa" w:w="60"/>
              <w:right w:type="dxa" w:w="90"/>
            </w:tcMar>
          </w:tcPr>
          <w:p>
            <w:pPr>
              <w:keepNext w:val="false"/>
              <w:spacing w:after="0" w:before="0"/>
            </w:pPr>
            <w:r>
              <w:rPr>
                <w:b w:val="false"/>
                <w:bCs w:val="false"/>
                <w:color w:val="162554"/>
                <w:sz w:val="18"/>
                <w:szCs w:val="18"/>
              </w:rPr>
              <w:t xml:space="preserve">9,0 %</w:t>
            </w:r>
          </w:p>
        </w:tc>
      </w:tr>
      <w:tr>
        <w:trPr>
          <w:tblHeader w:val="false"/>
        </w:trPr>
        <w:tc>
          <w:tcPr>
            <w:tcW w:type="dxa" w:w="2259"/>
            <w:tcMar>
              <w:top w:type="dxa" w:w="60"/>
              <w:left w:type="dxa" w:w="90"/>
              <w:bottom w:type="dxa" w:w="60"/>
              <w:right w:type="dxa" w:w="90"/>
            </w:tcMar>
          </w:tcPr>
          <w:p>
            <w:pPr>
              <w:keepNext w:val="false"/>
              <w:spacing w:after="0" w:before="0"/>
            </w:pPr>
            <w:r>
              <w:rPr>
                <w:b w:val="false"/>
                <w:bCs w:val="false"/>
                <w:color w:val="162554"/>
                <w:sz w:val="18"/>
                <w:szCs w:val="18"/>
              </w:rPr>
              <w:t xml:space="preserve">ROA</w:t>
            </w:r>
          </w:p>
        </w:tc>
        <w:tc>
          <w:tcPr>
            <w:tcW w:type="dxa" w:w="4034"/>
            <w:tcMar>
              <w:top w:type="dxa" w:w="60"/>
              <w:left w:type="dxa" w:w="90"/>
              <w:bottom w:type="dxa" w:w="60"/>
              <w:right w:type="dxa" w:w="90"/>
            </w:tcMar>
          </w:tcPr>
          <w:p>
            <w:pPr>
              <w:keepNext w:val="false"/>
              <w:spacing w:after="0" w:before="0"/>
            </w:pPr>
            <w:r>
              <w:rPr>
                <w:b w:val="false"/>
                <w:bCs w:val="false"/>
                <w:color w:val="162554"/>
                <w:sz w:val="18"/>
                <w:szCs w:val="18"/>
              </w:rPr>
              <w:t xml:space="preserve">Profit net / Active totale</w:t>
            </w:r>
          </w:p>
        </w:tc>
        <w:tc>
          <w:tcPr>
            <w:tcW w:type="dxa" w:w="1452"/>
            <w:tcMar>
              <w:top w:type="dxa" w:w="60"/>
              <w:left w:type="dxa" w:w="90"/>
              <w:bottom w:type="dxa" w:w="60"/>
              <w:right w:type="dxa" w:w="90"/>
            </w:tcMar>
          </w:tcPr>
          <w:p>
            <w:pPr>
              <w:keepNext w:val="false"/>
              <w:spacing w:after="0" w:before="0"/>
            </w:pPr>
            <w:r>
              <w:rPr>
                <w:b w:val="false"/>
                <w:bCs w:val="false"/>
                <w:color w:val="162554"/>
                <w:sz w:val="18"/>
                <w:szCs w:val="18"/>
              </w:rPr>
              <w:t xml:space="preserve">risc mai mic</w:t>
            </w:r>
          </w:p>
        </w:tc>
        <w:tc>
          <w:tcPr>
            <w:tcW w:type="dxa" w:w="1615"/>
            <w:tcMar>
              <w:top w:type="dxa" w:w="60"/>
              <w:left w:type="dxa" w:w="90"/>
              <w:bottom w:type="dxa" w:w="60"/>
              <w:right w:type="dxa" w:w="90"/>
            </w:tcMar>
          </w:tcPr>
          <w:p>
            <w:pPr>
              <w:keepNext w:val="false"/>
              <w:spacing w:after="0" w:before="0"/>
            </w:pPr>
            <w:r>
              <w:rPr>
                <w:b w:val="false"/>
                <w:bCs w:val="false"/>
                <w:color w:val="162554"/>
                <w:sz w:val="18"/>
                <w:szCs w:val="18"/>
              </w:rPr>
              <w:t xml:space="preserve">10,6 %</w:t>
            </w:r>
          </w:p>
        </w:tc>
      </w:tr>
      <w:tr>
        <w:trPr>
          <w:tblHeader w:val="false"/>
        </w:trPr>
        <w:tc>
          <w:tcPr>
            <w:tcW w:type="dxa" w:w="2259"/>
            <w:tcMar>
              <w:top w:type="dxa" w:w="60"/>
              <w:left w:type="dxa" w:w="90"/>
              <w:bottom w:type="dxa" w:w="60"/>
              <w:right w:type="dxa" w:w="90"/>
            </w:tcMar>
          </w:tcPr>
          <w:p>
            <w:pPr>
              <w:keepNext w:val="false"/>
              <w:spacing w:after="0" w:before="0"/>
            </w:pPr>
            <w:r>
              <w:rPr>
                <w:b w:val="false"/>
                <w:bCs w:val="false"/>
                <w:color w:val="162554"/>
                <w:sz w:val="18"/>
                <w:szCs w:val="18"/>
              </w:rPr>
              <w:t xml:space="preserve">Rotația activelor</w:t>
            </w:r>
          </w:p>
        </w:tc>
        <w:tc>
          <w:tcPr>
            <w:tcW w:type="dxa" w:w="4034"/>
            <w:tcMar>
              <w:top w:type="dxa" w:w="60"/>
              <w:left w:type="dxa" w:w="90"/>
              <w:bottom w:type="dxa" w:w="60"/>
              <w:right w:type="dxa" w:w="90"/>
            </w:tcMar>
          </w:tcPr>
          <w:p>
            <w:pPr>
              <w:keepNext w:val="false"/>
              <w:spacing w:after="0" w:before="0"/>
            </w:pPr>
            <w:r>
              <w:rPr>
                <w:b w:val="false"/>
                <w:bCs w:val="false"/>
                <w:color w:val="162554"/>
                <w:sz w:val="18"/>
                <w:szCs w:val="18"/>
              </w:rPr>
              <w:t xml:space="preserve">Cifra de afaceri / Active totale</w:t>
            </w:r>
          </w:p>
        </w:tc>
        <w:tc>
          <w:tcPr>
            <w:tcW w:type="dxa" w:w="1452"/>
            <w:tcMar>
              <w:top w:type="dxa" w:w="60"/>
              <w:left w:type="dxa" w:w="90"/>
              <w:bottom w:type="dxa" w:w="60"/>
              <w:right w:type="dxa" w:w="90"/>
            </w:tcMar>
          </w:tcPr>
          <w:p>
            <w:pPr>
              <w:keepNext w:val="false"/>
              <w:spacing w:after="0" w:before="0"/>
            </w:pPr>
            <w:r>
              <w:rPr>
                <w:b w:val="false"/>
                <w:bCs w:val="false"/>
                <w:color w:val="162554"/>
                <w:sz w:val="18"/>
                <w:szCs w:val="18"/>
              </w:rPr>
              <w:t xml:space="preserve">risc mai mic</w:t>
            </w:r>
          </w:p>
        </w:tc>
        <w:tc>
          <w:tcPr>
            <w:tcW w:type="dxa" w:w="1615"/>
            <w:tcMar>
              <w:top w:type="dxa" w:w="60"/>
              <w:left w:type="dxa" w:w="90"/>
              <w:bottom w:type="dxa" w:w="60"/>
              <w:right w:type="dxa" w:w="90"/>
            </w:tcMar>
          </w:tcPr>
          <w:p>
            <w:pPr>
              <w:keepNext w:val="false"/>
              <w:spacing w:after="0" w:before="0"/>
            </w:pPr>
            <w:r>
              <w:rPr>
                <w:b w:val="false"/>
                <w:bCs w:val="false"/>
                <w:color w:val="162554"/>
                <w:sz w:val="18"/>
                <w:szCs w:val="18"/>
              </w:rPr>
              <w:t xml:space="preserve">1,20</w:t>
            </w:r>
          </w:p>
        </w:tc>
      </w:tr>
      <w:tr>
        <w:trPr>
          <w:tblHeader w:val="false"/>
        </w:trPr>
        <w:tc>
          <w:tcPr>
            <w:tcW w:type="dxa" w:w="2259"/>
            <w:tcMar>
              <w:top w:type="dxa" w:w="60"/>
              <w:left w:type="dxa" w:w="90"/>
              <w:bottom w:type="dxa" w:w="60"/>
              <w:right w:type="dxa" w:w="90"/>
            </w:tcMar>
          </w:tcPr>
          <w:p>
            <w:pPr>
              <w:keepNext w:val="false"/>
              <w:spacing w:after="0" w:before="0"/>
            </w:pPr>
            <w:r>
              <w:rPr>
                <w:b w:val="false"/>
                <w:bCs w:val="false"/>
                <w:color w:val="162554"/>
                <w:sz w:val="18"/>
                <w:szCs w:val="18"/>
              </w:rPr>
              <w:t xml:space="preserve">Creanțe / cifra de afaceri</w:t>
            </w:r>
          </w:p>
        </w:tc>
        <w:tc>
          <w:tcPr>
            <w:tcW w:type="dxa" w:w="4034"/>
            <w:tcMar>
              <w:top w:type="dxa" w:w="60"/>
              <w:left w:type="dxa" w:w="90"/>
              <w:bottom w:type="dxa" w:w="60"/>
              <w:right w:type="dxa" w:w="90"/>
            </w:tcMar>
          </w:tcPr>
          <w:p>
            <w:pPr>
              <w:keepNext w:val="false"/>
              <w:spacing w:after="0" w:before="0"/>
            </w:pPr>
            <w:r>
              <w:rPr>
                <w:b w:val="false"/>
                <w:bCs w:val="false"/>
                <w:color w:val="162554"/>
                <w:sz w:val="18"/>
                <w:szCs w:val="18"/>
              </w:rPr>
              <w:t xml:space="preserve">Creanțe / Cifra de afaceri</w:t>
            </w:r>
          </w:p>
        </w:tc>
        <w:tc>
          <w:tcPr>
            <w:tcW w:type="dxa" w:w="1452"/>
            <w:tcMar>
              <w:top w:type="dxa" w:w="60"/>
              <w:left w:type="dxa" w:w="90"/>
              <w:bottom w:type="dxa" w:w="60"/>
              <w:right w:type="dxa" w:w="90"/>
            </w:tcMar>
          </w:tcPr>
          <w:p>
            <w:pPr>
              <w:keepNext w:val="false"/>
              <w:spacing w:after="0" w:before="0"/>
            </w:pPr>
            <w:r>
              <w:rPr>
                <w:b w:val="false"/>
                <w:bCs w:val="false"/>
                <w:color w:val="162554"/>
                <w:sz w:val="18"/>
                <w:szCs w:val="18"/>
              </w:rPr>
              <w:t xml:space="preserve">risc mai mare</w:t>
            </w:r>
          </w:p>
        </w:tc>
        <w:tc>
          <w:tcPr>
            <w:tcW w:type="dxa" w:w="1615"/>
            <w:tcMar>
              <w:top w:type="dxa" w:w="60"/>
              <w:left w:type="dxa" w:w="90"/>
              <w:bottom w:type="dxa" w:w="60"/>
              <w:right w:type="dxa" w:w="90"/>
            </w:tcMar>
          </w:tcPr>
          <w:p>
            <w:pPr>
              <w:keepNext w:val="false"/>
              <w:spacing w:after="0" w:before="0"/>
            </w:pPr>
            <w:r>
              <w:rPr>
                <w:b w:val="false"/>
                <w:bCs w:val="false"/>
                <w:color w:val="162554"/>
                <w:sz w:val="18"/>
                <w:szCs w:val="18"/>
              </w:rPr>
              <w:t xml:space="preserve">0,17</w:t>
            </w:r>
          </w:p>
        </w:tc>
      </w:tr>
      <w:tr>
        <w:trPr>
          <w:tblHeader w:val="false"/>
        </w:trPr>
        <w:tc>
          <w:tcPr>
            <w:tcW w:type="dxa" w:w="2259"/>
            <w:tcMar>
              <w:top w:type="dxa" w:w="60"/>
              <w:left w:type="dxa" w:w="90"/>
              <w:bottom w:type="dxa" w:w="60"/>
              <w:right w:type="dxa" w:w="90"/>
            </w:tcMar>
          </w:tcPr>
          <w:p>
            <w:pPr>
              <w:keepNext w:val="false"/>
              <w:spacing w:after="0" w:before="0"/>
            </w:pPr>
            <w:r>
              <w:rPr>
                <w:b w:val="false"/>
                <w:bCs w:val="false"/>
                <w:color w:val="162554"/>
                <w:sz w:val="18"/>
                <w:szCs w:val="18"/>
              </w:rPr>
              <w:t xml:space="preserve">Stocuri / cifra de afaceri</w:t>
            </w:r>
          </w:p>
        </w:tc>
        <w:tc>
          <w:tcPr>
            <w:tcW w:type="dxa" w:w="4034"/>
            <w:tcMar>
              <w:top w:type="dxa" w:w="60"/>
              <w:left w:type="dxa" w:w="90"/>
              <w:bottom w:type="dxa" w:w="60"/>
              <w:right w:type="dxa" w:w="90"/>
            </w:tcMar>
          </w:tcPr>
          <w:p>
            <w:pPr>
              <w:keepNext w:val="false"/>
              <w:spacing w:after="0" w:before="0"/>
            </w:pPr>
            <w:r>
              <w:rPr>
                <w:b w:val="false"/>
                <w:bCs w:val="false"/>
                <w:color w:val="162554"/>
                <w:sz w:val="18"/>
                <w:szCs w:val="18"/>
              </w:rPr>
              <w:t xml:space="preserve">Stocuri / Cifra de afaceri</w:t>
            </w:r>
          </w:p>
        </w:tc>
        <w:tc>
          <w:tcPr>
            <w:tcW w:type="dxa" w:w="1452"/>
            <w:tcMar>
              <w:top w:type="dxa" w:w="60"/>
              <w:left w:type="dxa" w:w="90"/>
              <w:bottom w:type="dxa" w:w="60"/>
              <w:right w:type="dxa" w:w="90"/>
            </w:tcMar>
          </w:tcPr>
          <w:p>
            <w:pPr>
              <w:keepNext w:val="false"/>
              <w:spacing w:after="0" w:before="0"/>
            </w:pPr>
            <w:r>
              <w:rPr>
                <w:b w:val="false"/>
                <w:bCs w:val="false"/>
                <w:color w:val="162554"/>
                <w:sz w:val="18"/>
                <w:szCs w:val="18"/>
              </w:rPr>
              <w:t xml:space="preserve">risc mai mare</w:t>
            </w:r>
          </w:p>
        </w:tc>
        <w:tc>
          <w:tcPr>
            <w:tcW w:type="dxa" w:w="1615"/>
            <w:tcMar>
              <w:top w:type="dxa" w:w="60"/>
              <w:left w:type="dxa" w:w="90"/>
              <w:bottom w:type="dxa" w:w="60"/>
              <w:right w:type="dxa" w:w="90"/>
            </w:tcMar>
          </w:tcPr>
          <w:p>
            <w:pPr>
              <w:keepNext w:val="false"/>
              <w:spacing w:after="0" w:before="0"/>
            </w:pPr>
            <w:r>
              <w:rPr>
                <w:b w:val="false"/>
                <w:bCs w:val="false"/>
                <w:color w:val="162554"/>
                <w:sz w:val="18"/>
                <w:szCs w:val="18"/>
              </w:rPr>
              <w:t xml:space="preserve">0,02</w:t>
            </w:r>
          </w:p>
        </w:tc>
      </w:tr>
      <w:tr>
        <w:trPr>
          <w:tblHeader w:val="false"/>
        </w:trPr>
        <w:tc>
          <w:tcPr>
            <w:tcW w:type="dxa" w:w="2259"/>
            <w:tcMar>
              <w:top w:type="dxa" w:w="60"/>
              <w:left w:type="dxa" w:w="90"/>
              <w:bottom w:type="dxa" w:w="60"/>
              <w:right w:type="dxa" w:w="90"/>
            </w:tcMar>
          </w:tcPr>
          <w:p>
            <w:pPr>
              <w:keepNext w:val="false"/>
              <w:spacing w:after="0" w:before="0"/>
            </w:pPr>
            <w:r>
              <w:rPr>
                <w:b w:val="false"/>
                <w:bCs w:val="false"/>
                <w:color w:val="162554"/>
                <w:sz w:val="18"/>
                <w:szCs w:val="18"/>
              </w:rPr>
              <w:t xml:space="preserve">Creșterea cifrei de afaceri</w:t>
            </w:r>
          </w:p>
        </w:tc>
        <w:tc>
          <w:tcPr>
            <w:tcW w:type="dxa" w:w="4034"/>
            <w:tcMar>
              <w:top w:type="dxa" w:w="60"/>
              <w:left w:type="dxa" w:w="90"/>
              <w:bottom w:type="dxa" w:w="60"/>
              <w:right w:type="dxa" w:w="90"/>
            </w:tcMar>
          </w:tcPr>
          <w:p>
            <w:pPr>
              <w:keepNext w:val="false"/>
              <w:spacing w:after="0" w:before="0"/>
            </w:pPr>
            <w:r>
              <w:rPr>
                <w:b w:val="false"/>
                <w:bCs w:val="false"/>
                <w:color w:val="162554"/>
                <w:sz w:val="18"/>
                <w:szCs w:val="18"/>
              </w:rPr>
              <w:t xml:space="preserve">CA(2024) / CA(2023) − 1</w:t>
            </w:r>
          </w:p>
        </w:tc>
        <w:tc>
          <w:tcPr>
            <w:tcW w:type="dxa" w:w="1452"/>
            <w:tcMar>
              <w:top w:type="dxa" w:w="60"/>
              <w:left w:type="dxa" w:w="90"/>
              <w:bottom w:type="dxa" w:w="60"/>
              <w:right w:type="dxa" w:w="90"/>
            </w:tcMar>
          </w:tcPr>
          <w:p>
            <w:pPr>
              <w:keepNext w:val="false"/>
              <w:spacing w:after="0" w:before="0"/>
            </w:pPr>
            <w:r>
              <w:rPr>
                <w:b w:val="false"/>
                <w:bCs w:val="false"/>
                <w:color w:val="162554"/>
                <w:sz w:val="18"/>
                <w:szCs w:val="18"/>
              </w:rPr>
              <w:t xml:space="preserve">risc mai mic</w:t>
            </w:r>
          </w:p>
        </w:tc>
        <w:tc>
          <w:tcPr>
            <w:tcW w:type="dxa" w:w="1615"/>
            <w:tcMar>
              <w:top w:type="dxa" w:w="60"/>
              <w:left w:type="dxa" w:w="90"/>
              <w:bottom w:type="dxa" w:w="60"/>
              <w:right w:type="dxa" w:w="90"/>
            </w:tcMar>
          </w:tcPr>
          <w:p>
            <w:pPr>
              <w:keepNext w:val="false"/>
              <w:spacing w:after="0" w:before="0"/>
            </w:pPr>
            <w:r>
              <w:rPr>
                <w:b w:val="false"/>
                <w:bCs w:val="false"/>
                <w:color w:val="162554"/>
                <w:sz w:val="18"/>
                <w:szCs w:val="18"/>
              </w:rPr>
              <w:t xml:space="preserve">6,2 %</w:t>
            </w:r>
          </w:p>
        </w:tc>
      </w:tr>
      <w:tr>
        <w:trPr>
          <w:tblHeader w:val="false"/>
        </w:trPr>
        <w:tc>
          <w:tcPr>
            <w:tcW w:type="dxa" w:w="2259"/>
            <w:tcMar>
              <w:top w:type="dxa" w:w="60"/>
              <w:left w:type="dxa" w:w="90"/>
              <w:bottom w:type="dxa" w:w="60"/>
              <w:right w:type="dxa" w:w="90"/>
            </w:tcMar>
          </w:tcPr>
          <w:p>
            <w:pPr>
              <w:keepNext w:val="false"/>
              <w:spacing w:after="0" w:before="0"/>
            </w:pPr>
            <w:r>
              <w:rPr>
                <w:b w:val="false"/>
                <w:bCs w:val="false"/>
                <w:color w:val="162554"/>
                <w:sz w:val="18"/>
                <w:szCs w:val="18"/>
              </w:rPr>
              <w:t xml:space="preserve">Variația datoriilor / active</w:t>
            </w:r>
          </w:p>
        </w:tc>
        <w:tc>
          <w:tcPr>
            <w:tcW w:type="dxa" w:w="4034"/>
            <w:tcMar>
              <w:top w:type="dxa" w:w="60"/>
              <w:left w:type="dxa" w:w="90"/>
              <w:bottom w:type="dxa" w:w="60"/>
              <w:right w:type="dxa" w:w="90"/>
            </w:tcMar>
          </w:tcPr>
          <w:p>
            <w:pPr>
              <w:keepNext w:val="false"/>
              <w:spacing w:after="0" w:before="0"/>
            </w:pPr>
            <w:r>
              <w:rPr>
                <w:b w:val="false"/>
                <w:bCs w:val="false"/>
                <w:color w:val="162554"/>
                <w:sz w:val="18"/>
                <w:szCs w:val="18"/>
              </w:rPr>
              <w:t xml:space="preserve">(Datorii 2024 − Datorii 2023) / Active totale 2023</w:t>
            </w:r>
          </w:p>
        </w:tc>
        <w:tc>
          <w:tcPr>
            <w:tcW w:type="dxa" w:w="1452"/>
            <w:tcMar>
              <w:top w:type="dxa" w:w="60"/>
              <w:left w:type="dxa" w:w="90"/>
              <w:bottom w:type="dxa" w:w="60"/>
              <w:right w:type="dxa" w:w="90"/>
            </w:tcMar>
          </w:tcPr>
          <w:p>
            <w:pPr>
              <w:keepNext w:val="false"/>
              <w:spacing w:after="0" w:before="0"/>
            </w:pPr>
            <w:r>
              <w:rPr>
                <w:b w:val="false"/>
                <w:bCs w:val="false"/>
                <w:color w:val="162554"/>
                <w:sz w:val="18"/>
                <w:szCs w:val="18"/>
              </w:rPr>
              <w:t xml:space="preserve">risc mai mare</w:t>
            </w:r>
          </w:p>
        </w:tc>
        <w:tc>
          <w:tcPr>
            <w:tcW w:type="dxa" w:w="1615"/>
            <w:tcMar>
              <w:top w:type="dxa" w:w="60"/>
              <w:left w:type="dxa" w:w="90"/>
              <w:bottom w:type="dxa" w:w="60"/>
              <w:right w:type="dxa" w:w="90"/>
            </w:tcMar>
          </w:tcPr>
          <w:p>
            <w:pPr>
              <w:keepNext w:val="false"/>
              <w:spacing w:after="0" w:before="0"/>
            </w:pPr>
            <w:r>
              <w:rPr>
                <w:b w:val="false"/>
                <w:bCs w:val="false"/>
                <w:color w:val="162554"/>
                <w:sz w:val="18"/>
                <w:szCs w:val="18"/>
              </w:rPr>
              <w:t xml:space="preserve">2,9 %</w:t>
            </w:r>
          </w:p>
        </w:tc>
      </w:tr>
      <w:tr>
        <w:trPr>
          <w:tblHeader w:val="false"/>
        </w:trPr>
        <w:tc>
          <w:tcPr>
            <w:tcW w:type="dxa" w:w="2259"/>
            <w:tcMar>
              <w:top w:type="dxa" w:w="60"/>
              <w:left w:type="dxa" w:w="90"/>
              <w:bottom w:type="dxa" w:w="60"/>
              <w:right w:type="dxa" w:w="90"/>
            </w:tcMar>
          </w:tcPr>
          <w:p>
            <w:pPr>
              <w:keepNext w:val="false"/>
              <w:spacing w:after="0" w:before="0"/>
            </w:pPr>
            <w:r>
              <w:rPr>
                <w:b w:val="false"/>
                <w:bCs w:val="false"/>
                <w:color w:val="162554"/>
                <w:sz w:val="18"/>
                <w:szCs w:val="18"/>
              </w:rPr>
              <w:t xml:space="preserve">Mărimea</w:t>
            </w:r>
          </w:p>
        </w:tc>
        <w:tc>
          <w:tcPr>
            <w:tcW w:type="dxa" w:w="4034"/>
            <w:tcMar>
              <w:top w:type="dxa" w:w="60"/>
              <w:left w:type="dxa" w:w="90"/>
              <w:bottom w:type="dxa" w:w="60"/>
              <w:right w:type="dxa" w:w="90"/>
            </w:tcMar>
          </w:tcPr>
          <w:p>
            <w:pPr>
              <w:keepNext w:val="false"/>
              <w:spacing w:after="0" w:before="0"/>
            </w:pPr>
            <w:r>
              <w:rPr>
                <w:b w:val="false"/>
                <w:bCs w:val="false"/>
                <w:color w:val="162554"/>
                <w:sz w:val="18"/>
                <w:szCs w:val="18"/>
              </w:rPr>
              <w:t xml:space="preserve">log10(Active totale)</w:t>
            </w:r>
          </w:p>
        </w:tc>
        <w:tc>
          <w:tcPr>
            <w:tcW w:type="dxa" w:w="1452"/>
            <w:tcMar>
              <w:top w:type="dxa" w:w="60"/>
              <w:left w:type="dxa" w:w="90"/>
              <w:bottom w:type="dxa" w:w="60"/>
              <w:right w:type="dxa" w:w="90"/>
            </w:tcMar>
          </w:tcPr>
          <w:p>
            <w:pPr>
              <w:keepNext w:val="false"/>
              <w:spacing w:after="0" w:before="0"/>
            </w:pPr>
            <w:r>
              <w:rPr>
                <w:b w:val="false"/>
                <w:bCs w:val="false"/>
                <w:color w:val="162554"/>
                <w:sz w:val="18"/>
                <w:szCs w:val="18"/>
              </w:rPr>
              <w:t xml:space="preserve">fără semn așteptat</w:t>
            </w:r>
          </w:p>
        </w:tc>
        <w:tc>
          <w:tcPr>
            <w:tcW w:type="dxa" w:w="1615"/>
            <w:tcMar>
              <w:top w:type="dxa" w:w="60"/>
              <w:left w:type="dxa" w:w="90"/>
              <w:bottom w:type="dxa" w:w="60"/>
              <w:right w:type="dxa" w:w="90"/>
            </w:tcMar>
          </w:tcPr>
          <w:p>
            <w:pPr>
              <w:keepNext w:val="false"/>
              <w:spacing w:after="0" w:before="0"/>
            </w:pPr>
            <w:r>
              <w:rPr>
                <w:b w:val="false"/>
                <w:bCs w:val="false"/>
                <w:color w:val="162554"/>
                <w:sz w:val="18"/>
                <w:szCs w:val="18"/>
              </w:rPr>
              <w:t xml:space="preserve">5,55</w:t>
            </w:r>
          </w:p>
        </w:tc>
      </w:tr>
    </w:tbl>
    <w:p>
      <w:pPr>
        <w:spacing w:after="80"/>
      </w:pPr>
    </w:p>
    <w:p>
      <w:pPr>
        <w:spacing w:after="100"/>
        <w:jc w:val="left"/>
      </w:pPr>
      <w:r>
        <w:t xml:space="preserve">Activele totale = active imobilizate + active circulante + cheltuieli în avans. Profitul net = profit net raportat − pierdere netă raportată. Ratele de lichiditate au la numitor datoriile totale, pentru motivul din secțiunea I.2.</w:t>
      </w:r>
    </w:p>
    <w:p>
      <w:pPr>
        <w:pStyle w:val="Heading1"/>
        <w:keepNext/>
        <w:spacing w:after="120" w:before="240" w:line="240" w:lineRule="auto"/>
      </w:pPr>
      <w:r>
        <w:t xml:space="preserve">C.2 Cele două modele de la nivelul început</w:t>
      </w:r>
    </w:p>
    <w:p>
      <w:pPr>
        <w:spacing w:after="100"/>
        <w:jc w:val="left"/>
      </w:pPr>
      <w:r>
        <w:t xml:space="preserve">Participanții care au urmat nivelul început au folosit două construcții care nu se repetă în această aplicație, dar care sunt reperul față de care se citesc rezultatele de aici.</w:t>
      </w:r>
    </w:p>
    <w:p>
      <w:pPr>
        <w:spacing w:after="100"/>
        <w:jc w:val="left"/>
      </w:pPr>
      <w:r>
        <w:rPr>
          <w:b/>
          <w:bCs/>
        </w:rPr>
        <w:t xml:space="preserve">Scorecardul cu praguri.</w:t>
      </w:r>
      <w:r>
        <w:t xml:space="preserve"> Opt criterii, fiecare notat de la 1 la 5 după patru praguri fixate manual, apoi media ponderată cu ponderi fixate manual, apoi maparea scorului pe cinci clase de rating. Este, structural, exact ce face regresia logistică din acest instrument — criterii × ponderi → scor → clasă — cu o singură diferență: acolo ponderile le alegea analistul prin judecată, aici le găsesc datele prin optimizare. Măsurat pe aceeași populație și aceeași etichetă, scorecardul manual atinge AUC 0,651, față de 0,669 pentru modelul logistic și 0,731 pentru cel neliniar. Diferența este reală, dar modestă — și merită ținută minte când cineva promite salturi de performanță prin machine learning.</w:t>
      </w:r>
    </w:p>
    <w:p>
      <w:pPr>
        <w:spacing w:after="100"/>
        <w:jc w:val="left"/>
      </w:pPr>
      <w:r>
        <w:rPr>
          <w:b/>
          <w:bCs/>
        </w:rPr>
        <w:t xml:space="preserve">Altman Z''.</w:t>
      </w:r>
      <w:r>
        <w:t xml:space="preserve"> Un model calibrat statistic prin analiză discriminantă, pe firme private din afara producției:</w:t>
      </w:r>
    </w:p>
    <w:p>
      <w:pPr>
        <w:spacing w:after="100"/>
        <w:jc w:val="left"/>
      </w:pPr>
      <w:r>
        <w:rPr>
          <w:rFonts w:ascii="Consolas" w:cs="Consolas" w:eastAsia="Consolas" w:hAnsi="Consolas"/>
          <w:sz w:val="20"/>
          <w:szCs w:val="20"/>
        </w:rPr>
        <w:t xml:space="preserve">Z'' = 6,56·X1 + 3,26·X2 + 6,72·X3 + 1,05·X4</w:t>
      </w:r>
    </w:p>
    <w:p>
      <w:pPr>
        <w:spacing w:after="100"/>
        <w:jc w:val="left"/>
      </w:pPr>
      <w:r>
        <w:t xml:space="preserve">cu </w:t>
      </w:r>
      <w:r>
        <w:rPr>
          <w:rFonts w:ascii="Consolas" w:cs="Consolas" w:eastAsia="Consolas" w:hAnsi="Consolas"/>
          <w:sz w:val="20"/>
          <w:szCs w:val="20"/>
        </w:rPr>
        <w:t xml:space="preserve">X1</w:t>
      </w:r>
      <w:r>
        <w:t xml:space="preserve"> fond de rulment / active totale, </w:t>
      </w:r>
      <w:r>
        <w:rPr>
          <w:rFonts w:ascii="Consolas" w:cs="Consolas" w:eastAsia="Consolas" w:hAnsi="Consolas"/>
          <w:sz w:val="20"/>
          <w:szCs w:val="20"/>
        </w:rPr>
        <w:t xml:space="preserve">X2</w:t>
      </w:r>
      <w:r>
        <w:t xml:space="preserve"> rezultat reportat / active totale, </w:t>
      </w:r>
      <w:r>
        <w:rPr>
          <w:rFonts w:ascii="Consolas" w:cs="Consolas" w:eastAsia="Consolas" w:hAnsi="Consolas"/>
          <w:sz w:val="20"/>
          <w:szCs w:val="20"/>
        </w:rPr>
        <w:t xml:space="preserve">X3</w:t>
      </w:r>
      <w:r>
        <w:t xml:space="preserve"> EBIT / active totale, </w:t>
      </w:r>
      <w:r>
        <w:rPr>
          <w:rFonts w:ascii="Consolas" w:cs="Consolas" w:eastAsia="Consolas" w:hAnsi="Consolas"/>
          <w:sz w:val="20"/>
          <w:szCs w:val="20"/>
        </w:rPr>
        <w:t xml:space="preserve">X4</w:t>
      </w:r>
      <w:r>
        <w:t xml:space="preserve"> capitaluri proprii / datorii totale, și zonele: peste 2,6 sigură, 1,1–2,6 gri, sub 1,1 dificultate. În aplicația de nivel început, </w:t>
      </w:r>
      <w:r>
        <w:rPr>
          <w:rFonts w:ascii="Consolas" w:cs="Consolas" w:eastAsia="Consolas" w:hAnsi="Consolas"/>
          <w:sz w:val="20"/>
          <w:szCs w:val="20"/>
        </w:rPr>
        <w:t xml:space="preserve">X2</w:t>
      </w:r>
      <w:r>
        <w:t xml:space="preserve"> este aproximat prin capitaluri proprii minus capital social, iar </w:t>
      </w:r>
      <w:r>
        <w:rPr>
          <w:rFonts w:ascii="Consolas" w:cs="Consolas" w:eastAsia="Consolas" w:hAnsi="Consolas"/>
          <w:sz w:val="20"/>
          <w:szCs w:val="20"/>
        </w:rPr>
        <w:t xml:space="preserve">X3</w:t>
      </w:r>
      <w:r>
        <w:t xml:space="preserve"> prin profitul brut — două aproximări impuse de datele publice. Pe aceeași populație și etichetă, Z'' atinge AUC 0,602: mai puțin decât scorecardul construit manual de participanți, ceea ce nu e surprinzător pentru un model calibrat în alt deceniu, pe altă economie, cu două variabile aproximate.</w:t>
      </w:r>
    </w:p>
    <w:p>
      <w:pPr>
        <w:spacing w:after="100"/>
        <w:jc w:val="left"/>
      </w:pPr>
      <w:r>
        <w:rPr>
          <w:i/>
          <w:iCs/>
        </w:rPr>
        <w:t xml:space="preserve">Material didactic, necomercial. Sursa datelor: Ministerul Finanțelor · data.gov.ro · situații financiare anuale, licență CC-BY 4.0. Cifrele citate sunt calculate pe indexul complet de 1.122.150 de firme sau pe eșantionul livrat de 120.000, după cum indică fiecare tabel; exercițiile 2023–2025. Nimic din acest document nu constituie o recomandare de creditare sau o evaluare de credit.</w:t>
      </w:r>
    </w:p>
    <w:sectPr>
      <w:footerReference w:type="default" r:id="rId7"/>
      <w:pgSz w:w="11906" w:h="16838" w:orient="portrait"/>
      <w:pgMar w:top="1134" w:right="1247" w:bottom="1134"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86"/>
        <w:sz w:val="16"/>
        <w:szCs w:val="16"/>
      </w:rPr>
      <w:t xml:space="preserve">Metodologie · Nivel avansat · Analiză financiară și instrumente AI · pagina </w:t>
    </w:r>
    <w:r>
      <w:rPr>
        <w:color w:val="5B678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2554"/>
        <w:sz w:val="21"/>
        <w:szCs w:val="21"/>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line="240" w:lineRule="auto"/>
    </w:pPr>
    <w:rPr>
      <w:rFonts w:ascii="Georgia" w:cs="Georgia" w:eastAsia="Georgia" w:hAnsi="Georgia"/>
      <w:b/>
      <w:bCs/>
      <w:color w:val="1A35A8"/>
      <w:sz w:val="44"/>
      <w:szCs w:val="44"/>
    </w:rPr>
  </w:style>
  <w:style w:type="paragraph" w:styleId="Heading1">
    <w:name w:val="Heading 1"/>
    <w:basedOn w:val="Normal"/>
    <w:next w:val="Normal"/>
    <w:qFormat/>
    <w:pPr>
      <w:spacing w:after="120" w:before="360" w:line="240" w:lineRule="auto"/>
      <w:outlineLvl w:val="0"/>
    </w:pPr>
    <w:rPr>
      <w:rFonts w:ascii="Georgia" w:cs="Georgia" w:eastAsia="Georgia" w:hAnsi="Georgia"/>
      <w:b/>
      <w:bCs/>
      <w:color w:val="1A35A8"/>
      <w:sz w:val="32"/>
      <w:szCs w:val="32"/>
    </w:rPr>
  </w:style>
  <w:style w:type="paragraph" w:styleId="Heading2">
    <w:name w:val="Heading 2"/>
    <w:basedOn w:val="Normal"/>
    <w:next w:val="Normal"/>
    <w:qFormat/>
    <w:pPr>
      <w:spacing w:after="100" w:before="280" w:line="240" w:lineRule="auto"/>
      <w:outlineLvl w:val="1"/>
    </w:pPr>
    <w:rPr>
      <w:rFonts w:ascii="Georgia" w:cs="Georgia" w:eastAsia="Georgia" w:hAnsi="Georgia"/>
      <w:b/>
      <w:bCs/>
      <w:color w:val="162554"/>
      <w:sz w:val="26"/>
      <w:szCs w:val="26"/>
    </w:rPr>
  </w:style>
  <w:style w:type="paragraph" w:styleId="Heading3">
    <w:name w:val="Heading 3"/>
    <w:basedOn w:val="Normal"/>
    <w:next w:val="Normal"/>
    <w:qFormat/>
    <w:pPr>
      <w:spacing w:after="80" w:before="220"/>
      <w:outlineLvl w:val="2"/>
    </w:pPr>
    <w:rPr>
      <w:b/>
      <w:bCs/>
      <w:caps/>
      <w:color w:val="6F9A12"/>
      <w:spacing w:val="1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Speaking notes – Ateliere AI, Analiză financiară</dc:title>
  <dc:creator>Cezar Chirila</dc:creator>
  <cp:lastModifiedBy>Un-named</cp:lastModifiedBy>
  <cp:revision>1</cp:revision>
  <dcterms:created xsi:type="dcterms:W3CDTF">2026-09-17T21:24:53.495Z</dcterms:created>
  <dcterms:modified xsi:type="dcterms:W3CDTF">2026-09-17T21:24:53.496Z</dcterms:modified>
</cp:coreProperties>
</file>

<file path=docProps/custom.xml><?xml version="1.0" encoding="utf-8"?>
<Properties xmlns="http://schemas.openxmlformats.org/officeDocument/2006/custom-properties" xmlns:vt="http://schemas.openxmlformats.org/officeDocument/2006/docPropsVTypes"/>
</file>