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Nota strategiczna dla Prezydenta i BBN</w:t>
      </w:r>
    </w:p>
    <w:p>
      <w:r>
        <w:rPr>
          <w:b/>
          <w:color w:val="A75C00"/>
        </w:rPr>
        <w:t>Niezależny jawnoźródłowy projekt analityczny — bez materiałów niejawnych — nie jest dokumentem rządowym.</w:t>
      </w:r>
    </w:p>
    <w:p>
      <w:r>
        <w:rPr>
          <w:b/>
        </w:rPr>
        <w:t>Sprawa:</w:t>
      </w:r>
      <w:r>
        <w:t xml:space="preserve"> odporna, sojusznicza suwerenność technologiczna Polski do 2040 r.</w:t>
      </w:r>
      <w:r/>
      <w:r>
        <w:br/>
      </w:r>
      <w:r>
        <w:rPr>
          <w:b/>
        </w:rPr>
        <w:t>Status:</w:t>
      </w:r>
      <w:r>
        <w:t xml:space="preserve"> niezależny materiał przedmandatowy v0.1 — nie jest dokumentem państwowym ani wnioskiem urzędowym</w:t>
      </w:r>
      <w:r/>
      <w:r>
        <w:br/>
      </w:r>
      <w:r>
        <w:rPr>
          <w:b/>
        </w:rPr>
        <w:t>Stan wiedzy:</w:t>
      </w:r>
      <w:r>
        <w:t xml:space="preserve"> 21 lipca 2026 r.</w:t>
      </w:r>
      <w:r>
        <w:br/>
        <w:t>Zakres: strategiczny i jawny; bez ocen niejawnych zdolności</w:t>
      </w:r>
    </w:p>
    <w:p>
      <w:pPr>
        <w:pStyle w:val="Heading2"/>
      </w:pPr>
      <w:r>
        <w:t>Executive Summary / Streszczenie wykonawcze</w:t>
      </w:r>
    </w:p>
    <w:p>
      <w:pPr>
        <w:pStyle w:val="Heading3"/>
      </w:pPr>
      <w:r>
        <w:t>Teza</w:t>
      </w:r>
    </w:p>
    <w:p>
      <w:r>
        <w:t>Suwerenność technologiczna nie oznacza produkowania wszystkiego w kraju. Oznacza zdolność państwa do samodzielnej decyzji, utrzymania i odtworzenia krytycznych funkcji mimo zakłóceń — z kontrolą danych, konfiguracji, cyklu życia i alternatyw — przy pełnej interoperacyjności z NATO i wykorzystaniu skali UE.</w:t>
      </w:r>
    </w:p>
    <w:p>
      <w:pPr>
        <w:pStyle w:val="Heading3"/>
      </w:pPr>
      <w:r>
        <w:t>Rola Prezydenta i BBN</w:t>
      </w:r>
    </w:p>
    <w:p>
      <w:pPr>
        <w:pStyle w:val="ListNumber"/>
      </w:pPr>
      <w:r>
        <w:t>monitorować na poziomie strategicznym zgodność programu z interesem bezpieczeństwa narodowego i dokumentami strategicznymi;</w:t>
      </w:r>
    </w:p>
    <w:p>
      <w:pPr>
        <w:pStyle w:val="ListNumber"/>
      </w:pPr>
      <w:r>
        <w:t>wspierać ciągłość ponad kadencjami bez chronienia nieskutecznych projektów przed zamknięciem;</w:t>
      </w:r>
    </w:p>
    <w:p>
      <w:pPr>
        <w:pStyle w:val="ListNumber"/>
      </w:pPr>
      <w:r>
        <w:t>rekomendować właściwym organom coroczny przegląd odporności, interoperacyjności i krytycznych zależności;</w:t>
      </w:r>
    </w:p>
    <w:p>
      <w:pPr>
        <w:pStyle w:val="ListNumber"/>
      </w:pPr>
      <w:r>
        <w:t>podkreślać rozdzielenie patronatu strategicznego od odpowiedzialności wykonawczej rządu;</w:t>
      </w:r>
    </w:p>
    <w:p>
      <w:pPr>
        <w:pStyle w:val="ListNumber"/>
      </w:pPr>
      <w:r>
        <w:t>wnosić do właściwych organów o potwierdzenie, że informacje chronione trafiają wyłącznie do autoryzowanego obiegu.</w:t>
      </w:r>
    </w:p>
    <w:p>
      <w:r>
        <w:t>Punktem prawnym wymagającym zastosowania przez właściwych prawników jest art. 24 ustawy o obronie Ojczyzny, który obejmuje między innymi rekomendacje Prezydenta przed pracami RM nad strategią oraz zatwierdzanie strategii na wniosek Prezesa Rady Ministrów (</w:t>
      </w:r>
      <w:r>
        <w:t>tekst ujednolicony ustawy</w:t>
      </w:r>
      <w:r>
        <w:t xml:space="preserve">, </w:t>
      </w:r>
      <w:r>
        <w:rPr>
          <w:b/>
        </w:rPr>
        <w:t>CLM-0104</w:t>
      </w:r>
      <w:r>
        <w:t>). Fakt ten nie przesądza kwalifikacji niniejszego projektu jako konkretnej strategii ani nie przenosi na Prezydenta jej wykonania.</w:t>
      </w:r>
    </w:p>
    <w:p>
      <w:pPr>
        <w:pStyle w:val="Heading3"/>
      </w:pPr>
      <w:r>
        <w:t>Rekomendacja</w:t>
      </w:r>
    </w:p>
    <w:p>
      <w:r>
        <w:t>Wesprzeć uruchomienie wspólnego strategicznego przeglądu Prezydent–Premier, ale rekomendować model portfela realizowanego przez właściwe organy rządu: potrzeba → dane → test → mała partia → skala lub zamknięcie → produkcja, serwis i aktualizacja. Pierwszy rok ma udowodnić mechanizm, nie ogłaszać pełną samowystarczalność.</w:t>
      </w:r>
    </w:p>
    <w:p>
      <w:pPr>
        <w:pStyle w:val="Heading2"/>
      </w:pPr>
      <w:r>
        <w:t>1. Znaczenie dla bezpieczeństwa narodowego</w:t>
      </w:r>
    </w:p>
    <w:p>
      <w:pPr>
        <w:pStyle w:val="Heading3"/>
      </w:pPr>
      <w:r>
        <w:t>Odporność, nie autarkia</w:t>
      </w:r>
    </w:p>
    <w:p>
      <w:r>
        <w:t>Państwo powinno klasyfikować technologie według sposobu kontroli:</w:t>
      </w:r>
    </w:p>
    <w:p>
      <w:pPr>
        <w:pStyle w:val="ListBullet"/>
      </w:pPr>
      <w:r>
        <w:rPr>
          <w:b/>
        </w:rPr>
        <w:t>kontrola krajowa</w:t>
      </w:r>
      <w:r>
        <w:t xml:space="preserve"> dla elementów, których utrata uniemożliwia działanie lub bezpieczną zmianę;</w:t>
      </w:r>
    </w:p>
    <w:p>
      <w:pPr>
        <w:pStyle w:val="ListBullet"/>
      </w:pPr>
      <w:r>
        <w:rPr>
          <w:b/>
        </w:rPr>
        <w:t>współkontrola sojusznicza</w:t>
      </w:r>
      <w:r>
        <w:t xml:space="preserve"> dla zdolności budowanych we wspólnym standardzie i łańcuchu;</w:t>
      </w:r>
    </w:p>
    <w:p>
      <w:pPr>
        <w:pStyle w:val="ListBullet"/>
      </w:pPr>
      <w:r>
        <w:rPr>
          <w:b/>
        </w:rPr>
        <w:t>dywersyfikacja importu</w:t>
      </w:r>
      <w:r>
        <w:t xml:space="preserve"> tam, gdzie krajowa produkcja jest nieproporcjonalna, ale pojedynczy dostawca tworzy ryzyko;</w:t>
      </w:r>
    </w:p>
    <w:p>
      <w:pPr>
        <w:pStyle w:val="ListBullet"/>
      </w:pPr>
      <w:r>
        <w:rPr>
          <w:b/>
        </w:rPr>
        <w:t>świadomie zaakceptowana zależność</w:t>
      </w:r>
      <w:r>
        <w:t xml:space="preserve"> tam, gdzie koszt redukcji ryzyka przewyższa korzyść.</w:t>
      </w:r>
    </w:p>
    <w:p>
      <w:r>
        <w:t>Kluczowe pytanie nie brzmi „czy produkt jest polski?”, lecz: czy Polska potrafi go skonfigurować, utrzymać, naprawić, aktualizować, zastąpić i zwiększyć dostępność w wymaganym czasie.</w:t>
      </w:r>
    </w:p>
    <w:p>
      <w:pPr>
        <w:pStyle w:val="Heading3"/>
      </w:pPr>
      <w:r>
        <w:t>System, nie kategoria sprzętu</w:t>
      </w:r>
    </w:p>
    <w:p>
      <w:r>
        <w:t>Program obejmuje platformy powietrzne, lądowe, nawodne i podwodne, przeciwdziałanie systemom bezzałogowym, sensory, łączność, nawigację, WRE/SIGINT, cyber, AI, dane, produkcję i logistykę. Żadna pojedyncza technologia nie zastępuje gotowości, dowodzenia, ochrony ludności, obrony powietrznej, logistyki i interoperacyjności.</w:t>
      </w:r>
    </w:p>
    <w:p>
      <w:pPr>
        <w:pStyle w:val="Heading3"/>
      </w:pPr>
      <w:r>
        <w:t>Dane jako zasób strategiczny</w:t>
      </w:r>
    </w:p>
    <w:p>
      <w:r>
        <w:t>Ukraina oficjalnie uruchomiła Brave1 Dataroom do treningu i testowania AI na wybranych danych z pola walki, z dostępem po procedurach bezpieczeństwa (</w:t>
      </w:r>
      <w:r>
        <w:t>Digital State UA</w:t>
      </w:r>
      <w:r>
        <w:t xml:space="preserve">, </w:t>
      </w:r>
      <w:r>
        <w:rPr>
          <w:b/>
        </w:rPr>
        <w:t>CLM-1216</w:t>
      </w:r>
      <w:r>
        <w:t>). Wniosek dla Polski dotyczy mechanizmu: kontrolowanego dostępu, wersjonowania, odseparowanego testu, audytu i możliwości wstrzymania — nie kopiowania nazwy, dostawcy lub architektury.</w:t>
      </w:r>
    </w:p>
    <w:p>
      <w:pPr>
        <w:pStyle w:val="Heading2"/>
      </w:pPr>
      <w:r>
        <w:t>2. Doktryna odpornej, sojuszniczej suwerenności</w:t>
      </w:r>
    </w:p>
    <w:p>
      <w:r>
        <w:t>Każdy program powinien przejść pięć testów: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</w:tcPr>
          <w:p>
            <w:r>
              <w:t>Test</w:t>
            </w:r>
          </w:p>
        </w:tc>
        <w:tc>
          <w:tcPr>
            <w:tcW w:type="dxa" w:w="4801"/>
          </w:tcPr>
          <w:p>
            <w:r>
              <w:t>Pytanie strategiczne</w:t>
            </w:r>
          </w:p>
        </w:tc>
      </w:tr>
      <w:tr>
        <w:tc>
          <w:tcPr>
            <w:tcW w:type="dxa" w:w="4801"/>
          </w:tcPr>
          <w:p>
            <w:r>
              <w:t>efekt</w:t>
            </w:r>
          </w:p>
        </w:tc>
        <w:tc>
          <w:tcPr>
            <w:tcW w:type="dxa" w:w="4801"/>
          </w:tcPr>
          <w:p>
            <w:r>
              <w:t>jaki interes państwa i problem użytkownika realizuje?</w:t>
            </w:r>
          </w:p>
        </w:tc>
      </w:tr>
      <w:tr>
        <w:tc>
          <w:tcPr>
            <w:tcW w:type="dxa" w:w="4801"/>
          </w:tcPr>
          <w:p>
            <w:r>
              <w:t>kontrola</w:t>
            </w:r>
          </w:p>
        </w:tc>
        <w:tc>
          <w:tcPr>
            <w:tcW w:type="dxa" w:w="4801"/>
          </w:tcPr>
          <w:p>
            <w:r>
              <w:t>które dane, interfejsy, konfiguracje i prawa są krytyczne?</w:t>
            </w:r>
          </w:p>
        </w:tc>
      </w:tr>
      <w:tr>
        <w:tc>
          <w:tcPr>
            <w:tcW w:type="dxa" w:w="4801"/>
          </w:tcPr>
          <w:p>
            <w:r>
              <w:t>ciągłość</w:t>
            </w:r>
          </w:p>
        </w:tc>
        <w:tc>
          <w:tcPr>
            <w:tcW w:type="dxa" w:w="4801"/>
          </w:tcPr>
          <w:p>
            <w:r>
              <w:t>czy zdolność daje się utrzymać i odtworzyć przy zakłóceniu?</w:t>
            </w:r>
          </w:p>
        </w:tc>
      </w:tr>
      <w:tr>
        <w:tc>
          <w:tcPr>
            <w:tcW w:type="dxa" w:w="4801"/>
          </w:tcPr>
          <w:p>
            <w:r>
              <w:t>sojuszniczość</w:t>
            </w:r>
          </w:p>
        </w:tc>
        <w:tc>
          <w:tcPr>
            <w:tcW w:type="dxa" w:w="4801"/>
          </w:tcPr>
          <w:p>
            <w:r>
              <w:t>czy rozwiązanie jest interoperacyjne i wzmacnia wspólne działanie?</w:t>
            </w:r>
          </w:p>
        </w:tc>
      </w:tr>
      <w:tr>
        <w:tc>
          <w:tcPr>
            <w:tcW w:type="dxa" w:w="4801"/>
          </w:tcPr>
          <w:p>
            <w:r>
              <w:t>odpowiedzialność</w:t>
            </w:r>
          </w:p>
        </w:tc>
        <w:tc>
          <w:tcPr>
            <w:tcW w:type="dxa" w:w="4801"/>
          </w:tcPr>
          <w:p>
            <w:r>
              <w:t>czy użycie jest legalne, audytowalne, bezpieczne i sterowalne?</w:t>
            </w:r>
          </w:p>
        </w:tc>
      </w:tr>
    </w:tbl>
    <w:p>
      <w:r>
        <w:t>NATO wskazuje sześć zasad odpowiedzialnego użycia AI: legalność, odpowiedzialność i rozliczalność, wyjaśnialność i identyfikowalność, niezawodność, sterowalność oraz ograniczanie stronniczości (</w:t>
      </w:r>
      <w:r>
        <w:t>NATO</w:t>
      </w:r>
      <w:r>
        <w:t xml:space="preserve">, </w:t>
      </w:r>
      <w:r>
        <w:rPr>
          <w:b/>
        </w:rPr>
        <w:t>CLM-1220</w:t>
      </w:r>
      <w:r>
        <w:t>). Zasady te powinny być wymaganiem dopuszczenia i monitoringu, nie wyłącznie deklaracją dostawcy.</w:t>
      </w:r>
    </w:p>
    <w:p>
      <w:pPr>
        <w:pStyle w:val="Heading2"/>
      </w:pPr>
      <w:r>
        <w:t>3. NATO, UE i Ukraina</w:t>
      </w:r>
    </w:p>
    <w:p>
      <w:pPr>
        <w:pStyle w:val="Heading3"/>
      </w:pPr>
      <w:r>
        <w:t>NATO</w:t>
      </w:r>
    </w:p>
    <w:p>
      <w:r>
        <w:t>Polski program powinien wzmacniać interoperacyjność, utrzymanie i odporność, a nie tworzyć zamknięty ekosystem krajowy. Jawna strategia nie powinna próbować rekonstruować przypisanych Polsce celów zdolnościowych. Ich mapowanie należy do uprawnionych instytucji i właściwego obiegu.</w:t>
      </w:r>
    </w:p>
    <w:p>
      <w:pPr>
        <w:pStyle w:val="Heading3"/>
      </w:pPr>
      <w:r>
        <w:t>Unia Europejska</w:t>
      </w:r>
    </w:p>
    <w:p>
      <w:r>
        <w:t>European Drone Defence Initiative i Eastern Flank Watch są wymienione jako projekty flagowe Readiness Roadmap 2030 (</w:t>
      </w:r>
      <w:r>
        <w:t>Komisja Europejska</w:t>
      </w:r>
      <w:r>
        <w:t xml:space="preserve">, </w:t>
      </w:r>
      <w:r>
        <w:rPr>
          <w:b/>
        </w:rPr>
        <w:t>CLM-1222</w:t>
      </w:r>
      <w:r>
        <w:t>). Samo wpisanie inicjatywy do mapy nie jest dowodem realizacji. Polska powinna dla każdego projektu ustalić status, warunki, związek z potrzebą narodową, kompatybilność z NATO i miernik korzyści.</w:t>
      </w:r>
    </w:p>
    <w:p>
      <w:pPr>
        <w:pStyle w:val="Heading3"/>
      </w:pPr>
      <w:r>
        <w:t>Ukraina</w:t>
      </w:r>
    </w:p>
    <w:p>
      <w:r>
        <w:t>Umowa bezpieczeństwa Polska–Ukraina obejmuje ramy dla łańcuchów produkcyjnych, lokalizacji, wspólnej produkcji i ochrony IP, lecz nie tworzy konkretnej spółki ani produktu (</w:t>
      </w:r>
      <w:r>
        <w:t>Prezydent Ukrainy</w:t>
      </w:r>
      <w:r>
        <w:t xml:space="preserve">, </w:t>
      </w:r>
      <w:r>
        <w:rPr>
          <w:b/>
        </w:rPr>
        <w:t>CLM-1212</w:t>
      </w:r>
      <w:r>
        <w:t>). Partnerstwa powinny tworzyć portfolio, a nie zależność od jednej firmy. Każde wymaga due diligence właścicielskiego, cyber, IP, eksportu, danych i ciągłości po zmianie sytuacji politycznej.</w:t>
      </w:r>
    </w:p>
    <w:p>
      <w:r>
        <w:t>Polska jest już uczestnikiem BraveTech EU (</w:t>
      </w:r>
      <w:r>
        <w:rPr>
          <w:b/>
        </w:rPr>
        <w:t>CLM-1214</w:t>
      </w:r>
      <w:r>
        <w:t>). Priorytetem jest mierzalny polski portfel: rozwiązania przetestowane, kontrakty następcze, inwestycje i produkcja w Polsce, dostęp do doświadczenia oraz ochrona praw.</w:t>
      </w:r>
    </w:p>
    <w:p>
      <w:pPr>
        <w:pStyle w:val="Heading2"/>
      </w:pPr>
      <w:r>
        <w:t>4. Rekomendowane decyzje i patronat</w:t>
      </w:r>
    </w:p>
    <w:p>
      <w:pPr>
        <w:pStyle w:val="Heading3"/>
      </w:pPr>
      <w:r>
        <w:t>Rekomendowane kierunki patronatu i wnioski do właściwych organów</w:t>
      </w:r>
    </w:p>
    <w:p>
      <w:pPr>
        <w:pStyle w:val="ListNumber"/>
      </w:pPr>
      <w:r>
        <w:t>Wnieść do właściwych organów o przedstawienie formalnej relacji programu do obowiązujących dokumentów bezpieczeństwa i planowania obronnego.</w:t>
      </w:r>
    </w:p>
    <w:p>
      <w:pPr>
        <w:pStyle w:val="ListNumber"/>
      </w:pPr>
      <w:r>
        <w:t>Zarekomendować rozważenie doktryny odpornej, sojuszniczej suwerenności jako kryterium przeglądu, nie jako deklaracji autarkii.</w:t>
      </w:r>
    </w:p>
    <w:p>
      <w:pPr>
        <w:pStyle w:val="ListNumber"/>
      </w:pPr>
      <w:r>
        <w:t>Zaproponować Premierowi wspólny coroczny przegląd strategiczny, obejmujący odporność, interoperacyjność, ciągłość, projekty zamknięte i nowe zależności.</w:t>
      </w:r>
    </w:p>
    <w:p>
      <w:pPr>
        <w:pStyle w:val="ListNumber"/>
      </w:pPr>
      <w:r>
        <w:t>Poprosić właściwe organy o przygotowanie jawnego szablonu pytań do części autoryzowanej oraz wskazanie formalnego właściciela każdej informacji.</w:t>
      </w:r>
    </w:p>
    <w:p>
      <w:pPr>
        <w:pStyle w:val="ListNumber"/>
      </w:pPr>
      <w:r>
        <w:t>Zarekomendować właściwemu organowi powołanie niezależnego red-teamu strategicznego z ujawnionymi konfliktami interesów.</w:t>
      </w:r>
    </w:p>
    <w:p>
      <w:pPr>
        <w:pStyle w:val="Heading3"/>
      </w:pPr>
      <w:r>
        <w:t>Czego patronat nie powinien robić</w:t>
      </w:r>
    </w:p>
    <w:p>
      <w:pPr>
        <w:pStyle w:val="ListBullet"/>
      </w:pPr>
      <w:r>
        <w:t>wybierać wykonawcy lub technologii;</w:t>
      </w:r>
    </w:p>
    <w:p>
      <w:pPr>
        <w:pStyle w:val="ListBullet"/>
      </w:pPr>
      <w:r>
        <w:t>obiecywać finansowania bez decyzji budżetowej;</w:t>
      </w:r>
    </w:p>
    <w:p>
      <w:pPr>
        <w:pStyle w:val="ListBullet"/>
      </w:pPr>
      <w:r>
        <w:t>tworzyć równoległego łańcucha zakupowego;</w:t>
      </w:r>
    </w:p>
    <w:p>
      <w:pPr>
        <w:pStyle w:val="ListBullet"/>
      </w:pPr>
      <w:r>
        <w:t>publikować lub przekazywać danych chronionych;</w:t>
      </w:r>
    </w:p>
    <w:p>
      <w:pPr>
        <w:pStyle w:val="ListBullet"/>
      </w:pPr>
      <w:r>
        <w:t>traktować celu 2040 jako gwarancji trwania każdego projektu;</w:t>
      </w:r>
    </w:p>
    <w:p>
      <w:pPr>
        <w:pStyle w:val="ListBullet"/>
      </w:pPr>
      <w:r>
        <w:t>sugerować oficjalnego poparcia przed właściwym przyjęciem dokumentu.</w:t>
      </w:r>
    </w:p>
    <w:p>
      <w:pPr>
        <w:pStyle w:val="Heading2"/>
      </w:pPr>
      <w:r>
        <w:t>5. Coroczny przegląd strategiczny</w:t>
      </w:r>
    </w:p>
    <w:p>
      <w:r>
        <w:t>Pakiet powinien odpowiadać na dziesięć pytań:</w:t>
      </w:r>
    </w:p>
    <w:p>
      <w:pPr>
        <w:pStyle w:val="ListNumber"/>
      </w:pPr>
      <w:r>
        <w:t>Które problemy użytkowników zostały rozwiązane, a które zamknięte?</w:t>
      </w:r>
    </w:p>
    <w:p>
      <w:pPr>
        <w:pStyle w:val="ListNumber"/>
      </w:pPr>
      <w:r>
        <w:t>Jak zmienił się czas od problemu do testu i małej partii?</w:t>
      </w:r>
    </w:p>
    <w:p>
      <w:pPr>
        <w:pStyle w:val="ListNumber"/>
      </w:pPr>
      <w:r>
        <w:t>Które zależności mają przetestowaną alternatywę?</w:t>
      </w:r>
    </w:p>
    <w:p>
      <w:pPr>
        <w:pStyle w:val="ListNumber"/>
      </w:pPr>
      <w:r>
        <w:t>Czy produkcja, serwis i aktualizacje przeszły ćwiczenie ciągłości?</w:t>
      </w:r>
    </w:p>
    <w:p>
      <w:pPr>
        <w:pStyle w:val="ListNumber"/>
      </w:pPr>
      <w:r>
        <w:t>Czy systemy i modele spełniają wymogi legalności, śledzenia i sterowalności?</w:t>
      </w:r>
    </w:p>
    <w:p>
      <w:pPr>
        <w:pStyle w:val="ListNumber"/>
      </w:pPr>
      <w:r>
        <w:t>Czy partnerstwa zwiększyły opcje Polski, czy stworzyły nową zależność?</w:t>
      </w:r>
    </w:p>
    <w:p>
      <w:pPr>
        <w:pStyle w:val="ListNumber"/>
      </w:pPr>
      <w:r>
        <w:t>Czy program jest interoperacyjny i spójny z aktualnymi ramami NATO/UE?</w:t>
      </w:r>
    </w:p>
    <w:p>
      <w:pPr>
        <w:pStyle w:val="ListNumber"/>
      </w:pPr>
      <w:r>
        <w:t>Jaki jest koszt cyklu życia i koszt alternatywny?</w:t>
      </w:r>
    </w:p>
    <w:p>
      <w:pPr>
        <w:pStyle w:val="ListNumber"/>
      </w:pPr>
      <w:r>
        <w:t xml:space="preserve">Które dane pozostają </w:t>
      </w:r>
      <w:r>
        <w:t>UNKNOWN</w:t>
      </w:r>
      <w:r>
        <w:t xml:space="preserve"> i czy zmieniają rekomendację?</w:t>
      </w:r>
    </w:p>
    <w:p>
      <w:pPr>
        <w:pStyle w:val="ListNumber"/>
      </w:pPr>
      <w:r>
        <w:t>Które działania trzeba zakończyć albo zastąpić?</w:t>
      </w:r>
    </w:p>
    <w:p>
      <w:r>
        <w:t>Wersja dla Prezydenta/BBN może zawierać część autoryzowaną przygotowaną przez właściwe organy. Wersja jawna publikuje wyłącznie zatwierdzone agregaty.</w:t>
      </w:r>
    </w:p>
    <w:p>
      <w:pPr>
        <w:pStyle w:val="Heading2"/>
      </w:pPr>
      <w:r>
        <w:t>6. Ryzyka strategiczne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1"/>
        <w:gridCol w:w="3201"/>
        <w:gridCol w:w="3201"/>
      </w:tblGrid>
      <w:tr>
        <w:tc>
          <w:tcPr>
            <w:tcW w:type="dxa" w:w="3201"/>
          </w:tcPr>
          <w:p>
            <w:r>
              <w:t>Ryzyko</w:t>
            </w:r>
          </w:p>
        </w:tc>
        <w:tc>
          <w:tcPr>
            <w:tcW w:type="dxa" w:w="3201"/>
          </w:tcPr>
          <w:p>
            <w:r>
              <w:t>Skutek</w:t>
            </w:r>
          </w:p>
        </w:tc>
        <w:tc>
          <w:tcPr>
            <w:tcW w:type="dxa" w:w="3201"/>
          </w:tcPr>
          <w:p>
            <w:r>
              <w:t>Zabezpieczenie</w:t>
            </w:r>
          </w:p>
        </w:tc>
      </w:tr>
      <w:tr>
        <w:tc>
          <w:tcPr>
            <w:tcW w:type="dxa" w:w="3201"/>
          </w:tcPr>
          <w:p>
            <w:r>
              <w:t>autarkia jako cel</w:t>
            </w:r>
          </w:p>
        </w:tc>
        <w:tc>
          <w:tcPr>
            <w:tcW w:type="dxa" w:w="3201"/>
          </w:tcPr>
          <w:p>
            <w:r>
              <w:t>wysoki koszt i utrata interoperacyjności</w:t>
            </w:r>
          </w:p>
        </w:tc>
        <w:tc>
          <w:tcPr>
            <w:tcW w:type="dxa" w:w="3201"/>
          </w:tcPr>
          <w:p>
            <w:r>
              <w:t>selektywna kontrola i sojusznicze alternatywy</w:t>
            </w:r>
          </w:p>
        </w:tc>
      </w:tr>
      <w:tr>
        <w:tc>
          <w:tcPr>
            <w:tcW w:type="dxa" w:w="3201"/>
          </w:tcPr>
          <w:p>
            <w:r>
              <w:t>program jednej technologii</w:t>
            </w:r>
          </w:p>
        </w:tc>
        <w:tc>
          <w:tcPr>
            <w:tcW w:type="dxa" w:w="3201"/>
          </w:tcPr>
          <w:p>
            <w:r>
              <w:t>zaniedbanie całego systemu</w:t>
            </w:r>
          </w:p>
        </w:tc>
        <w:tc>
          <w:tcPr>
            <w:tcW w:type="dxa" w:w="3201"/>
          </w:tcPr>
          <w:p>
            <w:r>
              <w:t>wielodomenowy portfel i test efektu</w:t>
            </w:r>
          </w:p>
        </w:tc>
      </w:tr>
      <w:tr>
        <w:tc>
          <w:tcPr>
            <w:tcW w:type="dxa" w:w="3201"/>
          </w:tcPr>
          <w:p>
            <w:r>
              <w:t>zależność od jednego partnera</w:t>
            </w:r>
          </w:p>
        </w:tc>
        <w:tc>
          <w:tcPr>
            <w:tcW w:type="dxa" w:w="3201"/>
          </w:tcPr>
          <w:p>
            <w:r>
              <w:t>utrata swobody decyzji</w:t>
            </w:r>
          </w:p>
        </w:tc>
        <w:tc>
          <w:tcPr>
            <w:tcW w:type="dxa" w:w="3201"/>
          </w:tcPr>
          <w:p>
            <w:r>
              <w:t>portfolio, IP, escrow i plan wyjścia</w:t>
            </w:r>
          </w:p>
        </w:tc>
      </w:tr>
      <w:tr>
        <w:tc>
          <w:tcPr>
            <w:tcW w:type="dxa" w:w="3201"/>
          </w:tcPr>
          <w:p>
            <w:r>
              <w:t>skala przed dowodem</w:t>
            </w:r>
          </w:p>
        </w:tc>
        <w:tc>
          <w:tcPr>
            <w:tcW w:type="dxa" w:w="3201"/>
          </w:tcPr>
          <w:p>
            <w:r>
              <w:t>trudne do odwrócenia zobowiązania</w:t>
            </w:r>
          </w:p>
        </w:tc>
        <w:tc>
          <w:tcPr>
            <w:tcW w:type="dxa" w:w="3201"/>
          </w:tcPr>
          <w:p>
            <w:r>
              <w:t>małe partie i bramki</w:t>
            </w:r>
          </w:p>
        </w:tc>
      </w:tr>
      <w:tr>
        <w:tc>
          <w:tcPr>
            <w:tcW w:type="dxa" w:w="3201"/>
          </w:tcPr>
          <w:p>
            <w:r>
              <w:t>nadmierna tajność</w:t>
            </w:r>
          </w:p>
        </w:tc>
        <w:tc>
          <w:tcPr>
            <w:tcW w:type="dxa" w:w="3201"/>
          </w:tcPr>
          <w:p>
            <w:r>
              <w:t>mała konkurencja i brak kontroli</w:t>
            </w:r>
          </w:p>
        </w:tc>
        <w:tc>
          <w:tcPr>
            <w:tcW w:type="dxa" w:w="3201"/>
          </w:tcPr>
          <w:p>
            <w:r>
              <w:t>najmniejszy konieczny zakres ochrony</w:t>
            </w:r>
          </w:p>
        </w:tc>
      </w:tr>
      <w:tr>
        <w:tc>
          <w:tcPr>
            <w:tcW w:type="dxa" w:w="3201"/>
          </w:tcPr>
          <w:p>
            <w:r>
              <w:t>nadmierna jawność</w:t>
            </w:r>
          </w:p>
        </w:tc>
        <w:tc>
          <w:tcPr>
            <w:tcW w:type="dxa" w:w="3201"/>
          </w:tcPr>
          <w:p>
            <w:r>
              <w:t>ujawnienie zdolności lub podatności</w:t>
            </w:r>
          </w:p>
        </w:tc>
        <w:tc>
          <w:tcPr>
            <w:tcW w:type="dxa" w:w="3201"/>
          </w:tcPr>
          <w:p>
            <w:r>
              <w:t>sanitizacja przez właściciela informacji</w:t>
            </w:r>
          </w:p>
        </w:tc>
      </w:tr>
      <w:tr>
        <w:tc>
          <w:tcPr>
            <w:tcW w:type="dxa" w:w="3201"/>
          </w:tcPr>
          <w:p>
            <w:r>
              <w:t>niekontrolowane AI</w:t>
            </w:r>
          </w:p>
        </w:tc>
        <w:tc>
          <w:tcPr>
            <w:tcW w:type="dxa" w:w="3201"/>
          </w:tcPr>
          <w:p>
            <w:r>
              <w:t>ryzyko prawne, operacyjne i reputacyjne</w:t>
            </w:r>
          </w:p>
        </w:tc>
        <w:tc>
          <w:tcPr>
            <w:tcW w:type="dxa" w:w="3201"/>
          </w:tcPr>
          <w:p>
            <w:r>
              <w:t>zasady NATO, monitoring i prawo wstrzymania</w:t>
            </w:r>
          </w:p>
        </w:tc>
      </w:tr>
      <w:tr>
        <w:tc>
          <w:tcPr>
            <w:tcW w:type="dxa" w:w="3201"/>
          </w:tcPr>
          <w:p>
            <w:r>
              <w:t>przechwycenie przez dostawców</w:t>
            </w:r>
          </w:p>
        </w:tc>
        <w:tc>
          <w:tcPr>
            <w:tcW w:type="dxa" w:w="3201"/>
          </w:tcPr>
          <w:p>
            <w:r>
              <w:t>potrzeby dopasowane do produktu</w:t>
            </w:r>
          </w:p>
        </w:tc>
        <w:tc>
          <w:tcPr>
            <w:tcW w:type="dxa" w:w="3201"/>
          </w:tcPr>
          <w:p>
            <w:r>
              <w:t>rozdzielenie potrzeby, testu i zakupu</w:t>
            </w:r>
          </w:p>
        </w:tc>
      </w:tr>
      <w:tr>
        <w:tc>
          <w:tcPr>
            <w:tcW w:type="dxa" w:w="3201"/>
          </w:tcPr>
          <w:p>
            <w:r>
              <w:t>zmiana polityczna</w:t>
            </w:r>
          </w:p>
        </w:tc>
        <w:tc>
          <w:tcPr>
            <w:tcW w:type="dxa" w:w="3201"/>
          </w:tcPr>
          <w:p>
            <w:r>
              <w:t>rozmontowanie programu lub zamrożenie błędów</w:t>
            </w:r>
          </w:p>
        </w:tc>
        <w:tc>
          <w:tcPr>
            <w:tcW w:type="dxa" w:w="3201"/>
          </w:tcPr>
          <w:p>
            <w:r>
              <w:t>coroczny przegląd i mierzalne rezultaty</w:t>
            </w:r>
          </w:p>
        </w:tc>
      </w:tr>
      <w:tr>
        <w:tc>
          <w:tcPr>
            <w:tcW w:type="dxa" w:w="3201"/>
          </w:tcPr>
          <w:p>
            <w:r>
              <w:t>narracja zamiast zdolności</w:t>
            </w:r>
          </w:p>
        </w:tc>
        <w:tc>
          <w:tcPr>
            <w:tcW w:type="dxa" w:w="3201"/>
          </w:tcPr>
          <w:p>
            <w:r>
              <w:t>konferencje i granty bez wdrożeń</w:t>
            </w:r>
          </w:p>
        </w:tc>
        <w:tc>
          <w:tcPr>
            <w:tcW w:type="dxa" w:w="3201"/>
          </w:tcPr>
          <w:p>
            <w:r>
              <w:t>raport projektów skalowanych i zamkniętych</w:t>
            </w:r>
          </w:p>
        </w:tc>
      </w:tr>
    </w:tbl>
    <w:p>
      <w:pPr>
        <w:pStyle w:val="Heading2"/>
      </w:pPr>
      <w:r>
        <w:t>7. Pierwsze 100 dni z perspektywy Prezydenta/BBN</w:t>
      </w:r>
    </w:p>
    <w:p>
      <w:pPr>
        <w:pStyle w:val="ListBullet"/>
      </w:pPr>
      <w:r>
        <w:t>poprosić rząd o przedstawienie mapy miejsca programu w systemie strategicznym;</w:t>
      </w:r>
    </w:p>
    <w:p>
      <w:pPr>
        <w:pStyle w:val="ListBullet"/>
      </w:pPr>
      <w:r>
        <w:t>zarekomendować właściwym organom uzgodnienie jawnych kryteriów odporności, ciągłości i interoperacyjności;</w:t>
      </w:r>
    </w:p>
    <w:p>
      <w:pPr>
        <w:pStyle w:val="ListBullet"/>
      </w:pPr>
      <w:r>
        <w:t>poprosić właściwe organy o potwierdzenie granicy materiału jawnego i autoryzowanego;</w:t>
      </w:r>
    </w:p>
    <w:p>
      <w:pPr>
        <w:pStyle w:val="ListBullet"/>
      </w:pPr>
      <w:r>
        <w:t>przekazać pytania strategiczne do audytu bazowego właściwym organom;</w:t>
      </w:r>
    </w:p>
    <w:p>
      <w:pPr>
        <w:pStyle w:val="ListBullet"/>
      </w:pPr>
      <w:r>
        <w:t>uczestniczyć w przeglądzie wariantów, bez wejścia w wybór dostawców;</w:t>
      </w:r>
    </w:p>
    <w:p>
      <w:pPr>
        <w:pStyle w:val="ListBullet"/>
      </w:pPr>
      <w:r>
        <w:t>wspierać utworzenie przez właściwy organ niezależnego red-teamu i stosowanie deklaracji konfliktów interesów;</w:t>
      </w:r>
    </w:p>
    <w:p>
      <w:pPr>
        <w:pStyle w:val="ListBullet"/>
      </w:pPr>
      <w:r>
        <w:t>zaproponować format rocznego raportu do uzgodnienia z rządem;</w:t>
      </w:r>
    </w:p>
    <w:p>
      <w:pPr>
        <w:pStyle w:val="ListBullet"/>
      </w:pPr>
      <w:r>
        <w:t>wnosić, aby pierwszej decyzji skali towarzyszyły wynik testu, TCO, plan serwisu i plan substytucji.</w:t>
      </w:r>
    </w:p>
    <w:p>
      <w:pPr>
        <w:pStyle w:val="Heading2"/>
      </w:pPr>
      <w:r>
        <w:t>8. Warunki poparcia kolejnej fazy</w:t>
      </w:r>
    </w:p>
    <w:p>
      <w:r>
        <w:t>Prezydent, przy wsparciu BBN, powinien rekomendować kontynuację, jeżeli program:</w:t>
      </w:r>
    </w:p>
    <w:p>
      <w:pPr>
        <w:pStyle w:val="ListBullet"/>
      </w:pPr>
      <w:r>
        <w:t>ma formalne miejsce i właścicieli;</w:t>
      </w:r>
    </w:p>
    <w:p>
      <w:pPr>
        <w:pStyle w:val="ListBullet"/>
      </w:pPr>
      <w:r>
        <w:t>dowodzi zdolności przejścia od problemu do testu;</w:t>
      </w:r>
    </w:p>
    <w:p>
      <w:pPr>
        <w:pStyle w:val="ListBullet"/>
      </w:pPr>
      <w:r>
        <w:t>potrafi zamknąć projekt bez ukrywania wyniku;</w:t>
      </w:r>
    </w:p>
    <w:p>
      <w:pPr>
        <w:pStyle w:val="ListBullet"/>
      </w:pPr>
      <w:r>
        <w:t>rozdziela dane jawne i chronione;</w:t>
      </w:r>
    </w:p>
    <w:p>
      <w:pPr>
        <w:pStyle w:val="ListBullet"/>
      </w:pPr>
      <w:r>
        <w:t>wzmacnia interoperacyjność;</w:t>
      </w:r>
    </w:p>
    <w:p>
      <w:pPr>
        <w:pStyle w:val="ListBullet"/>
      </w:pPr>
      <w:r>
        <w:t>ma kontrolę cyklu życia oraz alternatywy;</w:t>
      </w:r>
    </w:p>
    <w:p>
      <w:pPr>
        <w:pStyle w:val="ListBullet"/>
      </w:pPr>
      <w:r>
        <w:t>stosuje odpowiedzialne AI i cyber od początku;</w:t>
      </w:r>
    </w:p>
    <w:p>
      <w:pPr>
        <w:pStyle w:val="ListBullet"/>
      </w:pPr>
      <w:r>
        <w:t>nie preferuje partnera bez due diligence;</w:t>
      </w:r>
    </w:p>
    <w:p>
      <w:pPr>
        <w:pStyle w:val="ListBullet"/>
      </w:pPr>
      <w:r>
        <w:t>pokazuje koszt, ryzyko i koszt alternatywny;</w:t>
      </w:r>
    </w:p>
    <w:p>
      <w:pPr>
        <w:pStyle w:val="ListBullet"/>
      </w:pPr>
      <w:r>
        <w:t>utrzymuje niezależną ewaluację.</w:t>
      </w:r>
    </w:p>
    <w:p>
      <w:pPr>
        <w:pStyle w:val="Heading2"/>
      </w:pPr>
      <w:r>
        <w:t>Dalsze pytania</w:t>
      </w:r>
    </w:p>
    <w:p>
      <w:pPr>
        <w:pStyle w:val="ListBullet"/>
      </w:pPr>
      <w:r>
        <w:t>Jak program zostanie formalnie powiązany z aktualnymi strategiami państwa?</w:t>
      </w:r>
    </w:p>
    <w:p>
      <w:pPr>
        <w:pStyle w:val="ListBullet"/>
      </w:pPr>
      <w:r>
        <w:t>Które zależności są krytyczne w horyzontach 2027, 2030 i 2035?</w:t>
      </w:r>
    </w:p>
    <w:p>
      <w:pPr>
        <w:pStyle w:val="ListBullet"/>
      </w:pPr>
      <w:r>
        <w:t>Jakie zdolności do odtworzenia mogą być raportowane w agregacie?</w:t>
      </w:r>
    </w:p>
    <w:p>
      <w:pPr>
        <w:pStyle w:val="ListBullet"/>
      </w:pPr>
      <w:r>
        <w:t>Jak mierzyć interoperacyjność poza deklaracją zgodności ze standardem?</w:t>
      </w:r>
    </w:p>
    <w:p>
      <w:pPr>
        <w:pStyle w:val="ListBullet"/>
      </w:pPr>
      <w:r>
        <w:t>Jak zachować ciągłość polityczną, nie zamrażając technologii i dostawców?</w:t>
      </w:r>
    </w:p>
    <w:p>
      <w:pPr>
        <w:pStyle w:val="Heading2"/>
      </w:pPr>
      <w:r>
        <w:t>Zastrzeżenia i założenia</w:t>
      </w:r>
    </w:p>
    <w:p>
      <w:pPr>
        <w:pStyle w:val="ListBullet"/>
      </w:pPr>
      <w:r>
        <w:t>Nota nie zawiera oceny zagrożeń, celów zdolnościowych, wolumenów ani zapasów.</w:t>
      </w:r>
    </w:p>
    <w:p>
      <w:pPr>
        <w:pStyle w:val="ListBullet"/>
      </w:pPr>
      <w:r>
        <w:t>Brak jawnego dowodu nie jest interpretowany jako brak zdolności państwa.</w:t>
      </w:r>
    </w:p>
    <w:p>
      <w:pPr>
        <w:pStyle w:val="ListBullet"/>
      </w:pPr>
      <w:r>
        <w:t>Bieżący status dokumentów i inicjatyw należy ponownie sprawdzić w dniu przedłożenia.</w:t>
      </w:r>
    </w:p>
    <w:p>
      <w:pPr>
        <w:pStyle w:val="ListBullet"/>
      </w:pPr>
      <w:r>
        <w:t>Patronat strategiczny nie zastępuje konstytucyjnych i ustawowych kompetencji organów.</w:t>
      </w:r>
    </w:p>
    <w:p>
      <w:pPr>
        <w:pStyle w:val="ListBullet"/>
      </w:pPr>
      <w:r>
        <w:t>Publikacja lub przekazanie materiału wymaga akceptacji człowieka i kontroli bezpieczeństwa informacji.</w:t>
      </w:r>
    </w:p>
    <w:sectPr w:rsidR="00FC693F" w:rsidRPr="0006063C" w:rsidSect="00034616">
      <w:footerReference w:type="default" r:id="rId9"/>
      <w:pgSz w:w="11906" w:h="16838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Polska 2040 · draft v0.1 · 2026-07-21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