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Ład instytucjonalny, prawo i zamówienia</w:t>
      </w:r>
    </w:p>
    <w:p>
      <w:r>
        <w:rPr>
          <w:b/>
          <w:color w:val="A75C00"/>
        </w:rPr>
        <w:t>Niezależny jawnoźródłowy projekt analityczny — bez materiałów niejawnych — nie jest dokumentem rządowym.</w:t>
      </w:r>
    </w:p>
    <w:p>
      <w:r>
        <w:rPr>
          <w:b/>
        </w:rPr>
        <w:t>Program:</w:t>
      </w:r>
      <w:r>
        <w:t xml:space="preserve"> Polska 2040: Suwerenność technologiczna</w:t>
      </w:r>
      <w:r/>
      <w:r>
        <w:br/>
      </w:r>
      <w:r>
        <w:rPr>
          <w:b/>
        </w:rPr>
        <w:t>Status:</w:t>
      </w:r>
      <w:r>
        <w:t xml:space="preserve"> niezależny materiał przedmandatowy v0.1 do konsultacji prawnej; nie jest formalnym przedłożeniem</w:t>
      </w:r>
      <w:r/>
      <w:r>
        <w:br/>
      </w:r>
      <w:r>
        <w:rPr>
          <w:b/>
        </w:rPr>
        <w:t>Stan wiedzy:</w:t>
      </w:r>
      <w:r>
        <w:t xml:space="preserve"> 21 lipca 2026 r.</w:t>
      </w:r>
    </w:p>
    <w:p>
      <w:pPr>
        <w:pStyle w:val="Quote"/>
      </w:pPr>
      <w:r>
        <w:t>Dokument nie jest poradą prawną ani projektem aktu normatywnego. Ostateczne kompetencje, podstawa prawna, tryb konsultacji, ocena oddziaływania i treść klauzul wymagają pisemnego potwierdzenia przez właściwe organy oraz prawników specjalizujących się w danym reżimie.</w:t>
      </w:r>
    </w:p>
    <w:p>
      <w:pPr>
        <w:pStyle w:val="Heading2"/>
      </w:pPr>
      <w:r>
        <w:t>Executive Summary / Streszczenie wykonawcze</w:t>
      </w:r>
    </w:p>
    <w:p>
      <w:pPr>
        <w:pStyle w:val="Heading3"/>
      </w:pPr>
      <w:r>
        <w:t>Odpowiedź</w:t>
      </w:r>
    </w:p>
    <w:p>
      <w:r>
        <w:t xml:space="preserve">Program nie powinien zaczynać się od utworzenia nowego ministra, agencji i ustawy omnibusowej. Najpierw należy </w:t>
      </w:r>
      <w:r>
        <w:rPr>
          <w:b/>
        </w:rPr>
        <w:t>wykorzystać istniejącą funkcję koordynacji i nadzoru realizacji przy centrum rządu</w:t>
      </w:r>
      <w:r>
        <w:t>, formalnie wskazać ministra właściwego dla dokumentu strategicznego, nadać jednego właściciela każdemu rezultatowi oraz zastosować modułową drabinę instrumentów: strategia → programy wykonawcze → budżet i zamówienia → celowane zmiany prawa.</w:t>
      </w:r>
    </w:p>
    <w:p>
      <w:r>
        <w:rPr>
          <w:b/>
        </w:rPr>
        <w:t>Bieżący wynik bramki formalnej: FAIL / materiał wyłącznie konsultacyjny.</w:t>
      </w:r>
      <w:r>
        <w:t xml:space="preserve"> Właściwy minister, podstawa procesu oraz miejsce dokumentu w hierarchii strategii pozostają nierozstrzygnięte (</w:t>
      </w:r>
      <w:r>
        <w:rPr>
          <w:b/>
        </w:rPr>
        <w:t>GAP-0011</w:t>
      </w:r>
      <w:r>
        <w:t>). Nie wolno usuwać tej luki przez założenie autora; musi ją rozstrzygnąć właściwy organ w opinii prawnej.</w:t>
      </w:r>
    </w:p>
    <w:p>
      <w:pPr>
        <w:pStyle w:val="Heading3"/>
      </w:pPr>
      <w:r>
        <w:t>Najważniejsze rozstrzygnięcia</w:t>
      </w:r>
    </w:p>
    <w:p>
      <w:pPr>
        <w:pStyle w:val="ListNumber"/>
      </w:pPr>
      <w:r>
        <w:rPr>
          <w:b/>
        </w:rPr>
        <w:t>Dwie odpowiedzialności, nie jedna wszechwładna funkcja.</w:t>
      </w:r>
      <w:r>
        <w:t xml:space="preserve"> Właściwy minister odpowiada formalnie za projekt strategii; funkcja KPRM integruje portfel, dane, kamienie milowe i eskalacje.</w:t>
      </w:r>
    </w:p>
    <w:p>
      <w:pPr>
        <w:pStyle w:val="ListNumber"/>
      </w:pPr>
      <w:r>
        <w:rPr>
          <w:b/>
        </w:rPr>
        <w:t>„Biuro Realizacji” jest funkcją, nie automatycznie nowym urzędem.</w:t>
      </w:r>
      <w:r>
        <w:t xml:space="preserve"> W pierwszym roku powinno działać w istniejącej administracji z małym sekretariatem i możliwością wzmocnienia dopiero po dowodzie przeciążenia.</w:t>
      </w:r>
    </w:p>
    <w:p>
      <w:pPr>
        <w:pStyle w:val="ListNumber"/>
      </w:pPr>
      <w:r>
        <w:rPr>
          <w:b/>
        </w:rPr>
        <w:t>Rada Ministrów zatwierdza cele, ramy i decyzje finansowe.</w:t>
      </w:r>
      <w:r>
        <w:t xml:space="preserve"> Nie przenosi na komitet pomocniczy kompetencji ustawowych ministrów i innych organów.</w:t>
      </w:r>
    </w:p>
    <w:p>
      <w:pPr>
        <w:pStyle w:val="ListNumber"/>
      </w:pPr>
      <w:r>
        <w:rPr>
          <w:b/>
        </w:rPr>
        <w:t>Prezydent i BBN wspierają ciągłość, zgodność z bezpieczeństwem narodowym i przegląd strategiczny.</w:t>
      </w:r>
      <w:r>
        <w:t xml:space="preserve"> Nie tworzy to wspólnej odpowiedzialności wykonawczej z rządem.</w:t>
      </w:r>
    </w:p>
    <w:p>
      <w:pPr>
        <w:pStyle w:val="ListNumber"/>
      </w:pPr>
      <w:r>
        <w:rPr>
          <w:b/>
        </w:rPr>
        <w:t>Jedna wielka ustawa nie jest punktem startu.</w:t>
      </w:r>
      <w:r>
        <w:t xml:space="preserve"> Działania procesowe, kontraktowe, budżetowe i wykonawcze uruchamia się w istniejących ramach; ustawa jest właściwa tylko dla precyzyjnie wykazanej luki.</w:t>
      </w:r>
    </w:p>
    <w:p>
      <w:pPr>
        <w:pStyle w:val="ListNumber"/>
      </w:pPr>
      <w:r>
        <w:rPr>
          <w:b/>
        </w:rPr>
        <w:t>Szybkość powstaje przez etapowanie ryzyka.</w:t>
      </w:r>
      <w:r>
        <w:t xml:space="preserve"> Prototyp, test i mała partia mają odrębne odbiory, prawa i opcje; niespełniona bramka kończy etap.</w:t>
      </w:r>
    </w:p>
    <w:p>
      <w:pPr>
        <w:pStyle w:val="ListNumber"/>
      </w:pPr>
      <w:r>
        <w:rPr>
          <w:b/>
        </w:rPr>
        <w:t>IP, dane, cyber i ciągłość projektuje się przed partnerstwem.</w:t>
      </w:r>
      <w:r>
        <w:t xml:space="preserve"> Późniejszy aneks nie naprawi utraty kontroli nad kodem, interfejsem, konfiguracją lub produkcją.</w:t>
      </w:r>
    </w:p>
    <w:p>
      <w:pPr>
        <w:pStyle w:val="ListNumber"/>
      </w:pPr>
      <w:r>
        <w:rPr>
          <w:b/>
        </w:rPr>
        <w:t>Dokument publiczny nie przechowuje danych chronionych.</w:t>
      </w:r>
      <w:r>
        <w:t xml:space="preserve"> Aneks ograniczony jest osobnym, autoryzowanym procesem; w repozytorium pozostaje tylko jawny szablon pytań.</w:t>
      </w:r>
    </w:p>
    <w:p>
      <w:pPr>
        <w:pStyle w:val="ListNumber"/>
      </w:pPr>
      <w:r>
        <w:rPr>
          <w:b/>
        </w:rPr>
        <w:t>Autor nie zatwierdza własnych twierdzeń ani produktu.</w:t>
      </w:r>
      <w:r>
        <w:t xml:space="preserve"> Potrzeba, finansowanie, test i akceptacja muszą mieć rozdzielone role.</w:t>
      </w:r>
    </w:p>
    <w:p>
      <w:pPr>
        <w:pStyle w:val="ListNumber"/>
      </w:pPr>
      <w:r>
        <w:rPr>
          <w:b/>
        </w:rPr>
        <w:t>Nowy pełnomocnik jest wariantem warunkowym.</w:t>
      </w:r>
      <w:r>
        <w:t xml:space="preserve"> Należy go rozważyć dopiero po udokumentowaniu, że istniejące mechanizmy nie potrafią usunąć blokad.</w:t>
      </w:r>
    </w:p>
    <w:p>
      <w:pPr>
        <w:pStyle w:val="Heading3"/>
      </w:pPr>
      <w:r>
        <w:t>Kandydaty decyzji na pierwsze 30 dni</w:t>
      </w:r>
    </w:p>
    <w:p>
      <w:r>
        <w:t xml:space="preserve">Rekordy </w:t>
      </w:r>
      <w:r>
        <w:rPr>
          <w:b/>
        </w:rPr>
        <w:t>DEC-0001</w:t>
      </w:r>
      <w:r>
        <w:t xml:space="preserve">, </w:t>
      </w:r>
      <w:r>
        <w:rPr>
          <w:b/>
        </w:rPr>
        <w:t>DEC-0002</w:t>
      </w:r>
      <w:r>
        <w:t xml:space="preserve"> i </w:t>
      </w:r>
      <w:r>
        <w:rPr>
          <w:b/>
        </w:rPr>
        <w:t>DEC-0009</w:t>
      </w:r>
      <w:r>
        <w:t xml:space="preserve"> proponują: uruchomić przegląd, zlecić formalną mapę kompetencji i instrumentów, wskazać właściciela dokumentu oraz integratora portfela, przyjąć RACI i uruchomić dwukwartalny test istniejącego mechanizmu. Wszystkie mają status </w:t>
      </w:r>
      <w:r>
        <w:t>candidate</w:t>
      </w:r>
      <w:r>
        <w:t>. Dopiero właściwy organ może rozstrzygnąć, czy potrzebne jest wzmocnienie mandatu, nowy pełnomocnik, zmiana organizacyjna lub akt ustawowy.</w:t>
      </w:r>
    </w:p>
    <w:p>
      <w:pPr>
        <w:pStyle w:val="Heading2"/>
      </w:pPr>
      <w:r>
        <w:t>Spis treści</w:t>
      </w:r>
    </w:p>
    <w:p>
      <w:pPr>
        <w:pStyle w:val="ListBullet"/>
      </w:pPr>
      <w:r>
        <w:t>Ład instytucjonalny, prawo i zamówienia</w:t>
      </w:r>
      <w:r>
        <w:br/>
        <w:t>Executive Summary / Streszczenie wykonawcze</w:t>
        <w:br/>
        <w:t>Odpowiedź</w:t>
        <w:br/>
        <w:t>Najważniejsze rozstrzygnięcia</w:t>
        <w:br/>
        <w:t>Kandydaty decyzji na pierwsze 30 dni</w:t>
        <w:br/>
        <w:br/>
        <w:br/>
        <w:t>Spis treści</w:t>
        <w:br/>
        <w:t>1. Zasady ustrojowe i projektowe</w:t>
        <w:br/>
        <w:t>1.1. Legalność przed nazwą</w:t>
        <w:br/>
        <w:t>1.2. Jeden rezultat — jeden rozliczalny właściciel</w:t>
        <w:br/>
        <w:t>1.3. Subsydiarność i proporcjonalność</w:t>
        <w:br/>
        <w:t>1.4. Odwracalność</w:t>
        <w:br/>
        <w:br/>
        <w:br/>
        <w:t>2. Warianty instytucjonalne</w:t>
        <w:br/>
        <w:t>Rekomendacja</w:t>
        <w:br/>
        <w:br/>
        <w:br/>
        <w:t>3. Proponowany model governance</w:t>
        <w:br/>
        <w:t>3.1. Rada Ministrów i Prezes Rady Ministrów</w:t>
        <w:br/>
        <w:t>3.2. Właściwy minister</w:t>
        <w:br/>
        <w:t>3.3. Integrator realizacji przy KPRM</w:t>
        <w:br/>
        <w:t>3.4. Ministrowie sektorowi i właściciele programów</w:t>
        <w:br/>
        <w:t>3.5. Rada użytkowników</w:t>
        <w:br/>
        <w:t>3.6. Red-team i ewaluacja</w:t>
        <w:br/>
        <w:t>3.7. Prezydent i BBN</w:t>
        <w:br/>
        <w:br/>
        <w:br/>
        <w:t>4. Funkcjonalny RACI</w:t>
        <w:br/>
        <w:t>5. Architektura dokumentów</w:t>
        <w:br/>
        <w:t>5.1. Dlaczego wiele dokumentów</w:t>
        <w:br/>
        <w:t>5.2. Wersjonowanie</w:t>
        <w:br/>
        <w:br/>
        <w:br/>
        <w:t>6. Drabina instrumentów</w:t>
        <w:br/>
        <w:t>Zasada modularności</w:t>
        <w:br/>
        <w:br/>
        <w:br/>
        <w:t>7. Proces przygotowania strategii</w:t>
        <w:br/>
        <w:t>Bramka L0 — mandat</w:t>
        <w:br/>
        <w:t>Bramka L1 — diagnoza i opcje</w:t>
        <w:br/>
        <w:t>Bramka L2 — konsultacje i ocena</w:t>
        <w:br/>
        <w:t>Bramka L3 — decyzja RM</w:t>
        <w:br/>
        <w:t>Bramka L4 — wykonanie i aktualizacja</w:t>
        <w:br/>
        <w:br/>
        <w:br/>
        <w:t>8. Zamówienia iteracyjne</w:t>
        <w:br/>
        <w:t>8.1. Siedem etapów</w:t>
        <w:br/>
        <w:t>8.2. Minimalne elementy kontraktu etapowego</w:t>
        <w:br/>
        <w:t>8.3. Mała partia</w:t>
        <w:br/>
        <w:br/>
        <w:br/>
        <w:t>9. IP, dokumentacja i ciągłość</w:t>
        <w:br/>
        <w:t>9.1. Macierz praw</w:t>
        <w:br/>
        <w:t>9.2. Depozyt</w:t>
        <w:br/>
        <w:t>9.3. Produkcja awaryjna</w:t>
        <w:br/>
        <w:br/>
        <w:br/>
        <w:t>10. Partnerstwa i joint ventures</w:t>
        <w:br/>
        <w:t>Due diligence przed decyzją</w:t>
        <w:br/>
        <w:t>Warunki stop</w:t>
        <w:br/>
        <w:br/>
        <w:br/>
        <w:t>11. Dane, AI, cyber i informacje chronione</w:t>
        <w:br/>
        <w:t>11.1. Właściciel danych</w:t>
        <w:br/>
        <w:t>11.2. Governance AI</w:t>
        <w:br/>
        <w:t>11.3. Cyber</w:t>
        <w:br/>
        <w:t>11.4. Informacje niejawne i wrażliwe</w:t>
        <w:br/>
        <w:br/>
        <w:br/>
        <w:t>12. Konflikty interesów i transparentność</w:t>
        <w:br/>
        <w:t>Minimalny rejestr</w:t>
        <w:br/>
        <w:t>Rozdzielenie funkcji</w:t>
        <w:br/>
        <w:t>Jawność</w:t>
        <w:br/>
        <w:br/>
        <w:br/>
        <w:t>13. Pierwsze 100 dni</w:t>
        <w:br/>
        <w:t>D0–D30</w:t>
        <w:br/>
        <w:t>D31–D60</w:t>
        <w:br/>
        <w:t>D61–D100</w:t>
        <w:br/>
        <w:br/>
        <w:br/>
        <w:t>14. Warunki rozważenia nowego pełnomocnika lub ustawy</w:t>
        <w:br/>
        <w:t>Nowy pełnomocnik</w:t>
        <w:br/>
        <w:t>Ustawa</w:t>
        <w:br/>
        <w:br/>
        <w:br/>
        <w:t>15. Zarys nieoficjalnej uchwały kierunkowej</w:t>
        <w:br/>
        <w:t>16. Pass/fail przed przedłożeniem Radzie Ministrów</w:t>
        <w:br/>
        <w:t>Dalsze pytania</w:t>
        <w:br/>
        <w:t>Zastrzeżenia i założenia</w:t>
        <w:br/>
      </w:r>
      <w:r>
        <w:br/>
      </w:r>
    </w:p>
    <w:p>
      <w:pPr>
        <w:pStyle w:val="ListBullet"/>
      </w:pPr>
      <w:r>
        <w:t>Executive Summary / Streszczenie wykonawcze</w:t>
      </w:r>
      <w:r>
        <w:br/>
        <w:t>Odpowiedź</w:t>
        <w:br/>
        <w:t>Najważniejsze rozstrzygnięcia</w:t>
        <w:br/>
        <w:t>Kandydaty decyzji na pierwsze 30 dni</w:t>
        <w:br/>
      </w:r>
      <w:r>
        <w:br/>
      </w:r>
    </w:p>
    <w:p>
      <w:pPr>
        <w:pStyle w:val="ListBullet"/>
      </w:pPr>
      <w:r>
        <w:t>Spis treści</w:t>
      </w:r>
    </w:p>
    <w:p>
      <w:pPr>
        <w:pStyle w:val="ListBullet"/>
      </w:pPr>
      <w:r>
        <w:t>1. Zasady ustrojowe i projektowe</w:t>
      </w:r>
      <w:r>
        <w:br/>
        <w:t>1.1. Legalność przed nazwą</w:t>
        <w:br/>
        <w:t>1.2. Jeden rezultat — jeden rozliczalny właściciel</w:t>
        <w:br/>
        <w:t>1.3. Subsydiarność i proporcjonalność</w:t>
        <w:br/>
        <w:t>1.4. Odwracalność</w:t>
        <w:br/>
      </w:r>
      <w:r>
        <w:br/>
      </w:r>
    </w:p>
    <w:p>
      <w:pPr>
        <w:pStyle w:val="ListBullet"/>
      </w:pPr>
      <w:r>
        <w:t>2. Warianty instytucjonalne</w:t>
      </w:r>
      <w:r>
        <w:br/>
        <w:t>Rekomendacja</w:t>
        <w:br/>
      </w:r>
      <w:r>
        <w:br/>
      </w:r>
    </w:p>
    <w:p>
      <w:pPr>
        <w:pStyle w:val="ListBullet"/>
      </w:pPr>
      <w:r>
        <w:t>3. Proponowany model governance</w:t>
      </w:r>
      <w:r>
        <w:br/>
        <w:t>3.1. Rada Ministrów i Prezes Rady Ministrów</w:t>
        <w:br/>
        <w:t>3.2. Właściwy minister</w:t>
        <w:br/>
        <w:t>3.3. Integrator realizacji przy KPRM</w:t>
        <w:br/>
        <w:t>3.4. Ministrowie sektorowi i właściciele programów</w:t>
        <w:br/>
        <w:t>3.5. Rada użytkowników</w:t>
        <w:br/>
        <w:t>3.6. Red-team i ewaluacja</w:t>
        <w:br/>
        <w:t>3.7. Prezydent i BBN</w:t>
        <w:br/>
      </w:r>
      <w:r>
        <w:br/>
      </w:r>
    </w:p>
    <w:p>
      <w:pPr>
        <w:pStyle w:val="ListBullet"/>
      </w:pPr>
      <w:r>
        <w:t>4. Funkcjonalny RACI</w:t>
      </w:r>
    </w:p>
    <w:p>
      <w:pPr>
        <w:pStyle w:val="ListBullet"/>
      </w:pPr>
      <w:r>
        <w:t>5. Architektura dokumentów</w:t>
      </w:r>
      <w:r>
        <w:br/>
        <w:t>5.1. Dlaczego wiele dokumentów</w:t>
        <w:br/>
        <w:t>5.2. Wersjonowanie</w:t>
        <w:br/>
      </w:r>
      <w:r>
        <w:br/>
      </w:r>
    </w:p>
    <w:p>
      <w:pPr>
        <w:pStyle w:val="ListBullet"/>
      </w:pPr>
      <w:r>
        <w:t>6. Drabina instrumentów</w:t>
      </w:r>
      <w:r>
        <w:br/>
        <w:t>Zasada modularności</w:t>
        <w:br/>
      </w:r>
      <w:r>
        <w:br/>
      </w:r>
    </w:p>
    <w:p>
      <w:pPr>
        <w:pStyle w:val="ListBullet"/>
      </w:pPr>
      <w:r>
        <w:t>7. Proces przygotowania strategii</w:t>
      </w:r>
      <w:r>
        <w:br/>
        <w:t>Bramka L0 — mandat</w:t>
        <w:br/>
        <w:t>Bramka L1 — diagnoza i opcje</w:t>
        <w:br/>
        <w:t>Bramka L2 — konsultacje i ocena</w:t>
        <w:br/>
        <w:t>Bramka L3 — decyzja RM</w:t>
        <w:br/>
        <w:t>Bramka L4 — wykonanie i aktualizacja</w:t>
        <w:br/>
      </w:r>
      <w:r>
        <w:br/>
      </w:r>
    </w:p>
    <w:p>
      <w:pPr>
        <w:pStyle w:val="ListBullet"/>
      </w:pPr>
      <w:r>
        <w:t>8. Zamówienia iteracyjne</w:t>
      </w:r>
      <w:r>
        <w:br/>
        <w:t>8.1. Siedem etapów</w:t>
        <w:br/>
        <w:t>8.2. Minimalne elementy kontraktu etapowego</w:t>
        <w:br/>
        <w:t>8.3. Mała partia</w:t>
        <w:br/>
      </w:r>
      <w:r>
        <w:br/>
      </w:r>
    </w:p>
    <w:p>
      <w:pPr>
        <w:pStyle w:val="ListBullet"/>
      </w:pPr>
      <w:r>
        <w:t>9. IP, dokumentacja i ciągłość</w:t>
      </w:r>
      <w:r>
        <w:br/>
        <w:t>9.1. Macierz praw</w:t>
        <w:br/>
        <w:t>9.2. Depozyt</w:t>
        <w:br/>
        <w:t>9.3. Produkcja awaryjna</w:t>
        <w:br/>
      </w:r>
      <w:r>
        <w:br/>
      </w:r>
    </w:p>
    <w:p>
      <w:pPr>
        <w:pStyle w:val="ListBullet"/>
      </w:pPr>
      <w:r>
        <w:t>10. Partnerstwa i joint ventures</w:t>
      </w:r>
      <w:r>
        <w:br/>
        <w:t>Due diligence przed decyzją</w:t>
        <w:br/>
        <w:t>Warunki stop</w:t>
        <w:br/>
      </w:r>
      <w:r>
        <w:br/>
      </w:r>
    </w:p>
    <w:p>
      <w:pPr>
        <w:pStyle w:val="ListBullet"/>
      </w:pPr>
      <w:r>
        <w:t>11. Dane, AI, cyber i informacje chronione</w:t>
      </w:r>
      <w:r>
        <w:br/>
        <w:t>11.1. Właściciel danych</w:t>
        <w:br/>
        <w:t>11.2. Governance AI</w:t>
        <w:br/>
        <w:t>11.3. Cyber</w:t>
        <w:br/>
        <w:t>11.4. Informacje niejawne i wrażliwe</w:t>
        <w:br/>
      </w:r>
      <w:r>
        <w:br/>
      </w:r>
    </w:p>
    <w:p>
      <w:pPr>
        <w:pStyle w:val="ListBullet"/>
      </w:pPr>
      <w:r>
        <w:t>12. Konflikty interesów i transparentność</w:t>
      </w:r>
      <w:r>
        <w:br/>
        <w:t>Minimalny rejestr</w:t>
        <w:br/>
        <w:t>Rozdzielenie funkcji</w:t>
        <w:br/>
        <w:t>Jawność</w:t>
        <w:br/>
      </w:r>
      <w:r>
        <w:br/>
      </w:r>
    </w:p>
    <w:p>
      <w:pPr>
        <w:pStyle w:val="ListBullet"/>
      </w:pPr>
      <w:r>
        <w:t>13. Pierwsze 100 dni</w:t>
      </w:r>
      <w:r>
        <w:br/>
        <w:t>D0–D30</w:t>
        <w:br/>
        <w:t>D31–D60</w:t>
        <w:br/>
        <w:t>D61–D100</w:t>
        <w:br/>
      </w:r>
      <w:r>
        <w:br/>
      </w:r>
    </w:p>
    <w:p>
      <w:pPr>
        <w:pStyle w:val="ListBullet"/>
      </w:pPr>
      <w:r>
        <w:t>14. Warunki rozważenia nowego pełnomocnika lub ustawy</w:t>
      </w:r>
      <w:r>
        <w:br/>
        <w:t>Nowy pełnomocnik</w:t>
        <w:br/>
        <w:t>Ustawa</w:t>
        <w:br/>
      </w:r>
      <w:r>
        <w:br/>
      </w:r>
    </w:p>
    <w:p>
      <w:pPr>
        <w:pStyle w:val="ListBullet"/>
      </w:pPr>
      <w:r>
        <w:t>15. Zarys nieoficjalnej uchwały kierunkowej</w:t>
      </w:r>
    </w:p>
    <w:p>
      <w:pPr>
        <w:pStyle w:val="ListBullet"/>
      </w:pPr>
      <w:r>
        <w:t>16. Pass/fail przed przedłożeniem Radzie Ministrów</w:t>
      </w:r>
    </w:p>
    <w:p>
      <w:pPr>
        <w:pStyle w:val="ListBullet"/>
      </w:pPr>
      <w:r>
        <w:t>Dalsze pytania</w:t>
      </w:r>
    </w:p>
    <w:p>
      <w:pPr>
        <w:pStyle w:val="ListBullet"/>
      </w:pPr>
      <w:r>
        <w:t>Zastrzeżenia i założenia</w:t>
      </w:r>
    </w:p>
    <w:p>
      <w:pPr>
        <w:pStyle w:val="ListBullet"/>
      </w:pPr>
      <w:r>
        <w:t>Odpowiedź</w:t>
      </w:r>
    </w:p>
    <w:p>
      <w:pPr>
        <w:pStyle w:val="ListBullet"/>
      </w:pPr>
      <w:r>
        <w:t>Najważniejsze rozstrzygnięcia</w:t>
      </w:r>
    </w:p>
    <w:p>
      <w:pPr>
        <w:pStyle w:val="ListBullet"/>
      </w:pPr>
      <w:r>
        <w:t>Kandydaty decyzji na pierwsze 30 dni</w:t>
      </w:r>
    </w:p>
    <w:p>
      <w:pPr>
        <w:pStyle w:val="ListBullet"/>
      </w:pPr>
      <w:r>
        <w:t>1.1. Legalność przed nazwą</w:t>
      </w:r>
    </w:p>
    <w:p>
      <w:pPr>
        <w:pStyle w:val="ListBullet"/>
      </w:pPr>
      <w:r>
        <w:t>1.2. Jeden rezultat — jeden rozliczalny właściciel</w:t>
      </w:r>
    </w:p>
    <w:p>
      <w:pPr>
        <w:pStyle w:val="ListBullet"/>
      </w:pPr>
      <w:r>
        <w:t>1.3. Subsydiarność i proporcjonalność</w:t>
      </w:r>
    </w:p>
    <w:p>
      <w:pPr>
        <w:pStyle w:val="ListBullet"/>
      </w:pPr>
      <w:r>
        <w:t>1.4. Odwracalność</w:t>
      </w:r>
    </w:p>
    <w:p>
      <w:pPr>
        <w:pStyle w:val="ListBullet"/>
      </w:pPr>
      <w:r>
        <w:t>Rekomendacja</w:t>
      </w:r>
    </w:p>
    <w:p>
      <w:pPr>
        <w:pStyle w:val="ListBullet"/>
      </w:pPr>
      <w:r>
        <w:t>3.1. Rada Ministrów i Prezes Rady Ministrów</w:t>
      </w:r>
    </w:p>
    <w:p>
      <w:pPr>
        <w:pStyle w:val="ListBullet"/>
      </w:pPr>
      <w:r>
        <w:t>3.2. Właściwy minister</w:t>
      </w:r>
    </w:p>
    <w:p>
      <w:pPr>
        <w:pStyle w:val="ListBullet"/>
      </w:pPr>
      <w:r>
        <w:t>3.3. Integrator realizacji przy KPRM</w:t>
      </w:r>
    </w:p>
    <w:p>
      <w:pPr>
        <w:pStyle w:val="ListBullet"/>
      </w:pPr>
      <w:r>
        <w:t>3.4. Ministrowie sektorowi i właściciele programów</w:t>
      </w:r>
    </w:p>
    <w:p>
      <w:pPr>
        <w:pStyle w:val="ListBullet"/>
      </w:pPr>
      <w:r>
        <w:t>3.5. Rada użytkowników</w:t>
      </w:r>
    </w:p>
    <w:p>
      <w:pPr>
        <w:pStyle w:val="ListBullet"/>
      </w:pPr>
      <w:r>
        <w:t>3.6. Red-team i ewaluacja</w:t>
      </w:r>
    </w:p>
    <w:p>
      <w:pPr>
        <w:pStyle w:val="ListBullet"/>
      </w:pPr>
      <w:r>
        <w:t>3.7. Prezydent i BBN</w:t>
      </w:r>
    </w:p>
    <w:p>
      <w:pPr>
        <w:pStyle w:val="ListBullet"/>
      </w:pPr>
      <w:r>
        <w:t>5.1. Dlaczego wiele dokumentów</w:t>
      </w:r>
    </w:p>
    <w:p>
      <w:pPr>
        <w:pStyle w:val="ListBullet"/>
      </w:pPr>
      <w:r>
        <w:t>5.2. Wersjonowanie</w:t>
      </w:r>
    </w:p>
    <w:p>
      <w:pPr>
        <w:pStyle w:val="ListBullet"/>
      </w:pPr>
      <w:r>
        <w:t>Zasada modularności</w:t>
      </w:r>
    </w:p>
    <w:p>
      <w:pPr>
        <w:pStyle w:val="ListBullet"/>
      </w:pPr>
      <w:r>
        <w:t>Bramka L0 — mandat</w:t>
      </w:r>
    </w:p>
    <w:p>
      <w:pPr>
        <w:pStyle w:val="ListBullet"/>
      </w:pPr>
      <w:r>
        <w:t>Bramka L1 — diagnoza i opcje</w:t>
      </w:r>
    </w:p>
    <w:p>
      <w:pPr>
        <w:pStyle w:val="ListBullet"/>
      </w:pPr>
      <w:r>
        <w:t>Bramka L2 — konsultacje i ocena</w:t>
      </w:r>
    </w:p>
    <w:p>
      <w:pPr>
        <w:pStyle w:val="ListBullet"/>
      </w:pPr>
      <w:r>
        <w:t>Bramka L3 — decyzja RM</w:t>
      </w:r>
    </w:p>
    <w:p>
      <w:pPr>
        <w:pStyle w:val="ListBullet"/>
      </w:pPr>
      <w:r>
        <w:t>Bramka L4 — wykonanie i aktualizacja</w:t>
      </w:r>
    </w:p>
    <w:p>
      <w:pPr>
        <w:pStyle w:val="ListBullet"/>
      </w:pPr>
      <w:r>
        <w:t>8.1. Siedem etapów</w:t>
      </w:r>
    </w:p>
    <w:p>
      <w:pPr>
        <w:pStyle w:val="ListBullet"/>
      </w:pPr>
      <w:r>
        <w:t>8.2. Minimalne elementy kontraktu etapowego</w:t>
      </w:r>
    </w:p>
    <w:p>
      <w:pPr>
        <w:pStyle w:val="ListBullet"/>
      </w:pPr>
      <w:r>
        <w:t>8.3. Mała partia</w:t>
      </w:r>
    </w:p>
    <w:p>
      <w:pPr>
        <w:pStyle w:val="ListBullet"/>
      </w:pPr>
      <w:r>
        <w:t>9.1. Macierz praw</w:t>
      </w:r>
    </w:p>
    <w:p>
      <w:pPr>
        <w:pStyle w:val="ListBullet"/>
      </w:pPr>
      <w:r>
        <w:t>9.2. Depozyt</w:t>
      </w:r>
    </w:p>
    <w:p>
      <w:pPr>
        <w:pStyle w:val="ListBullet"/>
      </w:pPr>
      <w:r>
        <w:t>9.3. Produkcja awaryjna</w:t>
      </w:r>
    </w:p>
    <w:p>
      <w:pPr>
        <w:pStyle w:val="ListBullet"/>
      </w:pPr>
      <w:r>
        <w:t>Due diligence przed decyzją</w:t>
      </w:r>
    </w:p>
    <w:p>
      <w:pPr>
        <w:pStyle w:val="ListBullet"/>
      </w:pPr>
      <w:r>
        <w:t>Warunki stop</w:t>
      </w:r>
    </w:p>
    <w:p>
      <w:pPr>
        <w:pStyle w:val="ListBullet"/>
      </w:pPr>
      <w:r>
        <w:t>11.1. Właściciel danych</w:t>
      </w:r>
    </w:p>
    <w:p>
      <w:pPr>
        <w:pStyle w:val="ListBullet"/>
      </w:pPr>
      <w:r>
        <w:t>11.2. Governance AI</w:t>
      </w:r>
    </w:p>
    <w:p>
      <w:pPr>
        <w:pStyle w:val="ListBullet"/>
      </w:pPr>
      <w:r>
        <w:t>11.3. Cyber</w:t>
      </w:r>
    </w:p>
    <w:p>
      <w:pPr>
        <w:pStyle w:val="ListBullet"/>
      </w:pPr>
      <w:r>
        <w:t>11.4. Informacje niejawne i wrażliwe</w:t>
      </w:r>
    </w:p>
    <w:p>
      <w:pPr>
        <w:pStyle w:val="ListBullet"/>
      </w:pPr>
      <w:r>
        <w:t>Minimalny rejestr</w:t>
      </w:r>
    </w:p>
    <w:p>
      <w:pPr>
        <w:pStyle w:val="ListBullet"/>
      </w:pPr>
      <w:r>
        <w:t>Rozdzielenie funkcji</w:t>
      </w:r>
    </w:p>
    <w:p>
      <w:pPr>
        <w:pStyle w:val="ListBullet"/>
      </w:pPr>
      <w:r>
        <w:t>Jawność</w:t>
      </w:r>
    </w:p>
    <w:p>
      <w:pPr>
        <w:pStyle w:val="ListBullet"/>
      </w:pPr>
      <w:r>
        <w:t>D0–D30</w:t>
      </w:r>
    </w:p>
    <w:p>
      <w:pPr>
        <w:pStyle w:val="ListBullet"/>
      </w:pPr>
      <w:r>
        <w:t>D31–D60</w:t>
      </w:r>
    </w:p>
    <w:p>
      <w:pPr>
        <w:pStyle w:val="ListBullet"/>
      </w:pPr>
      <w:r>
        <w:t>D61–D100</w:t>
      </w:r>
    </w:p>
    <w:p>
      <w:pPr>
        <w:pStyle w:val="ListBullet"/>
      </w:pPr>
      <w:r>
        <w:t>Nowy pełnomocnik</w:t>
      </w:r>
    </w:p>
    <w:p>
      <w:pPr>
        <w:pStyle w:val="ListBullet"/>
      </w:pPr>
      <w:r>
        <w:t>Ustawa</w:t>
      </w:r>
    </w:p>
    <w:p>
      <w:pPr>
        <w:pStyle w:val="Heading2"/>
      </w:pPr>
      <w:r>
        <w:t>1. Zasady ustrojowe i projektowe</w:t>
      </w:r>
    </w:p>
    <w:p>
      <w:pPr>
        <w:pStyle w:val="Heading3"/>
      </w:pPr>
      <w:r>
        <w:t>1.1. Legalność przed nazwą</w:t>
      </w:r>
    </w:p>
    <w:p>
      <w:r>
        <w:t>Nazwa „narodowy program”, „strategia państwa”, „pełnomocnik” lub „agencja” nie tworzy kompetencji. Dla każdego działania należy wskazać:</w:t>
      </w:r>
    </w:p>
    <w:p>
      <w:pPr>
        <w:pStyle w:val="ListBullet"/>
      </w:pPr>
      <w:r>
        <w:t>organ właściwy;</w:t>
      </w:r>
    </w:p>
    <w:p>
      <w:pPr>
        <w:pStyle w:val="ListBullet"/>
      </w:pPr>
      <w:r>
        <w:t>podstawę i rodzaj instrumentu;</w:t>
      </w:r>
    </w:p>
    <w:p>
      <w:pPr>
        <w:pStyle w:val="ListBullet"/>
      </w:pPr>
      <w:r>
        <w:t>adresata wewnętrznego lub zewnętrznego;</w:t>
      </w:r>
    </w:p>
    <w:p>
      <w:pPr>
        <w:pStyle w:val="ListBullet"/>
      </w:pPr>
      <w:r>
        <w:t>źródło finansowania;</w:t>
      </w:r>
    </w:p>
    <w:p>
      <w:pPr>
        <w:pStyle w:val="ListBullet"/>
      </w:pPr>
      <w:r>
        <w:t>tryb konsultacji i uzgodnień;</w:t>
      </w:r>
    </w:p>
    <w:p>
      <w:pPr>
        <w:pStyle w:val="ListBullet"/>
      </w:pPr>
      <w:r>
        <w:t>wymagania danych, cyber i bezpieczeństwa informacji;</w:t>
      </w:r>
    </w:p>
    <w:p>
      <w:pPr>
        <w:pStyle w:val="ListBullet"/>
      </w:pPr>
      <w:r>
        <w:t>sposób kontroli i odwołania;</w:t>
      </w:r>
    </w:p>
    <w:p>
      <w:pPr>
        <w:pStyle w:val="ListBullet"/>
      </w:pPr>
      <w:r>
        <w:t>termin ponownej oceny.</w:t>
      </w:r>
    </w:p>
    <w:p>
      <w:r>
        <w:t>Art. 93 Konstytucji określa uchwały Rady Ministrów jako akty wewnętrzne, wiążące jednostki organizacyjnie podległe organowi wydającemu, i wyklucza użycie ich jako podstawy decyzji wobec obywateli, osób prawnych oraz innych podmiotów (</w:t>
      </w:r>
      <w:r>
        <w:t>Konstytucja RP</w:t>
      </w:r>
      <w:r>
        <w:t xml:space="preserve">, </w:t>
      </w:r>
      <w:r>
        <w:rPr>
          <w:b/>
        </w:rPr>
        <w:t>CLM-0901</w:t>
      </w:r>
      <w:r>
        <w:t>). Jeżeli działanie tworzy prawa lub obowiązki podmiotów zewnętrznych, nie może zatem opierać się wyłącznie na dokumencie kierownictwa wewnętrznego. Jeżeli działanie mieści się w istniejącej kompetencji i umowie, nowa ustawa może jedynie opóźnić wynik.</w:t>
      </w:r>
    </w:p>
    <w:p>
      <w:pPr>
        <w:pStyle w:val="Heading3"/>
      </w:pPr>
      <w:r>
        <w:t>1.2. Jeden rezultat — jeden rozliczalny właściciel</w:t>
      </w:r>
    </w:p>
    <w:p>
      <w:r>
        <w:t xml:space="preserve">Współpraca międzyresortowa nie oznacza wspólnego </w:t>
      </w:r>
      <w:r>
        <w:t>A</w:t>
      </w:r>
      <w:r>
        <w:t xml:space="preserve"> w RACI. Produkt należy rozbić tak, aby każdy etap miał jeden organ zatwierdzający i określoną sekwencję konsultacji. Integrator KPRM odpowiada za obraz portfela i eskalację; nie staje się właścicielem wszystkich danych, zakupów, regulacji i programów.</w:t>
      </w:r>
    </w:p>
    <w:p>
      <w:pPr>
        <w:pStyle w:val="Heading3"/>
      </w:pPr>
      <w:r>
        <w:t>1.3. Subsydiarność i proporcjonalność</w:t>
      </w:r>
    </w:p>
    <w:p>
      <w:r>
        <w:t>Decyzje powinny być podejmowane na najniższym poziomie, który ma kompetencję, dane i budżet. Centrum rządu interweniuje, gdy problem obejmuje kilka resortów, przekracza tolerancję portfela albo wymaga rozstrzygnięcia. Reżim bezpieczeństwa, zakres danych i obowiązki dostawcy są proporcjonalne do ryzyka.</w:t>
      </w:r>
    </w:p>
    <w:p>
      <w:pPr>
        <w:pStyle w:val="Heading3"/>
      </w:pPr>
      <w:r>
        <w:t>1.4. Odwracalność</w:t>
      </w:r>
    </w:p>
    <w:p>
      <w:r>
        <w:t>Pierwsze działania powinny być odwracalne: karta portfela, audyt, pilotaż danych, test, wzór kontraktu i mała partia. Trudno odwracalne działania — budowa dużych mocy, nowa instytucja, gwarancje wieloletnie, przekazanie IP — wymagają wyższej bramki i niezależnej opinii.</w:t>
      </w:r>
    </w:p>
    <w:p>
      <w:pPr>
        <w:pStyle w:val="Heading2"/>
      </w:pPr>
      <w:r>
        <w:t>2. Warianty instytucjonalne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r>
              <w:t>Wariant</w:t>
            </w:r>
          </w:p>
        </w:tc>
        <w:tc>
          <w:tcPr>
            <w:tcW w:type="dxa" w:w="1920"/>
          </w:tcPr>
          <w:p>
            <w:r>
              <w:t>Konstrukcja</w:t>
            </w:r>
          </w:p>
        </w:tc>
        <w:tc>
          <w:tcPr>
            <w:tcW w:type="dxa" w:w="1920"/>
          </w:tcPr>
          <w:p>
            <w:r>
              <w:t>Zaleta</w:t>
            </w:r>
          </w:p>
        </w:tc>
        <w:tc>
          <w:tcPr>
            <w:tcW w:type="dxa" w:w="1920"/>
          </w:tcPr>
          <w:p>
            <w:r>
              <w:t>Główne ryzyko</w:t>
            </w:r>
          </w:p>
        </w:tc>
        <w:tc>
          <w:tcPr>
            <w:tcW w:type="dxa" w:w="1920"/>
          </w:tcPr>
          <w:p>
            <w:r>
              <w:t>Warunek zastosowania</w:t>
            </w:r>
          </w:p>
        </w:tc>
      </w:tr>
      <w:tr>
        <w:tc>
          <w:tcPr>
            <w:tcW w:type="dxa" w:w="1920"/>
          </w:tcPr>
          <w:p>
            <w:r>
              <w:t>0 — rozproszenie</w:t>
            </w:r>
          </w:p>
        </w:tc>
        <w:tc>
          <w:tcPr>
            <w:tcW w:type="dxa" w:w="1920"/>
          </w:tcPr>
          <w:p>
            <w:r>
              <w:t>każdy resort działa osobno</w:t>
            </w:r>
          </w:p>
        </w:tc>
        <w:tc>
          <w:tcPr>
            <w:tcW w:type="dxa" w:w="1920"/>
          </w:tcPr>
          <w:p>
            <w:r>
              <w:t>brak kosztu reorganizacji</w:t>
            </w:r>
          </w:p>
        </w:tc>
        <w:tc>
          <w:tcPr>
            <w:tcW w:type="dxa" w:w="1920"/>
          </w:tcPr>
          <w:p>
            <w:r>
              <w:t>brak wspólnego obrazu i odpowiedzialności</w:t>
            </w:r>
          </w:p>
        </w:tc>
        <w:tc>
          <w:tcPr>
            <w:tcW w:type="dxa" w:w="1920"/>
          </w:tcPr>
          <w:p>
            <w:r>
              <w:t>odrzucić jako model docelowy</w:t>
            </w:r>
          </w:p>
        </w:tc>
      </w:tr>
      <w:tr>
        <w:tc>
          <w:tcPr>
            <w:tcW w:type="dxa" w:w="1920"/>
          </w:tcPr>
          <w:p>
            <w:r>
              <w:t>1 — koordynacja minimalna</w:t>
            </w:r>
          </w:p>
        </w:tc>
        <w:tc>
          <w:tcPr>
            <w:tcW w:type="dxa" w:w="1920"/>
          </w:tcPr>
          <w:p>
            <w:r>
              <w:t>wspólny priorytet, rejestr i rytm KPRM</w:t>
            </w:r>
          </w:p>
        </w:tc>
        <w:tc>
          <w:tcPr>
            <w:tcW w:type="dxa" w:w="1920"/>
          </w:tcPr>
          <w:p>
            <w:r>
              <w:t>szybki start i wysoka odwracalność</w:t>
            </w:r>
          </w:p>
        </w:tc>
        <w:tc>
          <w:tcPr>
            <w:tcW w:type="dxa" w:w="1920"/>
          </w:tcPr>
          <w:p>
            <w:r>
              <w:t>ograniczony mandat i pojemność</w:t>
            </w:r>
          </w:p>
        </w:tc>
        <w:tc>
          <w:tcPr>
            <w:tcW w:type="dxa" w:w="1920"/>
          </w:tcPr>
          <w:p>
            <w:r>
              <w:t>użyć w pierwszych 30 dniach</w:t>
            </w:r>
          </w:p>
        </w:tc>
      </w:tr>
      <w:tr>
        <w:tc>
          <w:tcPr>
            <w:tcW w:type="dxa" w:w="1920"/>
          </w:tcPr>
          <w:p>
            <w:r>
              <w:t>2 — portfel rekomendowany</w:t>
            </w:r>
          </w:p>
        </w:tc>
        <w:tc>
          <w:tcPr>
            <w:tcW w:type="dxa" w:w="1920"/>
          </w:tcPr>
          <w:p>
            <w:r>
              <w:t>właściwy minister + funkcja realizacyjna KPRM + programy resortowe + red-team</w:t>
            </w:r>
          </w:p>
        </w:tc>
        <w:tc>
          <w:tcPr>
            <w:tcW w:type="dxa" w:w="1920"/>
          </w:tcPr>
          <w:p>
            <w:r>
              <w:t>integracja bez nowej megastruktury</w:t>
            </w:r>
          </w:p>
        </w:tc>
        <w:tc>
          <w:tcPr>
            <w:tcW w:type="dxa" w:w="1920"/>
          </w:tcPr>
          <w:p>
            <w:r>
              <w:t>wymaga dyscypliny i rozstrzygnięć</w:t>
            </w:r>
          </w:p>
        </w:tc>
        <w:tc>
          <w:tcPr>
            <w:tcW w:type="dxa" w:w="1920"/>
          </w:tcPr>
          <w:p>
            <w:r>
              <w:t>wariant bazowy</w:t>
            </w:r>
          </w:p>
        </w:tc>
      </w:tr>
      <w:tr>
        <w:tc>
          <w:tcPr>
            <w:tcW w:type="dxa" w:w="1920"/>
          </w:tcPr>
          <w:p>
            <w:r>
              <w:t>3 — nowy pełnomocnik</w:t>
            </w:r>
          </w:p>
        </w:tc>
        <w:tc>
          <w:tcPr>
            <w:tcW w:type="dxa" w:w="1920"/>
          </w:tcPr>
          <w:p>
            <w:r>
              <w:t>odrębny pełnomocnik i sekretariat</w:t>
            </w:r>
          </w:p>
        </w:tc>
        <w:tc>
          <w:tcPr>
            <w:tcW w:type="dxa" w:w="1920"/>
          </w:tcPr>
          <w:p>
            <w:r>
              <w:t>silny punkt kontaktu</w:t>
            </w:r>
          </w:p>
        </w:tc>
        <w:tc>
          <w:tcPr>
            <w:tcW w:type="dxa" w:w="1920"/>
          </w:tcPr>
          <w:p>
            <w:r>
              <w:t>dublowanie, pozorna władza, konflikt kompetencji</w:t>
            </w:r>
          </w:p>
        </w:tc>
        <w:tc>
          <w:tcPr>
            <w:tcW w:type="dxa" w:w="1920"/>
          </w:tcPr>
          <w:p>
            <w:r>
              <w:t>po dwóch kwartałach dowodu niewydolności</w:t>
            </w:r>
          </w:p>
        </w:tc>
      </w:tr>
      <w:tr>
        <w:tc>
          <w:tcPr>
            <w:tcW w:type="dxa" w:w="1920"/>
          </w:tcPr>
          <w:p>
            <w:r>
              <w:t>4 — nowa agencja/ustawa omnibus</w:t>
            </w:r>
          </w:p>
        </w:tc>
        <w:tc>
          <w:tcPr>
            <w:tcW w:type="dxa" w:w="1920"/>
          </w:tcPr>
          <w:p>
            <w:r>
              <w:t>osobny podmiot, budżet i szeroka regulacja</w:t>
            </w:r>
          </w:p>
        </w:tc>
        <w:tc>
          <w:tcPr>
            <w:tcW w:type="dxa" w:w="1920"/>
          </w:tcPr>
          <w:p>
            <w:r>
              <w:t>trwałość i skupienie zasobów</w:t>
            </w:r>
          </w:p>
        </w:tc>
        <w:tc>
          <w:tcPr>
            <w:tcW w:type="dxa" w:w="1920"/>
          </w:tcPr>
          <w:p>
            <w:r>
              <w:t>długi czas, przechwycenie i zła blokada technologiczna</w:t>
            </w:r>
          </w:p>
        </w:tc>
        <w:tc>
          <w:tcPr>
            <w:tcW w:type="dxa" w:w="1920"/>
          </w:tcPr>
          <w:p>
            <w:r>
              <w:t>tylko po ocenie wariantów i OSR</w:t>
            </w:r>
          </w:p>
        </w:tc>
      </w:tr>
    </w:tbl>
    <w:p>
      <w:pPr>
        <w:pStyle w:val="Heading3"/>
      </w:pPr>
      <w:r>
        <w:t>Rekomendacja</w:t>
      </w:r>
    </w:p>
    <w:p>
      <w:r>
        <w:t>Uruchomić wariant 2 przez wykorzystanie istniejących funkcji i formalne doprecyzowanie ról. Wariant 3 pozostawić jako opcję. Wariant 4 może dotyczyć wąskiej, wykazanej luki, lecz nie powinien być domyślną architekturą całego programu.</w:t>
      </w:r>
    </w:p>
    <w:p>
      <w:pPr>
        <w:pStyle w:val="Heading2"/>
      </w:pPr>
      <w:r>
        <w:t>3. Proponowany model governance</w:t>
      </w:r>
    </w:p>
    <w:p>
      <w:pPr>
        <w:pStyle w:val="Heading3"/>
      </w:pPr>
      <w:r>
        <w:t>3.1. Rada Ministrów i Prezes Rady Ministrów</w:t>
      </w:r>
    </w:p>
    <w:p>
      <w:r>
        <w:t>Odpowiadają za mandat, priorytety, ramy finansowe, rozstrzygnięcie konfliktów oraz przyjęcie dokumentów w odpowiednim trybie. Otrzymują krótki pakiet decyzji: problem, opcje, dowody, koszt, ryzyko, zdanie odrębne i skutek braku decyzji.</w:t>
      </w:r>
    </w:p>
    <w:p>
      <w:pPr>
        <w:pStyle w:val="Heading3"/>
      </w:pPr>
      <w:r>
        <w:t>3.2. Właściwy minister</w:t>
      </w:r>
    </w:p>
    <w:p>
      <w:r>
        <w:t>Powinien zostać formalnie wskazany po mapie kompetencji. Odpowiada za projekt strategii, diagnozę, ewaluację ex ante, konsultacje, uzgodnienia, kwalifikację środowiskową, przedłożenie i aktualizację. Horyzontalny charakter programu nie zwalnia z jednoznacznej właściwości.</w:t>
      </w:r>
    </w:p>
    <w:p>
      <w:pPr>
        <w:pStyle w:val="Heading3"/>
      </w:pPr>
      <w:r>
        <w:t>3.3. Integrator realizacji przy KPRM</w:t>
      </w:r>
    </w:p>
    <w:p>
      <w:r>
        <w:t>Utrzymuje:</w:t>
      </w:r>
    </w:p>
    <w:p>
      <w:pPr>
        <w:pStyle w:val="ListBullet"/>
      </w:pPr>
      <w:r>
        <w:t>wspólną kartę programu;</w:t>
      </w:r>
    </w:p>
    <w:p>
      <w:pPr>
        <w:pStyle w:val="ListBullet"/>
      </w:pPr>
      <w:r>
        <w:t>rejestr projektów, kamieni milowych i decyzji;</w:t>
      </w:r>
    </w:p>
    <w:p>
      <w:pPr>
        <w:pStyle w:val="ListBullet"/>
      </w:pPr>
      <w:r>
        <w:t>rejestr ryzyk, zależności i konfliktów interesów;</w:t>
      </w:r>
    </w:p>
    <w:p>
      <w:pPr>
        <w:pStyle w:val="ListBullet"/>
      </w:pPr>
      <w:r>
        <w:t>kontrakt metryk i jakości danych;</w:t>
      </w:r>
    </w:p>
    <w:p>
      <w:pPr>
        <w:pStyle w:val="ListBullet"/>
      </w:pPr>
      <w:r>
        <w:t>przegląd wyjątków oraz eskalacje;</w:t>
      </w:r>
    </w:p>
    <w:p>
      <w:pPr>
        <w:pStyle w:val="ListBullet"/>
      </w:pPr>
      <w:r>
        <w:t>publiczny i zarządczy dashboard;</w:t>
      </w:r>
    </w:p>
    <w:p>
      <w:pPr>
        <w:pStyle w:val="ListBullet"/>
      </w:pPr>
      <w:r>
        <w:t>historię decyzji „skaluj–zmień–zamknij”.</w:t>
      </w:r>
    </w:p>
    <w:p>
      <w:r>
        <w:t>Integrator nie odbiera technicznie systemu, nie klasyfikuje informacji za właściciela, nie zawiera każdego kontraktu i nie ocenia sam jakości własnego dashboardu.</w:t>
      </w:r>
    </w:p>
    <w:p>
      <w:pPr>
        <w:pStyle w:val="Heading3"/>
      </w:pPr>
      <w:r>
        <w:t>3.4. Ministrowie sektorowi i właściciele programów</w:t>
      </w:r>
    </w:p>
    <w:p>
      <w:r>
        <w:t>Odpowiadają za rezultaty w swoich kompetencjach: potrzeby, zakupy, dane, edukację, przemysł, finanse, prawo, partnerstwa i zastosowania cywilne. Każdy wyznacza jednego dyrektora rezultatu, nie tylko punkt kontaktowy bez uprawnień.</w:t>
      </w:r>
    </w:p>
    <w:p>
      <w:pPr>
        <w:pStyle w:val="Heading3"/>
      </w:pPr>
      <w:r>
        <w:t>3.5. Rada użytkowników</w:t>
      </w:r>
    </w:p>
    <w:p>
      <w:r>
        <w:t>Składa się z przedstawicieli instytucji używających lub utrzymujących rozwiązania. Formułuje problemy, zatwierdza protokoły użyteczności i dostarcza informację zwrotną. Nie wybiera wykonawcy poza właściwą procedurą i nie ujawnia danych chronionych w forum publicznym.</w:t>
      </w:r>
    </w:p>
    <w:p>
      <w:pPr>
        <w:pStyle w:val="Heading3"/>
      </w:pPr>
      <w:r>
        <w:t>3.6. Red-team i ewaluacja</w:t>
      </w:r>
    </w:p>
    <w:p>
      <w:r>
        <w:t>Funkcja niezależna od autora projektu i beneficjenta finansowania. Ma prawo:</w:t>
      </w:r>
    </w:p>
    <w:p>
      <w:pPr>
        <w:pStyle w:val="ListBullet"/>
      </w:pPr>
      <w:r>
        <w:t>żądać podstawy twierdzenia;</w:t>
      </w:r>
    </w:p>
    <w:p>
      <w:pPr>
        <w:pStyle w:val="ListBullet"/>
      </w:pPr>
      <w:r>
        <w:t>sprawdzić kontrfaktyczny wariant;</w:t>
      </w:r>
    </w:p>
    <w:p>
      <w:pPr>
        <w:pStyle w:val="ListBullet"/>
      </w:pPr>
      <w:r>
        <w:t>kwestionować metrykę i konflikt interesów;</w:t>
      </w:r>
    </w:p>
    <w:p>
      <w:pPr>
        <w:pStyle w:val="ListBullet"/>
      </w:pPr>
      <w:r>
        <w:t>rekomendować wstrzymanie bramki;</w:t>
      </w:r>
    </w:p>
    <w:p>
      <w:pPr>
        <w:pStyle w:val="ListBullet"/>
      </w:pPr>
      <w:r>
        <w:t>zapisać zdanie odrębne;</w:t>
      </w:r>
    </w:p>
    <w:p>
      <w:pPr>
        <w:pStyle w:val="ListBullet"/>
      </w:pPr>
      <w:r>
        <w:t>ponownie otworzyć decyzję po nowym dowodzie.</w:t>
      </w:r>
    </w:p>
    <w:p>
      <w:r>
        <w:t>Nie ma prawa zastąpić organu politycznego w decyzji ryzyka.</w:t>
      </w:r>
    </w:p>
    <w:p>
      <w:pPr>
        <w:pStyle w:val="Heading3"/>
      </w:pPr>
      <w:r>
        <w:t>3.7. Prezydent i BBN</w:t>
      </w:r>
    </w:p>
    <w:p>
      <w:r>
        <w:t>Powinni otrzymywać roczny przegląd odporności, zgodności z bezpieczeństwem narodowym i interoperacyjnością sojuszniczą. Patronat może zwiększać ciągłość ponad kadencjami, ale nie powinien zacierać odpowiedzialności wykonawczej rządu ani procedur nabycia.</w:t>
      </w:r>
    </w:p>
    <w:p>
      <w:pPr>
        <w:pStyle w:val="Heading2"/>
      </w:pPr>
      <w:r>
        <w:t>4. Funkcjonalny RACI</w:t>
      </w:r>
    </w:p>
    <w:p>
      <w:r>
        <w:t xml:space="preserve">Legenda: </w:t>
      </w:r>
      <w:r>
        <w:t>A</w:t>
      </w:r>
      <w:r>
        <w:t xml:space="preserve"> — zatwierdza i odpowiada; </w:t>
      </w:r>
      <w:r>
        <w:t>R</w:t>
      </w:r>
      <w:r>
        <w:t xml:space="preserve"> — wykonuje; </w:t>
      </w:r>
      <w:r>
        <w:t>C</w:t>
      </w:r>
      <w:r>
        <w:t xml:space="preserve"> — konsultowany; </w:t>
      </w:r>
      <w:r>
        <w:t>I</w:t>
      </w:r>
      <w:r>
        <w:t xml:space="preserve"> — informowany.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t>Produkt</w:t>
            </w:r>
          </w:p>
        </w:tc>
        <w:tc>
          <w:tcPr>
            <w:tcW w:type="dxa" w:w="1200"/>
          </w:tcPr>
          <w:p>
            <w:r>
              <w:t>RM/PRM</w:t>
            </w:r>
          </w:p>
        </w:tc>
        <w:tc>
          <w:tcPr>
            <w:tcW w:type="dxa" w:w="1200"/>
          </w:tcPr>
          <w:p>
            <w:r>
              <w:t>właściwy minister</w:t>
            </w:r>
          </w:p>
        </w:tc>
        <w:tc>
          <w:tcPr>
            <w:tcW w:type="dxa" w:w="1200"/>
          </w:tcPr>
          <w:p>
            <w:r>
              <w:t>integrator KPRM</w:t>
            </w:r>
          </w:p>
        </w:tc>
        <w:tc>
          <w:tcPr>
            <w:tcW w:type="dxa" w:w="1200"/>
          </w:tcPr>
          <w:p>
            <w:r>
              <w:t>minister sektorowy</w:t>
            </w:r>
          </w:p>
        </w:tc>
        <w:tc>
          <w:tcPr>
            <w:tcW w:type="dxa" w:w="1200"/>
          </w:tcPr>
          <w:p>
            <w:r>
              <w:t>użytkownik / nabywca</w:t>
            </w:r>
          </w:p>
        </w:tc>
        <w:tc>
          <w:tcPr>
            <w:tcW w:type="dxa" w:w="1200"/>
          </w:tcPr>
          <w:p>
            <w:r>
              <w:t>finanse / prawo / bezpieczeństwo</w:t>
            </w:r>
          </w:p>
        </w:tc>
        <w:tc>
          <w:tcPr>
            <w:tcW w:type="dxa" w:w="1200"/>
          </w:tcPr>
          <w:p>
            <w:r>
              <w:t>red-team</w:t>
            </w:r>
          </w:p>
        </w:tc>
      </w:tr>
      <w:tr>
        <w:tc>
          <w:tcPr>
            <w:tcW w:type="dxa" w:w="1200"/>
          </w:tcPr>
          <w:p>
            <w:r>
              <w:t>mandat i granice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projekt strategii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portfel i dashboard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A/R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problem użytkownika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protokół testu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A/R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kontrakt pilotażowy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A/R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I</w:t>
            </w:r>
          </w:p>
        </w:tc>
      </w:tr>
      <w:tr>
        <w:tc>
          <w:tcPr>
            <w:tcW w:type="dxa" w:w="1200"/>
          </w:tcPr>
          <w:p>
            <w:r>
              <w:t>skala w zatwierdzonym mandacie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skala ponad próg portfela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ramy fiskalne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R/C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projekt instrumentu prawnego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A/R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R/C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raport roczny</w:t>
            </w:r>
          </w:p>
        </w:tc>
        <w:tc>
          <w:tcPr>
            <w:tcW w:type="dxa" w:w="1200"/>
          </w:tcPr>
          <w:p>
            <w:r>
              <w:t>I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  <w:tr>
        <w:tc>
          <w:tcPr>
            <w:tcW w:type="dxa" w:w="1200"/>
          </w:tcPr>
          <w:p>
            <w:r>
              <w:t>zamknięcie projektu</w:t>
            </w:r>
          </w:p>
        </w:tc>
        <w:tc>
          <w:tcPr>
            <w:tcW w:type="dxa" w:w="1200"/>
          </w:tcPr>
          <w:p>
            <w:r>
              <w:t>I/C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C</w:t>
            </w:r>
          </w:p>
        </w:tc>
        <w:tc>
          <w:tcPr>
            <w:tcW w:type="dxa" w:w="12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R</w:t>
            </w:r>
          </w:p>
        </w:tc>
        <w:tc>
          <w:tcPr>
            <w:tcW w:type="dxa" w:w="1200"/>
          </w:tcPr>
          <w:p>
            <w:r>
              <w:t>I/C</w:t>
            </w:r>
          </w:p>
        </w:tc>
        <w:tc>
          <w:tcPr>
            <w:tcW w:type="dxa" w:w="1200"/>
          </w:tcPr>
          <w:p>
            <w:r>
              <w:t>C</w:t>
            </w:r>
          </w:p>
        </w:tc>
      </w:tr>
    </w:tbl>
    <w:p>
      <w:r>
        <w:t xml:space="preserve">Tabela jest kontraktem funkcjonalnym i ma dokładnie jedno </w:t>
      </w:r>
      <w:r>
        <w:t>A</w:t>
      </w:r>
      <w:r>
        <w:t xml:space="preserve"> w każdym wierszu. Nie opisuje formalnego uchwalania aktu normatywnego ani konstytucyjnych kompetencji; przed użyciem każda pozycja musi zostać zmapowana do aktualnej właściwości, instrumentu i progu decyzji.</w:t>
      </w:r>
    </w:p>
    <w:p>
      <w:pPr>
        <w:pStyle w:val="Heading2"/>
      </w:pPr>
      <w:r>
        <w:t>5. Architektura dokumentów</w:t>
      </w:r>
    </w:p>
    <w:p>
      <w:pPr>
        <w:pStyle w:val="Heading3"/>
      </w:pPr>
      <w:r>
        <w:t>5.1. Dlaczego wiele dokumentów</w:t>
      </w:r>
    </w:p>
    <w:p>
      <w:r>
        <w:t>Odbiorcy podejmują inne decyzje. Dokument 40-stronicowy nie zastąpi noty dla Premiera, a prezentacja gospodarcza nie jest podstawą prawną. Rekomendowany pakiet:</w:t>
      </w:r>
    </w:p>
    <w:p>
      <w:pPr>
        <w:pStyle w:val="ListNumber"/>
      </w:pPr>
      <w:r>
        <w:rPr>
          <w:b/>
        </w:rPr>
        <w:t>strategia jawna</w:t>
      </w:r>
      <w:r>
        <w:t xml:space="preserve"> — problem, cele, filary, warianty, teoria zmiany i KPI;</w:t>
      </w:r>
    </w:p>
    <w:p>
      <w:pPr>
        <w:pStyle w:val="ListNumber"/>
      </w:pPr>
      <w:r>
        <w:rPr>
          <w:b/>
        </w:rPr>
        <w:t>plan realizacji</w:t>
      </w:r>
      <w:r>
        <w:t xml:space="preserve"> — właściciele, bramki, harmonogram i zależności;</w:t>
      </w:r>
    </w:p>
    <w:p>
      <w:pPr>
        <w:pStyle w:val="ListNumber"/>
      </w:pPr>
      <w:r>
        <w:rPr>
          <w:b/>
        </w:rPr>
        <w:t>finansowanie i wpływ</w:t>
      </w:r>
      <w:r>
        <w:t xml:space="preserve"> — koszty, instrumenty, scenariusze i analiza fiskalna;</w:t>
      </w:r>
    </w:p>
    <w:p>
      <w:pPr>
        <w:pStyle w:val="ListNumber"/>
      </w:pPr>
      <w:r>
        <w:rPr>
          <w:b/>
        </w:rPr>
        <w:t>governance i prawo</w:t>
      </w:r>
      <w:r>
        <w:t xml:space="preserve"> — właściwość, RACI, proces i instrumenty;</w:t>
      </w:r>
    </w:p>
    <w:p>
      <w:pPr>
        <w:pStyle w:val="ListNumber"/>
      </w:pPr>
      <w:r>
        <w:rPr>
          <w:b/>
        </w:rPr>
        <w:t>programy wykonawcze</w:t>
      </w:r>
      <w:r>
        <w:t xml:space="preserve"> — konkretne portfele, finansowanie i rezultaty;</w:t>
      </w:r>
    </w:p>
    <w:p>
      <w:pPr>
        <w:pStyle w:val="ListNumber"/>
      </w:pPr>
      <w:r>
        <w:rPr>
          <w:b/>
        </w:rPr>
        <w:t>nota RM</w:t>
      </w:r>
      <w:r>
        <w:t xml:space="preserve"> — decyzje, opcje, koszt i pierwsze 100 dni;</w:t>
      </w:r>
    </w:p>
    <w:p>
      <w:pPr>
        <w:pStyle w:val="ListNumber"/>
      </w:pPr>
      <w:r>
        <w:rPr>
          <w:b/>
        </w:rPr>
        <w:t>nota Prezydent/BBN</w:t>
      </w:r>
      <w:r>
        <w:t xml:space="preserve"> — odporność, ciągłość, NATO i ryzyka strategiczne;</w:t>
      </w:r>
    </w:p>
    <w:p>
      <w:pPr>
        <w:pStyle w:val="ListNumber"/>
      </w:pPr>
      <w:r>
        <w:rPr>
          <w:b/>
        </w:rPr>
        <w:t>briefy resortowe</w:t>
      </w:r>
      <w:r>
        <w:t xml:space="preserve"> — mandat i zadania każdego portfela;</w:t>
      </w:r>
    </w:p>
    <w:p>
      <w:pPr>
        <w:pStyle w:val="ListNumber"/>
      </w:pPr>
      <w:r>
        <w:rPr>
          <w:b/>
        </w:rPr>
        <w:t>księga dowodowa</w:t>
      </w:r>
      <w:r>
        <w:t xml:space="preserve"> — źródła, twierdzenia, luki i sprzeczności;</w:t>
      </w:r>
    </w:p>
    <w:p>
      <w:pPr>
        <w:pStyle w:val="ListNumber"/>
      </w:pPr>
      <w:r>
        <w:rPr>
          <w:b/>
        </w:rPr>
        <w:t>jawny szablon aneksu ograniczonego</w:t>
      </w:r>
      <w:r>
        <w:t xml:space="preserve"> — pytania i reguły przyszłego procesu;</w:t>
      </w:r>
    </w:p>
    <w:p>
      <w:pPr>
        <w:pStyle w:val="ListNumber"/>
      </w:pPr>
      <w:r>
        <w:rPr>
          <w:b/>
        </w:rPr>
        <w:t>prezentacje</w:t>
      </w:r>
      <w:r>
        <w:t xml:space="preserve"> — osobne dla RM, Prezydenta, gospodarki, regionów i odbiorcy międzynarodowego.</w:t>
      </w:r>
    </w:p>
    <w:p>
      <w:r>
        <w:t>Rdzeń jest kanoniczny. Briefy i slajdy nie wprowadzają nowych faktów poza rejestrem.</w:t>
      </w:r>
    </w:p>
    <w:p>
      <w:pPr>
        <w:pStyle w:val="Heading3"/>
      </w:pPr>
      <w:r>
        <w:t>5.2. Wersjonowanie</w:t>
      </w:r>
    </w:p>
    <w:p>
      <w:r>
        <w:t>Każdy artefakt ma identyfikator, właściciela, status, datę wiedzy, listę decyzji, zależne claimy i historię zmian. Aktualizacja liczby lub definicji powoduje nową wersję; nie przepisuje wcześniejszego wyniku.</w:t>
      </w:r>
    </w:p>
    <w:p>
      <w:pPr>
        <w:pStyle w:val="Heading2"/>
      </w:pPr>
      <w:r>
        <w:t>6. Drabina instrumentów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</w:tcPr>
          <w:p>
            <w:r>
              <w:t>Instrument</w:t>
            </w:r>
          </w:p>
        </w:tc>
        <w:tc>
          <w:tcPr>
            <w:tcW w:type="dxa" w:w="3201"/>
          </w:tcPr>
          <w:p>
            <w:r>
              <w:t>Właściwe zastosowanie</w:t>
            </w:r>
          </w:p>
        </w:tc>
        <w:tc>
          <w:tcPr>
            <w:tcW w:type="dxa" w:w="3201"/>
          </w:tcPr>
          <w:p>
            <w:r>
              <w:t>Nie powinien służyć do</w:t>
            </w:r>
          </w:p>
        </w:tc>
      </w:tr>
      <w:tr>
        <w:tc>
          <w:tcPr>
            <w:tcW w:type="dxa" w:w="3201"/>
          </w:tcPr>
          <w:p>
            <w:r>
              <w:t>strategia/uchwała przyjmująca</w:t>
            </w:r>
          </w:p>
        </w:tc>
        <w:tc>
          <w:tcPr>
            <w:tcW w:type="dxa" w:w="3201"/>
          </w:tcPr>
          <w:p>
            <w:r>
              <w:t>cele, kierunki, system realizacji, ramy finansowe</w:t>
            </w:r>
          </w:p>
        </w:tc>
        <w:tc>
          <w:tcPr>
            <w:tcW w:type="dxa" w:w="3201"/>
          </w:tcPr>
          <w:p>
            <w:r>
              <w:t>tworzenia zewnętrznych obowiązków bez podstawy</w:t>
            </w:r>
          </w:p>
        </w:tc>
      </w:tr>
      <w:tr>
        <w:tc>
          <w:tcPr>
            <w:tcW w:type="dxa" w:w="3201"/>
          </w:tcPr>
          <w:p>
            <w:r>
              <w:t>program wykonawczy</w:t>
            </w:r>
          </w:p>
        </w:tc>
        <w:tc>
          <w:tcPr>
            <w:tcW w:type="dxa" w:w="3201"/>
          </w:tcPr>
          <w:p>
            <w:r>
              <w:t>działania, właściciele, finansowanie, monitoring</w:t>
            </w:r>
          </w:p>
        </w:tc>
        <w:tc>
          <w:tcPr>
            <w:tcW w:type="dxa" w:w="3201"/>
          </w:tcPr>
          <w:p>
            <w:r>
              <w:t>zastępowania szczegółowej podstawy prawnej</w:t>
            </w:r>
          </w:p>
        </w:tc>
      </w:tr>
      <w:tr>
        <w:tc>
          <w:tcPr>
            <w:tcW w:type="dxa" w:w="3201"/>
          </w:tcPr>
          <w:p>
            <w:r>
              <w:t>program wieloletni/budżet</w:t>
            </w:r>
          </w:p>
        </w:tc>
        <w:tc>
          <w:tcPr>
            <w:tcW w:type="dxa" w:w="3201"/>
          </w:tcPr>
          <w:p>
            <w:r>
              <w:t>limity i zadania w czasie</w:t>
            </w:r>
          </w:p>
        </w:tc>
        <w:tc>
          <w:tcPr>
            <w:tcW w:type="dxa" w:w="3201"/>
          </w:tcPr>
          <w:p>
            <w:r>
              <w:t>gwarantowania rezultatu bez bramek</w:t>
            </w:r>
          </w:p>
        </w:tc>
      </w:tr>
      <w:tr>
        <w:tc>
          <w:tcPr>
            <w:tcW w:type="dxa" w:w="3201"/>
          </w:tcPr>
          <w:p>
            <w:r>
              <w:t>ustawa</w:t>
            </w:r>
          </w:p>
        </w:tc>
        <w:tc>
          <w:tcPr>
            <w:tcW w:type="dxa" w:w="3201"/>
          </w:tcPr>
          <w:p>
            <w:r>
              <w:t>kompetencje, prawa, obowiązki, wyjątki i finansowanie wymagające ustawy</w:t>
            </w:r>
          </w:p>
        </w:tc>
        <w:tc>
          <w:tcPr>
            <w:tcW w:type="dxa" w:w="3201"/>
          </w:tcPr>
          <w:p>
            <w:r>
              <w:t>opisywania technologii, która szybko się zmienia</w:t>
            </w:r>
          </w:p>
        </w:tc>
      </w:tr>
      <w:tr>
        <w:tc>
          <w:tcPr>
            <w:tcW w:type="dxa" w:w="3201"/>
          </w:tcPr>
          <w:p>
            <w:r>
              <w:t>rozporządzenie</w:t>
            </w:r>
          </w:p>
        </w:tc>
        <w:tc>
          <w:tcPr>
            <w:tcW w:type="dxa" w:w="3201"/>
          </w:tcPr>
          <w:p>
            <w:r>
              <w:t>wykonanie precyzyjnej delegacji</w:t>
            </w:r>
          </w:p>
        </w:tc>
        <w:tc>
          <w:tcPr>
            <w:tcW w:type="dxa" w:w="3201"/>
          </w:tcPr>
          <w:p>
            <w:r>
              <w:t>tworzenia samodzielnej polityki poza delegacją</w:t>
            </w:r>
          </w:p>
        </w:tc>
      </w:tr>
      <w:tr>
        <w:tc>
          <w:tcPr>
            <w:tcW w:type="dxa" w:w="3201"/>
          </w:tcPr>
          <w:p>
            <w:r>
              <w:t>akt wewnętrzny</w:t>
            </w:r>
          </w:p>
        </w:tc>
        <w:tc>
          <w:tcPr>
            <w:tcW w:type="dxa" w:w="3201"/>
          </w:tcPr>
          <w:p>
            <w:r>
              <w:t>organizacja pracy administracji i organów pomocniczych</w:t>
            </w:r>
          </w:p>
        </w:tc>
        <w:tc>
          <w:tcPr>
            <w:tcW w:type="dxa" w:w="3201"/>
          </w:tcPr>
          <w:p>
            <w:r>
              <w:t>nakładania obowiązków na firmę, uczelnię lub JST</w:t>
            </w:r>
          </w:p>
        </w:tc>
      </w:tr>
      <w:tr>
        <w:tc>
          <w:tcPr>
            <w:tcW w:type="dxa" w:w="3201"/>
          </w:tcPr>
          <w:p>
            <w:r>
              <w:t>umowa/zamówienie</w:t>
            </w:r>
          </w:p>
        </w:tc>
        <w:tc>
          <w:tcPr>
            <w:tcW w:type="dxa" w:w="3201"/>
          </w:tcPr>
          <w:p>
            <w:r>
              <w:t>rezultat, prawa, dane, test, serwis i płatność</w:t>
            </w:r>
          </w:p>
        </w:tc>
        <w:tc>
          <w:tcPr>
            <w:tcW w:type="dxa" w:w="3201"/>
          </w:tcPr>
          <w:p>
            <w:r>
              <w:t>ustanawiania reguły powszechnej</w:t>
            </w:r>
          </w:p>
        </w:tc>
      </w:tr>
      <w:tr>
        <w:tc>
          <w:tcPr>
            <w:tcW w:type="dxa" w:w="3201"/>
          </w:tcPr>
          <w:p>
            <w:r>
              <w:t>standard/wytyczna</w:t>
            </w:r>
          </w:p>
        </w:tc>
        <w:tc>
          <w:tcPr>
            <w:tcW w:type="dxa" w:w="3201"/>
          </w:tcPr>
          <w:p>
            <w:r>
              <w:t>spójny sposób działania i oceny</w:t>
            </w:r>
          </w:p>
        </w:tc>
        <w:tc>
          <w:tcPr>
            <w:tcW w:type="dxa" w:w="3201"/>
          </w:tcPr>
          <w:p>
            <w:r>
              <w:t>omijania prawa albo konkurencji</w:t>
            </w:r>
          </w:p>
        </w:tc>
      </w:tr>
      <w:tr>
        <w:tc>
          <w:tcPr>
            <w:tcW w:type="dxa" w:w="3201"/>
          </w:tcPr>
          <w:p>
            <w:r>
              <w:t>aneks autoryzowany</w:t>
            </w:r>
          </w:p>
        </w:tc>
        <w:tc>
          <w:tcPr>
            <w:tcW w:type="dxa" w:w="3201"/>
          </w:tcPr>
          <w:p>
            <w:r>
              <w:t>dane i wymagania prawnie chronione</w:t>
            </w:r>
          </w:p>
        </w:tc>
        <w:tc>
          <w:tcPr>
            <w:tcW w:type="dxa" w:w="3201"/>
          </w:tcPr>
          <w:p>
            <w:r>
              <w:t>ukrywania całej polityki publicznej</w:t>
            </w:r>
          </w:p>
        </w:tc>
      </w:tr>
    </w:tbl>
    <w:p>
      <w:pPr>
        <w:pStyle w:val="Heading3"/>
      </w:pPr>
      <w:r>
        <w:t>Zasada modularności</w:t>
      </w:r>
    </w:p>
    <w:p>
      <w:r>
        <w:t>Zmiana standardu technicznego powinna być możliwa bez zmiany ustawy. Zmiana priorytetu projektu — bez przebudowy całej instytucji. Zmiana praw i obowiązków — wyłącznie w prawidłowym trybie. Moduły łączy wspólny rejestr decyzji i zależności.</w:t>
      </w:r>
    </w:p>
    <w:p>
      <w:pPr>
        <w:pStyle w:val="Heading2"/>
      </w:pPr>
      <w:r>
        <w:t>7. Proces przygotowania strategii</w:t>
      </w:r>
    </w:p>
    <w:p>
      <w:pPr>
        <w:pStyle w:val="Heading3"/>
      </w:pPr>
      <w:r>
        <w:t>Bramka L0 — mandat</w:t>
      </w:r>
    </w:p>
    <w:p>
      <w:pPr>
        <w:pStyle w:val="ListBullet"/>
      </w:pPr>
      <w:r>
        <w:t>formalny właściciel;</w:t>
      </w:r>
    </w:p>
    <w:p>
      <w:pPr>
        <w:pStyle w:val="ListBullet"/>
      </w:pPr>
      <w:r>
        <w:t>miejsce w systemie dokumentów;</w:t>
      </w:r>
    </w:p>
    <w:p>
      <w:pPr>
        <w:pStyle w:val="ListBullet"/>
      </w:pPr>
      <w:r>
        <w:t>zakres jawny i chroniony;</w:t>
      </w:r>
    </w:p>
    <w:p>
      <w:pPr>
        <w:pStyle w:val="ListBullet"/>
      </w:pPr>
      <w:r>
        <w:t>lista interesariuszy;</w:t>
      </w:r>
    </w:p>
    <w:p>
      <w:pPr>
        <w:pStyle w:val="ListBullet"/>
      </w:pPr>
      <w:r>
        <w:t>plan dowodów, konsultacji i ewaluacji;</w:t>
      </w:r>
    </w:p>
    <w:p>
      <w:pPr>
        <w:pStyle w:val="ListBullet"/>
      </w:pPr>
      <w:r>
        <w:t>wstępna kwalifikacja skutków środowiskowych;</w:t>
      </w:r>
    </w:p>
    <w:p>
      <w:pPr>
        <w:pStyle w:val="ListBullet"/>
      </w:pPr>
      <w:r>
        <w:t>zasady konfliktów interesów.</w:t>
      </w:r>
    </w:p>
    <w:p>
      <w:pPr>
        <w:pStyle w:val="Heading3"/>
      </w:pPr>
      <w:r>
        <w:t>Bramka L1 — diagnoza i opcje</w:t>
      </w:r>
    </w:p>
    <w:p>
      <w:pPr>
        <w:pStyle w:val="ListBullet"/>
      </w:pPr>
      <w:r>
        <w:t xml:space="preserve">baza lub </w:t>
      </w:r>
      <w:r>
        <w:t>UNKNOWN</w:t>
      </w:r>
      <w:r>
        <w:t>;</w:t>
      </w:r>
    </w:p>
    <w:p>
      <w:pPr>
        <w:pStyle w:val="ListBullet"/>
      </w:pPr>
      <w:r>
        <w:t>problem i mechanizm;</w:t>
      </w:r>
    </w:p>
    <w:p>
      <w:pPr>
        <w:pStyle w:val="ListBullet"/>
      </w:pPr>
      <w:r>
        <w:t>status quo, wariant minimalny, rekomendowany i alternatywny;</w:t>
      </w:r>
    </w:p>
    <w:p>
      <w:pPr>
        <w:pStyle w:val="ListBullet"/>
      </w:pPr>
      <w:r>
        <w:t>koszt, wykonalność, prawo, bezpieczeństwo i ryzyko;</w:t>
      </w:r>
    </w:p>
    <w:p>
      <w:pPr>
        <w:pStyle w:val="ListBullet"/>
      </w:pPr>
      <w:r>
        <w:t>wstępna teoria zmiany i KPI;</w:t>
      </w:r>
    </w:p>
    <w:p>
      <w:pPr>
        <w:pStyle w:val="ListBullet"/>
      </w:pPr>
      <w:r>
        <w:t>rejestr sprzeczności.</w:t>
      </w:r>
    </w:p>
    <w:p>
      <w:pPr>
        <w:pStyle w:val="Heading3"/>
      </w:pPr>
      <w:r>
        <w:t>Bramka L2 — konsultacje i ocena</w:t>
      </w:r>
    </w:p>
    <w:p>
      <w:pPr>
        <w:pStyle w:val="ListBullet"/>
      </w:pPr>
      <w:r>
        <w:t>konsultacje właściwe dla instrumentu;</w:t>
      </w:r>
    </w:p>
    <w:p>
      <w:pPr>
        <w:pStyle w:val="ListBullet"/>
      </w:pPr>
      <w:r>
        <w:t>udokumentowane uwagi i odpowiedzi;</w:t>
      </w:r>
    </w:p>
    <w:p>
      <w:pPr>
        <w:pStyle w:val="ListBullet"/>
      </w:pPr>
      <w:r>
        <w:t>ocena ex ante;</w:t>
      </w:r>
    </w:p>
    <w:p>
      <w:pPr>
        <w:pStyle w:val="ListBullet"/>
      </w:pPr>
      <w:r>
        <w:t>opinie finansowe, prawne, danych, cyber i bezpieczeństwa;</w:t>
      </w:r>
    </w:p>
    <w:p>
      <w:pPr>
        <w:pStyle w:val="ListBullet"/>
      </w:pPr>
      <w:r>
        <w:t>rozstrzygnięta ścieżka oceny środowiskowej;</w:t>
      </w:r>
    </w:p>
    <w:p>
      <w:pPr>
        <w:pStyle w:val="ListBullet"/>
      </w:pPr>
      <w:r>
        <w:t>red-team.</w:t>
      </w:r>
    </w:p>
    <w:p>
      <w:pPr>
        <w:pStyle w:val="Heading3"/>
      </w:pPr>
      <w:r>
        <w:t>Bramka L3 — decyzja RM</w:t>
      </w:r>
    </w:p>
    <w:p>
      <w:pPr>
        <w:pStyle w:val="ListBullet"/>
      </w:pPr>
      <w:r>
        <w:t>wersja finalna i zestawienie zmian;</w:t>
      </w:r>
    </w:p>
    <w:p>
      <w:pPr>
        <w:pStyle w:val="ListBullet"/>
      </w:pPr>
      <w:r>
        <w:t>decyzje, koszt i źródła;</w:t>
      </w:r>
    </w:p>
    <w:p>
      <w:pPr>
        <w:pStyle w:val="ListBullet"/>
      </w:pPr>
      <w:r>
        <w:t>programy wykonawcze;</w:t>
      </w:r>
    </w:p>
    <w:p>
      <w:pPr>
        <w:pStyle w:val="ListBullet"/>
      </w:pPr>
      <w:r>
        <w:t>dashboard i odpowiedzialność;</w:t>
      </w:r>
    </w:p>
    <w:p>
      <w:pPr>
        <w:pStyle w:val="ListBullet"/>
      </w:pPr>
      <w:r>
        <w:t>tryb aktualizacji oraz sunset review;</w:t>
      </w:r>
    </w:p>
    <w:p>
      <w:pPr>
        <w:pStyle w:val="ListBullet"/>
      </w:pPr>
      <w:r>
        <w:t>jawny plan publikacji i osobny obieg chroniony.</w:t>
      </w:r>
    </w:p>
    <w:p>
      <w:pPr>
        <w:pStyle w:val="Heading3"/>
      </w:pPr>
      <w:r>
        <w:t>Bramka L4 — wykonanie i aktualizacja</w:t>
      </w:r>
    </w:p>
    <w:p>
      <w:pPr>
        <w:pStyle w:val="ListBullet"/>
      </w:pPr>
      <w:r>
        <w:t>kwartalne decyzje wyjątków;</w:t>
      </w:r>
    </w:p>
    <w:p>
      <w:pPr>
        <w:pStyle w:val="ListBullet"/>
      </w:pPr>
      <w:r>
        <w:t>roczna ewaluacja;</w:t>
      </w:r>
    </w:p>
    <w:p>
      <w:pPr>
        <w:pStyle w:val="ListBullet"/>
      </w:pPr>
      <w:r>
        <w:t>projekty zamknięte;</w:t>
      </w:r>
    </w:p>
    <w:p>
      <w:pPr>
        <w:pStyle w:val="ListBullet"/>
      </w:pPr>
      <w:r>
        <w:t>zmiany definicji i baz;</w:t>
      </w:r>
    </w:p>
    <w:p>
      <w:pPr>
        <w:pStyle w:val="ListBullet"/>
      </w:pPr>
      <w:r>
        <w:t>aktualizacja strategii lub programów we właściwym trybie.</w:t>
      </w:r>
    </w:p>
    <w:p>
      <w:r>
        <w:t>Tryb pilny nie może być domyślnym sposobem omijania diagnozy i konsultacji. Jeśli zagrożenie wymaga przyspieszenia konkretnego działania, wyjątek powinien mieć wąski zakres, pisemne uzasadnienie i zastępczą kontrolę jakości.</w:t>
      </w:r>
    </w:p>
    <w:p>
      <w:pPr>
        <w:pStyle w:val="Heading2"/>
      </w:pPr>
      <w:r>
        <w:t>8. Zamówienia iteracyjne</w:t>
      </w:r>
    </w:p>
    <w:p>
      <w:pPr>
        <w:pStyle w:val="Heading3"/>
      </w:pPr>
      <w:r>
        <w:t>8.1. Siedem etapów</w:t>
      </w:r>
    </w:p>
    <w:p>
      <w:pPr>
        <w:pStyle w:val="ListNumber"/>
      </w:pPr>
      <w:r>
        <w:t>karta problemu i użytkownika;</w:t>
      </w:r>
    </w:p>
    <w:p>
      <w:pPr>
        <w:pStyle w:val="ListNumber"/>
      </w:pPr>
      <w:r>
        <w:t>analiza rynku oraz bezpieczeństwa;</w:t>
      </w:r>
    </w:p>
    <w:p>
      <w:pPr>
        <w:pStyle w:val="ListNumber"/>
      </w:pPr>
      <w:r>
        <w:t>prototyp lub dowód wykonalności;</w:t>
      </w:r>
    </w:p>
    <w:p>
      <w:pPr>
        <w:pStyle w:val="ListNumber"/>
      </w:pPr>
      <w:r>
        <w:t>test według wcześniej zatwierdzonego protokołu;</w:t>
      </w:r>
    </w:p>
    <w:p>
      <w:pPr>
        <w:pStyle w:val="ListNumber"/>
      </w:pPr>
      <w:r>
        <w:t>mała partia i dane cyklu życia;</w:t>
      </w:r>
    </w:p>
    <w:p>
      <w:pPr>
        <w:pStyle w:val="ListNumber"/>
      </w:pPr>
      <w:r>
        <w:t>decyzja skali z opcjami i alternatywami;</w:t>
      </w:r>
    </w:p>
    <w:p>
      <w:pPr>
        <w:pStyle w:val="ListNumber"/>
      </w:pPr>
      <w:r>
        <w:t>przegląd eksploatacyjny, upgrade lub zamknięcie.</w:t>
      </w:r>
    </w:p>
    <w:p>
      <w:r>
        <w:t>Właściwy tryb prawny dobiera nabywca z prawnikami dla konkretnego przypadku. Strategia nie tworzy ogólnego „wyjątku innowacyjnego”.</w:t>
      </w:r>
    </w:p>
    <w:p>
      <w:r>
        <w:t>W zamówieniach w dziedzinach obronności i bezpieczeństwa aktualne PZP wyłącza między innymi przetarg nieograniczony i partnerstwo innowacyjne; jako tryby podstawowe wskazuje przetarg ograniczony oraz negocjacje z ogłoszeniem, a pozostałe wymienione tryby pozostawia dla przesłanek określonych ustawą (</w:t>
      </w:r>
      <w:r>
        <w:t>Prawo zamówień publicznych</w:t>
      </w:r>
      <w:r>
        <w:t xml:space="preserve">, </w:t>
      </w:r>
      <w:r>
        <w:rPr>
          <w:b/>
        </w:rPr>
        <w:t>CLM-0906</w:t>
      </w:r>
      <w:r>
        <w:t xml:space="preserve">, </w:t>
      </w:r>
      <w:r>
        <w:rPr>
          <w:b/>
        </w:rPr>
        <w:t>CLM-0907</w:t>
      </w:r>
      <w:r>
        <w:t>). To ograniczenie nie rozstrzyga trybu żadnego przyszłego zakupu — wymusza kwalifikację konkretnego przedmiotu, przesłanek i rynku.</w:t>
      </w:r>
    </w:p>
    <w:p>
      <w:pPr>
        <w:pStyle w:val="Heading3"/>
      </w:pPr>
      <w:r>
        <w:t>8.2. Minimalne elementy kontraktu etapowego</w:t>
      </w:r>
    </w:p>
    <w:p>
      <w:pPr>
        <w:pStyle w:val="ListBullet"/>
      </w:pPr>
      <w:r>
        <w:t>rezultat i kryterium odbioru;</w:t>
      </w:r>
    </w:p>
    <w:p>
      <w:pPr>
        <w:pStyle w:val="ListBullet"/>
      </w:pPr>
      <w:r>
        <w:t>harmonogram i limit kosztu;</w:t>
      </w:r>
    </w:p>
    <w:p>
      <w:pPr>
        <w:pStyle w:val="ListBullet"/>
      </w:pPr>
      <w:r>
        <w:t>zasady testu i dostęp użytkownika;</w:t>
      </w:r>
    </w:p>
    <w:p>
      <w:pPr>
        <w:pStyle w:val="ListBullet"/>
      </w:pPr>
      <w:r>
        <w:t>prawa IP, dane i publikacja wyniku;</w:t>
      </w:r>
    </w:p>
    <w:p>
      <w:pPr>
        <w:pStyle w:val="ListBullet"/>
      </w:pPr>
      <w:r>
        <w:t>cyber, bezpieczeństwo informacji i incydenty;</w:t>
      </w:r>
    </w:p>
    <w:p>
      <w:pPr>
        <w:pStyle w:val="ListBullet"/>
      </w:pPr>
      <w:r>
        <w:t>interfejsy, konfiguracja i dokumentacja;</w:t>
      </w:r>
    </w:p>
    <w:p>
      <w:pPr>
        <w:pStyle w:val="ListBullet"/>
      </w:pPr>
      <w:r>
        <w:t>serwis, aktualizacje i cykl życia;</w:t>
      </w:r>
    </w:p>
    <w:p>
      <w:pPr>
        <w:pStyle w:val="ListBullet"/>
      </w:pPr>
      <w:r>
        <w:t>opcja następnego etapu bez automatycznego zobowiązania;</w:t>
      </w:r>
    </w:p>
    <w:p>
      <w:pPr>
        <w:pStyle w:val="ListBullet"/>
      </w:pPr>
      <w:r>
        <w:t>warunek poprawy i stop-rule;</w:t>
      </w:r>
    </w:p>
    <w:p>
      <w:pPr>
        <w:pStyle w:val="ListBullet"/>
      </w:pPr>
      <w:r>
        <w:t>konflikt interesów oraz audyt;</w:t>
      </w:r>
    </w:p>
    <w:p>
      <w:pPr>
        <w:pStyle w:val="ListBullet"/>
      </w:pPr>
      <w:r>
        <w:t>zakończenie, przekazanie danych i migracja.</w:t>
      </w:r>
    </w:p>
    <w:p>
      <w:pPr>
        <w:pStyle w:val="Heading3"/>
      </w:pPr>
      <w:r>
        <w:t>8.3. Mała partia</w:t>
      </w:r>
    </w:p>
    <w:p>
      <w:r>
        <w:t>Nie jest substytutem konkurencji ani pełnego odbioru. Służy pozyskaniu dowodów niezawodności, powtarzalności, serwisu i użyteczności. Jej wielkość wynika z pytania testowego i ryzyka; nie powinna być arbitralną liczbą wpisaną do strategii.</w:t>
      </w:r>
    </w:p>
    <w:p>
      <w:pPr>
        <w:pStyle w:val="Heading2"/>
      </w:pPr>
      <w:r>
        <w:t>9. IP, dokumentacja i ciągłość</w:t>
      </w:r>
    </w:p>
    <w:p>
      <w:pPr>
        <w:pStyle w:val="Heading3"/>
      </w:pPr>
      <w:r>
        <w:t>9.1. Macierz praw</w:t>
      </w:r>
    </w:p>
    <w:p>
      <w:r>
        <w:t>Przed kontraktem należy rozdzielić:</w:t>
      </w:r>
    </w:p>
    <w:p>
      <w:pPr>
        <w:pStyle w:val="ListBullet"/>
      </w:pPr>
      <w:r>
        <w:t>IP istniejące przed projektem;</w:t>
      </w:r>
    </w:p>
    <w:p>
      <w:pPr>
        <w:pStyle w:val="ListBullet"/>
      </w:pPr>
      <w:r>
        <w:t>IP powstające w projekcie;</w:t>
      </w:r>
    </w:p>
    <w:p>
      <w:pPr>
        <w:pStyle w:val="ListBullet"/>
      </w:pPr>
      <w:r>
        <w:t>ulepszenia każdej strony;</w:t>
      </w:r>
    </w:p>
    <w:p>
      <w:pPr>
        <w:pStyle w:val="ListBullet"/>
      </w:pPr>
      <w:r>
        <w:t>dane wejściowe, treningowe, testowe i eksploatacyjne;</w:t>
      </w:r>
    </w:p>
    <w:p>
      <w:pPr>
        <w:pStyle w:val="ListBullet"/>
      </w:pPr>
      <w:r>
        <w:t>kod źródłowy, modele, wagi, konfigurację i dokumentację;</w:t>
      </w:r>
    </w:p>
    <w:p>
      <w:pPr>
        <w:pStyle w:val="ListBullet"/>
      </w:pPr>
      <w:r>
        <w:t>interfejsy i narzędzia serwisowe;</w:t>
      </w:r>
    </w:p>
    <w:p>
      <w:pPr>
        <w:pStyle w:val="ListBullet"/>
      </w:pPr>
      <w:r>
        <w:t>prawa do produkcji, naprawy, modyfikacji i eksportu;</w:t>
      </w:r>
    </w:p>
    <w:p>
      <w:pPr>
        <w:pStyle w:val="ListBullet"/>
      </w:pPr>
      <w:r>
        <w:t>sublicencje i prawa poddostawców.</w:t>
      </w:r>
    </w:p>
    <w:p>
      <w:r>
        <w:t>Państwo nie zawsze musi być właścicielem. Musi posiadać prawa adekwatne do krytyczności i scenariusza ciągłości.</w:t>
      </w:r>
    </w:p>
    <w:p>
      <w:pPr>
        <w:pStyle w:val="Heading3"/>
      </w:pPr>
      <w:r>
        <w:t>9.2. Depozyt</w:t>
      </w:r>
    </w:p>
    <w:p>
      <w:r>
        <w:t>Escrow kodu lub dokumentacji ma wartość tylko, gdy:</w:t>
      </w:r>
    </w:p>
    <w:p>
      <w:pPr>
        <w:pStyle w:val="ListBullet"/>
      </w:pPr>
      <w:r>
        <w:t>zakres jest kompletny i wersjonowany;</w:t>
      </w:r>
    </w:p>
    <w:p>
      <w:pPr>
        <w:pStyle w:val="ListBullet"/>
      </w:pPr>
      <w:r>
        <w:t>depozyt jest okresowo testowany;</w:t>
      </w:r>
    </w:p>
    <w:p>
      <w:pPr>
        <w:pStyle w:val="ListBullet"/>
      </w:pPr>
      <w:r>
        <w:t>występuje jasne zdarzenie uruchamiające;</w:t>
      </w:r>
    </w:p>
    <w:p>
      <w:pPr>
        <w:pStyle w:val="ListBullet"/>
      </w:pPr>
      <w:r>
        <w:t>państwo ma prawa i kompetencje do użycia;</w:t>
      </w:r>
    </w:p>
    <w:p>
      <w:pPr>
        <w:pStyle w:val="ListBullet"/>
      </w:pPr>
      <w:r>
        <w:t>zależności oraz narzędzia budowy są dostępne;</w:t>
      </w:r>
    </w:p>
    <w:p>
      <w:pPr>
        <w:pStyle w:val="ListBullet"/>
      </w:pPr>
      <w:r>
        <w:t>rozwiązanie nie narusza praw trzecich.</w:t>
      </w:r>
    </w:p>
    <w:p>
      <w:pPr>
        <w:pStyle w:val="Heading3"/>
      </w:pPr>
      <w:r>
        <w:t>9.3. Produkcja awaryjna</w:t>
      </w:r>
    </w:p>
    <w:p>
      <w:r>
        <w:t>Klauzula powinna określać przesłanki, zakres, wynagrodzenie, dostęp do dokumentacji, kontrolę jakości, prawa poddostawców i zakończenie. Nie może być sloganem ani nieproporcjonalnym wywłaszczeniem. Wymaga analizy prawnej i negocjacji przed kryzysem.</w:t>
      </w:r>
    </w:p>
    <w:p>
      <w:pPr>
        <w:pStyle w:val="Heading2"/>
      </w:pPr>
      <w:r>
        <w:t>10. Partnerstwa i joint ventures</w:t>
      </w:r>
    </w:p>
    <w:p>
      <w:pPr>
        <w:pStyle w:val="Heading3"/>
      </w:pPr>
      <w:r>
        <w:t>Due diligence przed decyzją</w:t>
      </w:r>
    </w:p>
    <w:p>
      <w:pPr>
        <w:pStyle w:val="ListNumber"/>
      </w:pPr>
      <w:r>
        <w:t>właściciele i beneficjenci rzeczywiści;</w:t>
      </w:r>
    </w:p>
    <w:p>
      <w:pPr>
        <w:pStyle w:val="ListNumber"/>
      </w:pPr>
      <w:r>
        <w:t>sankcje, reputacja, finansowanie i spory;</w:t>
      </w:r>
    </w:p>
    <w:p>
      <w:pPr>
        <w:pStyle w:val="ListNumber"/>
      </w:pPr>
      <w:r>
        <w:t>prawa do technologii oraz roszczenia osób trzecich;</w:t>
      </w:r>
    </w:p>
    <w:p>
      <w:pPr>
        <w:pStyle w:val="ListNumber"/>
      </w:pPr>
      <w:r>
        <w:t>bezpieczeństwo informacji, cyber i łańcuch dostaw;</w:t>
      </w:r>
    </w:p>
    <w:p>
      <w:pPr>
        <w:pStyle w:val="ListNumber"/>
      </w:pPr>
      <w:r>
        <w:t>kontrola eksportu i end-use;</w:t>
      </w:r>
    </w:p>
    <w:p>
      <w:pPr>
        <w:pStyle w:val="ListNumber"/>
      </w:pPr>
      <w:r>
        <w:t>zgodność z pomocą publiczną i konkurencją;</w:t>
      </w:r>
    </w:p>
    <w:p>
      <w:pPr>
        <w:pStyle w:val="ListNumber"/>
      </w:pPr>
      <w:r>
        <w:t>wkład stron i metoda wyceny;</w:t>
      </w:r>
    </w:p>
    <w:p>
      <w:pPr>
        <w:pStyle w:val="ListNumber"/>
      </w:pPr>
      <w:r>
        <w:t>skład organów, veto, informacje i audyt;</w:t>
      </w:r>
    </w:p>
    <w:p>
      <w:pPr>
        <w:pStyle w:val="ListNumber"/>
      </w:pPr>
      <w:r>
        <w:t>lokalizacja produkcji i podatki;</w:t>
      </w:r>
    </w:p>
    <w:p>
      <w:pPr>
        <w:pStyle w:val="ListNumber"/>
      </w:pPr>
      <w:r>
        <w:t>kluczowe osoby, ciągłość i wyjście;</w:t>
      </w:r>
    </w:p>
    <w:p>
      <w:pPr>
        <w:pStyle w:val="ListNumber"/>
      </w:pPr>
      <w:r>
        <w:t>prawo właściwe i rozstrzyganie sporów;</w:t>
      </w:r>
    </w:p>
    <w:p>
      <w:pPr>
        <w:pStyle w:val="ListNumber"/>
      </w:pPr>
      <w:r>
        <w:t>plan po zmianie sytuacji politycznej.</w:t>
      </w:r>
    </w:p>
    <w:p>
      <w:r>
        <w:t>Umowa Polska–Ukraina tworzy oficjalne ramy dla łańcuchów, lokalizacji, wspólnej produkcji i ochrony IP, lecz nie ustanawia automatycznie konkretnego JV (</w:t>
      </w:r>
      <w:r>
        <w:rPr>
          <w:b/>
        </w:rPr>
        <w:t>CLM-1212</w:t>
      </w:r>
      <w:r>
        <w:t>). Każdy projekt wymaga osobnej decyzji.</w:t>
      </w:r>
    </w:p>
    <w:p>
      <w:r>
        <w:t xml:space="preserve">Kontrola transferów dual-use może obejmować nie tylko towary, ale również oprogramowanie, technologię, pośrednictwo i pomoc techniczną; unijne ramy przewidują także mechanizmy </w:t>
      </w:r>
      <w:r>
        <w:t>catch-all</w:t>
      </w:r>
      <w:r>
        <w:t xml:space="preserve"> oraz obowiązki ewidencyjne (</w:t>
      </w:r>
      <w:r>
        <w:t>rozporządzenie (UE) 2021/821</w:t>
      </w:r>
      <w:r>
        <w:t xml:space="preserve">, </w:t>
      </w:r>
      <w:r>
        <w:rPr>
          <w:b/>
        </w:rPr>
        <w:t>CLM-0917</w:t>
      </w:r>
      <w:r>
        <w:t>). Kwalifikacja i wymagane zezwolenia muszą zostać ustalone dla konkretnego transferu, także niematerialnego.</w:t>
      </w:r>
    </w:p>
    <w:p>
      <w:r>
        <w:t>W zależności od podmiotu chronionego, inwestora, progów, działalności i konstrukcji transakcji polska kontrola niektórych inwestycji może objąć przejęcie, utworzenie JV albo uzyskanie istotnego uczestnictwa lub dominacji (</w:t>
      </w:r>
      <w:r>
        <w:t>ustawa o kontroli niektórych inwestycji</w:t>
      </w:r>
      <w:r>
        <w:t xml:space="preserve">, </w:t>
      </w:r>
      <w:r>
        <w:rPr>
          <w:b/>
        </w:rPr>
        <w:t>CLM-0925</w:t>
      </w:r>
      <w:r>
        <w:t>). Sam zamiar utworzenia JV nie przesądza jednak zastosowania reżimu ani wyniku kontroli.</w:t>
      </w:r>
    </w:p>
    <w:p>
      <w:pPr>
        <w:pStyle w:val="Heading3"/>
      </w:pPr>
      <w:r>
        <w:t>Warunki stop</w:t>
      </w:r>
    </w:p>
    <w:p>
      <w:r>
        <w:t>Partnerstwo nie przechodzi, gdy nie można ustalić właścicieli, praw do technologii, zgodności eksportowej, bezpiecznego dostępu do danych, akceptowalnego planu ciągłości lub równowagi praw. Presja czasu nie zastępuje due diligence; może jedynie ograniczyć pierwszy, odwracalny etap.</w:t>
      </w:r>
    </w:p>
    <w:p>
      <w:pPr>
        <w:pStyle w:val="Heading2"/>
      </w:pPr>
      <w:r>
        <w:t>11. Dane, AI, cyber i informacje chronione</w:t>
      </w:r>
    </w:p>
    <w:p>
      <w:pPr>
        <w:pStyle w:val="Heading3"/>
      </w:pPr>
      <w:r>
        <w:t>11.1. Właściciel danych</w:t>
      </w:r>
    </w:p>
    <w:p>
      <w:r>
        <w:t>Każdy zbiór ma właściciela, podstawę, cel, zakres, użytkowników, retencję, warunki usunięcia, logowanie i tryb incydentu. Dostęp do środowiska nie oznacza prawa pobrania ani użycia w innym celu.</w:t>
      </w:r>
    </w:p>
    <w:p>
      <w:pPr>
        <w:pStyle w:val="Heading3"/>
      </w:pPr>
      <w:r>
        <w:t>11.2. Governance AI</w:t>
      </w:r>
    </w:p>
    <w:p>
      <w:r>
        <w:t>Wymagania kontraktowe i dopuszczeniowe powinny odzwierciedlać sześć zasad NATO: legalność, odpowiedzialność i rozliczalność, wyjaśnialność i identyfikowalność, niezawodność, sterowalność oraz ograniczanie stronniczości (</w:t>
      </w:r>
      <w:r>
        <w:rPr>
          <w:b/>
        </w:rPr>
        <w:t>CLM-1220</w:t>
      </w:r>
      <w:r>
        <w:t>). Każdy model ma kartę, wersję, wynik testu, zakres użycia, znane ograniczenia, monitoring i osobę uprawnioną do wstrzymania.</w:t>
      </w:r>
    </w:p>
    <w:p>
      <w:r>
        <w:t>Wyłączenie w AI Act dotyczy systemów wyłącznie w zakresie ich celów wojskowych, obronnych lub bezpieczeństwa narodowego; zastosowanie również cywilne wymaga osobnej oceny zakresu rozporządzenia (</w:t>
      </w:r>
      <w:r>
        <w:t>AI Act</w:t>
      </w:r>
      <w:r>
        <w:t xml:space="preserve">, </w:t>
      </w:r>
      <w:r>
        <w:rPr>
          <w:b/>
        </w:rPr>
        <w:t>CLM-0921</w:t>
      </w:r>
      <w:r>
        <w:t>). Dokument nie przesądza kwalifikacji żadnego przyszłego systemu mieszanego.</w:t>
      </w:r>
    </w:p>
    <w:p>
      <w:r>
        <w:t>Jeżeli projekt dotyczy nowej broni, środka lub metody walki, art. 36 Protokołu dodatkowego I wymaga prawnego przeglądu podczas badań, rozwoju, pozyskania lub przyjęcia (</w:t>
      </w:r>
      <w:r>
        <w:t>Protokół dodatkowy I</w:t>
      </w:r>
      <w:r>
        <w:t xml:space="preserve">, </w:t>
      </w:r>
      <w:r>
        <w:rPr>
          <w:b/>
        </w:rPr>
        <w:t>CLM-0924</w:t>
      </w:r>
      <w:r>
        <w:t>). Zapis tej bramki nie jest oceną legalności konkretnego rozwiązania.</w:t>
      </w:r>
    </w:p>
    <w:p>
      <w:pPr>
        <w:pStyle w:val="Heading3"/>
      </w:pPr>
      <w:r>
        <w:t>11.3. Cyber</w:t>
      </w:r>
    </w:p>
    <w:p>
      <w:r>
        <w:t>Umowa określa secure SDLC, zależności, aktualizacje, SBOM tam, gdzie właściwe, zgłaszanie incydentów, testy, utrzymanie i bezpieczne zakończenie wsparcia. Wymagania należy różnicować według ryzyka, by nie wykluczyć MŚP przez nieproporcjonalny koszt.</w:t>
      </w:r>
    </w:p>
    <w:p>
      <w:pPr>
        <w:pStyle w:val="Heading3"/>
      </w:pPr>
      <w:r>
        <w:t>11.4. Informacje niejawne i wrażliwe</w:t>
      </w:r>
    </w:p>
    <w:p>
      <w:r>
        <w:t>Klasyfikacja, dostęp i sanitizacja należą do właściciela informacji w prawidłowym systemie. Repozytorium publiczne lub prywatny GitHub nie jest kancelarią tajną. Jawny dokument może przechowywać identyfikator pytania, status, właściciela i wersję agregatu zatwierdzonego do publikacji.</w:t>
      </w:r>
    </w:p>
    <w:p>
      <w:r>
        <w:t>Ustawa ogranicza dostęp do informacji niejawnych do osób dających rękojmię zachowania tajemnicy i do zakresu niezbędnego do pracy; przewiduje też odrębne wymagania dla systemów teleinformatycznych oraz bezpieczeństwa przemysłowego wykonawców (</w:t>
      </w:r>
      <w:r>
        <w:t>ustawa o ochronie informacji niejawnych</w:t>
      </w:r>
      <w:r>
        <w:t xml:space="preserve">, </w:t>
      </w:r>
      <w:r>
        <w:rPr>
          <w:b/>
        </w:rPr>
        <w:t>CLM-0910</w:t>
      </w:r>
      <w:r>
        <w:t>). Nie oznacza to akredytacji repozytorium ani dopuszczenia w nim danych chronionych.</w:t>
      </w:r>
    </w:p>
    <w:p>
      <w:pPr>
        <w:pStyle w:val="Heading2"/>
      </w:pPr>
      <w:r>
        <w:t>12. Konflikty interesów i transparentność</w:t>
      </w:r>
    </w:p>
    <w:p>
      <w:pPr>
        <w:pStyle w:val="Heading3"/>
      </w:pPr>
      <w:r>
        <w:t>Minimalny rejestr</w:t>
      </w:r>
    </w:p>
    <w:p>
      <w:r>
        <w:t>Każdy członek ciała doradczego ujawnia zatrudnienie, udziały, honoraria, kontrakty, granty, role rodzinne i inne interesy związane z zakresem. Rejestr opisuje sposób zarządzania konfliktem: ujawnienie, wyłączenie, dodatkowy recenzent albo zakaz udziału.</w:t>
      </w:r>
    </w:p>
    <w:p>
      <w:pPr>
        <w:pStyle w:val="Heading3"/>
      </w:pPr>
      <w:r>
        <w:t>Rozdzielenie funkcji</w:t>
      </w:r>
    </w:p>
    <w:p>
      <w:pPr>
        <w:pStyle w:val="ListBullet"/>
      </w:pPr>
      <w:r>
        <w:t>użytkownik definiuje problem;</w:t>
      </w:r>
    </w:p>
    <w:p>
      <w:pPr>
        <w:pStyle w:val="ListBullet"/>
      </w:pPr>
      <w:r>
        <w:t>nabywca prowadzi właściwy proces;</w:t>
      </w:r>
    </w:p>
    <w:p>
      <w:pPr>
        <w:pStyle w:val="ListBullet"/>
      </w:pPr>
      <w:r>
        <w:t>tester ocenia wynik;</w:t>
      </w:r>
    </w:p>
    <w:p>
      <w:pPr>
        <w:pStyle w:val="ListBullet"/>
      </w:pPr>
      <w:r>
        <w:t>finansujący ocenia instrument;</w:t>
      </w:r>
    </w:p>
    <w:p>
      <w:pPr>
        <w:pStyle w:val="ListBullet"/>
      </w:pPr>
      <w:r>
        <w:t>prawnik i bezpieczeństwo kontrolują zgodność;</w:t>
      </w:r>
    </w:p>
    <w:p>
      <w:pPr>
        <w:pStyle w:val="ListBullet"/>
      </w:pPr>
      <w:r>
        <w:t>organ uprawniony akceptuje ryzyko;</w:t>
      </w:r>
    </w:p>
    <w:p>
      <w:pPr>
        <w:pStyle w:val="ListBullet"/>
      </w:pPr>
      <w:r>
        <w:t>dostawca dostarcza produkt i dowody;</w:t>
      </w:r>
    </w:p>
    <w:p>
      <w:pPr>
        <w:pStyle w:val="ListBullet"/>
      </w:pPr>
      <w:r>
        <w:t>red-team próbuje obalić założenie.</w:t>
      </w:r>
    </w:p>
    <w:p>
      <w:r>
        <w:t>Jedna organizacja może pełnić kilka ról tylko z jawnym zabezpieczeniem i niezależnym odbiorem.</w:t>
      </w:r>
    </w:p>
    <w:p>
      <w:pPr>
        <w:pStyle w:val="Heading3"/>
      </w:pPr>
      <w:r>
        <w:t>Jawność</w:t>
      </w:r>
    </w:p>
    <w:p>
      <w:r>
        <w:t>Publikować należy: mandat, definicje KPI, zagregowane wyniki, wydatki możliwe do ujawnienia, konflikty interesów, projekty zamknięte, kryteria wyboru i odpowiedzi na konsultacje. Nie publikuje się danych, których ujawnienie zwiększa ryzyko bezpieczeństwa, narusza prawo, tajemnicę przedsiębiorstwa lub ochronę danych.</w:t>
      </w:r>
    </w:p>
    <w:p>
      <w:pPr>
        <w:pStyle w:val="Heading2"/>
      </w:pPr>
      <w:r>
        <w:t>13. Pierwsze 100 dni</w:t>
      </w:r>
    </w:p>
    <w:p>
      <w:pPr>
        <w:pStyle w:val="Heading3"/>
      </w:pPr>
      <w:r>
        <w:t>D0–D30</w:t>
      </w:r>
    </w:p>
    <w:p>
      <w:pPr>
        <w:pStyle w:val="ListBullet"/>
      </w:pPr>
      <w:r>
        <w:t>formalna mapa kompetencji i dokumentów;</w:t>
      </w:r>
    </w:p>
    <w:p>
      <w:pPr>
        <w:pStyle w:val="ListBullet"/>
      </w:pPr>
      <w:r>
        <w:t>wskazanie właściwego ministra i integratora;</w:t>
      </w:r>
    </w:p>
    <w:p>
      <w:pPr>
        <w:pStyle w:val="ListBullet"/>
      </w:pPr>
      <w:r>
        <w:t>przyjęcie funkcjonalnego RACI;</w:t>
      </w:r>
    </w:p>
    <w:p>
      <w:pPr>
        <w:pStyle w:val="ListBullet"/>
      </w:pPr>
      <w:r>
        <w:t>audyt istniejących komitetów, departamentów i programów;</w:t>
      </w:r>
    </w:p>
    <w:p>
      <w:pPr>
        <w:pStyle w:val="ListBullet"/>
      </w:pPr>
      <w:r>
        <w:t>polityka konfliktów interesów i jawne–autoryzowane;</w:t>
      </w:r>
    </w:p>
    <w:p>
      <w:pPr>
        <w:pStyle w:val="ListBullet"/>
      </w:pPr>
      <w:r>
        <w:t>kwalifikacja procesu strategii, konsultacji i oceny środowiskowej.</w:t>
      </w:r>
    </w:p>
    <w:p>
      <w:pPr>
        <w:pStyle w:val="Heading3"/>
      </w:pPr>
      <w:r>
        <w:t>D31–D60</w:t>
      </w:r>
    </w:p>
    <w:p>
      <w:pPr>
        <w:pStyle w:val="ListBullet"/>
      </w:pPr>
      <w:r>
        <w:t>karta strategii i wpis do właściwego wykazu po potwierdzeniu trybu;</w:t>
      </w:r>
    </w:p>
    <w:p>
      <w:pPr>
        <w:pStyle w:val="ListBullet"/>
      </w:pPr>
      <w:r>
        <w:t>diagnoza oraz warianty instytucjonalne;</w:t>
      </w:r>
    </w:p>
    <w:p>
      <w:pPr>
        <w:pStyle w:val="ListBullet"/>
      </w:pPr>
      <w:r>
        <w:t>wzór karty problemu, kontraktu i bramki;</w:t>
      </w:r>
    </w:p>
    <w:p>
      <w:pPr>
        <w:pStyle w:val="ListBullet"/>
      </w:pPr>
      <w:r>
        <w:t>mapa luk prawnych oraz działań niewymagających ustawy;</w:t>
      </w:r>
    </w:p>
    <w:p>
      <w:pPr>
        <w:pStyle w:val="ListBullet"/>
      </w:pPr>
      <w:r>
        <w:t>projekt rejestru decyzji i dashboardu;</w:t>
      </w:r>
    </w:p>
    <w:p>
      <w:pPr>
        <w:pStyle w:val="ListBullet"/>
      </w:pPr>
      <w:r>
        <w:t>pierwsze pre-konsultacje.</w:t>
      </w:r>
    </w:p>
    <w:p>
      <w:pPr>
        <w:pStyle w:val="Heading3"/>
      </w:pPr>
      <w:r>
        <w:t>D61–D100</w:t>
      </w:r>
    </w:p>
    <w:p>
      <w:pPr>
        <w:pStyle w:val="ListBullet"/>
      </w:pPr>
      <w:r>
        <w:t>projekt strategii gotowy do formalnych konsultacji, nie obietnica jej przyjęcia;</w:t>
      </w:r>
    </w:p>
    <w:p>
      <w:pPr>
        <w:pStyle w:val="ListBullet"/>
      </w:pPr>
      <w:r>
        <w:t>ewaluacja ex ante i ramy finansowe w wersji roboczej;</w:t>
      </w:r>
    </w:p>
    <w:p>
      <w:pPr>
        <w:pStyle w:val="ListBullet"/>
      </w:pPr>
      <w:r>
        <w:t>rozstrzygnięta ścieżka SOOŚ lub innej wymaganej oceny;</w:t>
      </w:r>
    </w:p>
    <w:p>
      <w:pPr>
        <w:pStyle w:val="ListBullet"/>
      </w:pPr>
      <w:r>
        <w:t>prototyp dashboardu na rzeczywistych definicjach;</w:t>
      </w:r>
    </w:p>
    <w:p>
      <w:pPr>
        <w:pStyle w:val="ListBullet"/>
      </w:pPr>
      <w:r>
        <w:t>wybór ograniczonych kontraktów pilotażowych;</w:t>
      </w:r>
    </w:p>
    <w:p>
      <w:pPr>
        <w:pStyle w:val="ListBullet"/>
      </w:pPr>
      <w:r>
        <w:t>decyzja, czy istniejący mechanizm wymaga korekty mandatu.</w:t>
      </w:r>
    </w:p>
    <w:p>
      <w:pPr>
        <w:pStyle w:val="Heading2"/>
      </w:pPr>
      <w:r>
        <w:t>14. Warunki rozważenia nowego pełnomocnika lub ustawy</w:t>
      </w:r>
    </w:p>
    <w:p>
      <w:pPr>
        <w:pStyle w:val="Heading3"/>
      </w:pPr>
      <w:r>
        <w:t>Nowy pełnomocnik</w:t>
      </w:r>
    </w:p>
    <w:p>
      <w:r>
        <w:t>Rozważyć po dwóch cyklach kwartalnych, jeżeli udokumentowano, że:</w:t>
      </w:r>
    </w:p>
    <w:p>
      <w:pPr>
        <w:pStyle w:val="ListBullet"/>
      </w:pPr>
      <w:r>
        <w:t>istniejący integrator nie uzyskuje danych lub decyzji;</w:t>
      </w:r>
    </w:p>
    <w:p>
      <w:pPr>
        <w:pStyle w:val="ListBullet"/>
      </w:pPr>
      <w:r>
        <w:t>spory pozostają mimo eskalacji;</w:t>
      </w:r>
    </w:p>
    <w:p>
      <w:pPr>
        <w:pStyle w:val="ListBullet"/>
      </w:pPr>
      <w:r>
        <w:t>nie można wskazać właściwego ministra lub powierzyć koordynacji;</w:t>
      </w:r>
    </w:p>
    <w:p>
      <w:pPr>
        <w:pStyle w:val="ListBullet"/>
      </w:pPr>
      <w:r>
        <w:t>korekta RACI, priorytetu i obsługi nie działa;</w:t>
      </w:r>
    </w:p>
    <w:p>
      <w:pPr>
        <w:pStyle w:val="ListBullet"/>
      </w:pPr>
      <w:r>
        <w:t>korzyść przewyższa koszt kolejnej warstwy.</w:t>
      </w:r>
    </w:p>
    <w:p>
      <w:pPr>
        <w:pStyle w:val="Heading3"/>
      </w:pPr>
      <w:r>
        <w:t>Ustawa</w:t>
      </w:r>
    </w:p>
    <w:p>
      <w:r>
        <w:t>Rozważyć, gdy:</w:t>
      </w:r>
    </w:p>
    <w:p>
      <w:pPr>
        <w:pStyle w:val="ListBullet"/>
      </w:pPr>
      <w:r>
        <w:t>istniejący organ nie ma niezbędnej kompetencji;</w:t>
      </w:r>
    </w:p>
    <w:p>
      <w:pPr>
        <w:pStyle w:val="ListBullet"/>
      </w:pPr>
      <w:r>
        <w:t>potrzebne są prawa lub obowiązki zewnętrzne;</w:t>
      </w:r>
    </w:p>
    <w:p>
      <w:pPr>
        <w:pStyle w:val="ListBullet"/>
      </w:pPr>
      <w:r>
        <w:t>konieczny jest mechanizm finansowy wymagający ustawy;</w:t>
      </w:r>
    </w:p>
    <w:p>
      <w:pPr>
        <w:pStyle w:val="ListBullet"/>
      </w:pPr>
      <w:r>
        <w:t>istniejąca procedura uniemożliwia rezultat, a nie tylko jest niewygodna;</w:t>
      </w:r>
    </w:p>
    <w:p>
      <w:pPr>
        <w:pStyle w:val="ListBullet"/>
      </w:pPr>
      <w:r>
        <w:t>oceniono warianty, skutki, UE, konkurencję, prywatność i bezpieczeństwo;</w:t>
      </w:r>
    </w:p>
    <w:p>
      <w:pPr>
        <w:pStyle w:val="ListBullet"/>
      </w:pPr>
      <w:r>
        <w:t>techniczne szczegóły pozostają poza ustawą.</w:t>
      </w:r>
    </w:p>
    <w:p>
      <w:pPr>
        <w:pStyle w:val="Heading2"/>
      </w:pPr>
      <w:r>
        <w:t>15. Zarys nieoficjalnej uchwały kierunkowej</w:t>
      </w:r>
    </w:p>
    <w:p>
      <w:r>
        <w:t>Poniższy układ jest materiałem warsztatowym, nie projektem prawnym:</w:t>
      </w:r>
    </w:p>
    <w:p>
      <w:pPr>
        <w:pStyle w:val="ListNumber"/>
      </w:pPr>
      <w:r>
        <w:t>cel i status programu;</w:t>
      </w:r>
    </w:p>
    <w:p>
      <w:pPr>
        <w:pStyle w:val="ListNumber"/>
      </w:pPr>
      <w:r>
        <w:t>definicje oraz zakres jawny;</w:t>
      </w:r>
    </w:p>
    <w:p>
      <w:pPr>
        <w:pStyle w:val="ListNumber"/>
      </w:pPr>
      <w:r>
        <w:t>miejsce w systemie dokumentów;</w:t>
      </w:r>
    </w:p>
    <w:p>
      <w:pPr>
        <w:pStyle w:val="ListNumber"/>
      </w:pPr>
      <w:r>
        <w:t>wskazanie właściciela dokumentu i funkcji realizacyjnej;</w:t>
      </w:r>
    </w:p>
    <w:p>
      <w:pPr>
        <w:pStyle w:val="ListNumber"/>
      </w:pPr>
      <w:r>
        <w:t>pakiety robocze i rezultaty;</w:t>
      </w:r>
    </w:p>
    <w:p>
      <w:pPr>
        <w:pStyle w:val="ListNumber"/>
      </w:pPr>
      <w:r>
        <w:t>zasady danych, dowodów i konfliktów interesów;</w:t>
      </w:r>
    </w:p>
    <w:p>
      <w:pPr>
        <w:pStyle w:val="ListNumber"/>
      </w:pPr>
      <w:r>
        <w:t>bramki i raportowanie;</w:t>
      </w:r>
    </w:p>
    <w:p>
      <w:pPr>
        <w:pStyle w:val="ListNumber"/>
      </w:pPr>
      <w:r>
        <w:t>ramy finansowe i dodatkowość;</w:t>
      </w:r>
    </w:p>
    <w:p>
      <w:pPr>
        <w:pStyle w:val="ListNumber"/>
      </w:pPr>
      <w:r>
        <w:t>zasady konsultacji i ewaluacji;</w:t>
      </w:r>
    </w:p>
    <w:p>
      <w:pPr>
        <w:pStyle w:val="ListNumber"/>
      </w:pPr>
      <w:r>
        <w:t>oddzielenie obiegu autoryzowanego;</w:t>
      </w:r>
    </w:p>
    <w:p>
      <w:pPr>
        <w:pStyle w:val="ListNumber"/>
      </w:pPr>
      <w:r>
        <w:t>harmonogram pierwszych 100 dni;</w:t>
      </w:r>
    </w:p>
    <w:p>
      <w:pPr>
        <w:pStyle w:val="ListNumber"/>
      </w:pPr>
      <w:r>
        <w:t>przegląd po dwóch kwartałach;</w:t>
      </w:r>
    </w:p>
    <w:p>
      <w:pPr>
        <w:pStyle w:val="ListNumber"/>
      </w:pPr>
      <w:r>
        <w:t>sunset review i możliwość zamknięcia.</w:t>
      </w:r>
    </w:p>
    <w:p>
      <w:r>
        <w:t>Treść może zostać użyta dopiero po potwierdzeniu właściwego instrumentu, kompetencji i procesu.</w:t>
      </w:r>
    </w:p>
    <w:p>
      <w:pPr>
        <w:pStyle w:val="Heading2"/>
      </w:pPr>
      <w:r>
        <w:t>16. Pass/fail przed przedłożeniem Radzie Ministrów</w:t>
      </w:r>
    </w:p>
    <w:p>
      <w:r>
        <w:t xml:space="preserve">Materiał otrzymuje </w:t>
      </w:r>
      <w:r>
        <w:t>FAIL</w:t>
      </w:r>
      <w:r>
        <w:t>, gdy:</w:t>
      </w:r>
    </w:p>
    <w:p>
      <w:pPr>
        <w:pStyle w:val="ListBullet"/>
      </w:pPr>
      <w:r>
        <w:t>nie wskazuje właściwego ministra lub podstawy procesu;</w:t>
      </w:r>
    </w:p>
    <w:p>
      <w:pPr>
        <w:pStyle w:val="ListBullet"/>
      </w:pPr>
      <w:r>
        <w:t>ma więcej niż jednego właściciela tego samego rezultatu;</w:t>
      </w:r>
    </w:p>
    <w:p>
      <w:pPr>
        <w:pStyle w:val="ListBullet"/>
      </w:pPr>
      <w:r>
        <w:t>tworzy obowiązek zewnętrzny wyłącznie aktem wewnętrznym;</w:t>
      </w:r>
    </w:p>
    <w:p>
      <w:pPr>
        <w:pStyle w:val="ListBullet"/>
      </w:pPr>
      <w:r>
        <w:t>omija wymaganą konsultację, ewaluację lub ocenę środowiskową;</w:t>
      </w:r>
    </w:p>
    <w:p>
      <w:pPr>
        <w:pStyle w:val="ListBullet"/>
      </w:pPr>
      <w:r>
        <w:t>zawiera budżet bez źródła, roku i dodatkowości;</w:t>
      </w:r>
    </w:p>
    <w:p>
      <w:pPr>
        <w:pStyle w:val="ListBullet"/>
      </w:pPr>
      <w:r>
        <w:t>nie oddziela danych jawnych i chronionych;</w:t>
      </w:r>
    </w:p>
    <w:p>
      <w:pPr>
        <w:pStyle w:val="ListBullet"/>
      </w:pPr>
      <w:r>
        <w:t>pozwala autorowi lub dostawcy zatwierdzić własny wynik;</w:t>
      </w:r>
    </w:p>
    <w:p>
      <w:pPr>
        <w:pStyle w:val="ListBullet"/>
      </w:pPr>
      <w:r>
        <w:t>nie określa praw do IP, danych, serwisu i zakończenia;</w:t>
      </w:r>
    </w:p>
    <w:p>
      <w:pPr>
        <w:pStyle w:val="ListBullet"/>
      </w:pPr>
      <w:r>
        <w:t>nie ma stop-rule albo raportu projektów zamkniętych;</w:t>
      </w:r>
    </w:p>
    <w:p>
      <w:pPr>
        <w:pStyle w:val="ListBullet"/>
      </w:pPr>
      <w:r>
        <w:t>opiera pilność na haśle, a nie wąskim wyjątku i kontroli zastępczej.</w:t>
      </w:r>
    </w:p>
    <w:p>
      <w:r>
        <w:t>PASS</w:t>
      </w:r>
      <w:r>
        <w:t xml:space="preserve"> oznacza gotowość do kolejnej bramki, nie pewność sukcesu. Wydanie v0.1 ma wynik </w:t>
      </w:r>
      <w:r>
        <w:t>FAIL</w:t>
      </w:r>
      <w:r>
        <w:t xml:space="preserve"> z powodu </w:t>
      </w:r>
      <w:r>
        <w:rPr>
          <w:b/>
        </w:rPr>
        <w:t>GAP-0011</w:t>
      </w:r>
      <w:r>
        <w:t xml:space="preserve"> i dlatego może być udostępniane wyłącznie jako niezależny materiał do konsultacji eksperckich, nie jako formalna strategia albo nota wnoszona pod obrady Rady Ministrów.</w:t>
      </w:r>
    </w:p>
    <w:p>
      <w:pPr>
        <w:pStyle w:val="Heading2"/>
      </w:pPr>
      <w:r>
        <w:t>Dalsze pytania</w:t>
      </w:r>
    </w:p>
    <w:p>
      <w:pPr>
        <w:pStyle w:val="ListBullet"/>
      </w:pPr>
      <w:r>
        <w:t>Który minister jest formalnie właściwy dla horyzontalnej strategii i w jakim trybie?</w:t>
      </w:r>
    </w:p>
    <w:p>
      <w:pPr>
        <w:pStyle w:val="ListBullet"/>
      </w:pPr>
      <w:r>
        <w:t>Jak wykorzystać istniejący mechanizm nadzoru realizacji bez dublowania kompetencji?</w:t>
      </w:r>
    </w:p>
    <w:p>
      <w:pPr>
        <w:pStyle w:val="ListBullet"/>
      </w:pPr>
      <w:r>
        <w:t>Jaki zakres wymaga konsultacji i strategicznej oceny oddziaływania?</w:t>
      </w:r>
    </w:p>
    <w:p>
      <w:pPr>
        <w:pStyle w:val="ListBullet"/>
      </w:pPr>
      <w:r>
        <w:t>Które bariery są prawne, a które wynikają z praktyki, zasobów i tolerancji ryzyka?</w:t>
      </w:r>
    </w:p>
    <w:p>
      <w:pPr>
        <w:pStyle w:val="ListBullet"/>
      </w:pPr>
      <w:r>
        <w:t>Gdzie potrzebna jest ustawa, a gdzie wystarczy kontrakt, standard lub program?</w:t>
      </w:r>
    </w:p>
    <w:p>
      <w:pPr>
        <w:pStyle w:val="ListBullet"/>
      </w:pPr>
      <w:r>
        <w:t>Jakie dane i wskaźniki mogą być publikowane bez zwiększenia ryzyka?</w:t>
      </w:r>
    </w:p>
    <w:p>
      <w:pPr>
        <w:pStyle w:val="ListBullet"/>
      </w:pPr>
      <w:r>
        <w:t>Jak zorganizować niezależny odbiór, gdy rynek ma niewielu ekspertów?</w:t>
      </w:r>
    </w:p>
    <w:p>
      <w:pPr>
        <w:pStyle w:val="ListBullet"/>
      </w:pPr>
      <w:r>
        <w:t>Kiedy nowy pełnomocnik przyniesie większą wartość niż koszt koordynacji?</w:t>
      </w:r>
    </w:p>
    <w:p>
      <w:pPr>
        <w:pStyle w:val="ListBullet"/>
      </w:pPr>
      <w:r>
        <w:t>Jak zabezpieczyć ciągłość JV po zmianie właściciela lub sytuacji politycznej?</w:t>
      </w:r>
    </w:p>
    <w:p>
      <w:pPr>
        <w:pStyle w:val="ListBullet"/>
      </w:pPr>
      <w:r>
        <w:t>Jak zapewnić MŚP proporcjonalny dostęp przy wysokich wymogach bezpieczeństwa?</w:t>
      </w:r>
    </w:p>
    <w:p>
      <w:pPr>
        <w:pStyle w:val="Heading2"/>
      </w:pPr>
      <w:r>
        <w:t>Zastrzeżenia i założenia</w:t>
      </w:r>
    </w:p>
    <w:p>
      <w:pPr>
        <w:pStyle w:val="ListBullet"/>
      </w:pPr>
      <w:r>
        <w:t>Model instytucjonalny wymaga potwierdzenia aktualnego stanu prawnego w dniu przedłożenia.</w:t>
      </w:r>
    </w:p>
    <w:p>
      <w:pPr>
        <w:pStyle w:val="ListBullet"/>
      </w:pPr>
      <w:r>
        <w:t>Nazwy organów i resortów mogą ulec zmianie; dokument posługuje się przede wszystkim funkcjami.</w:t>
      </w:r>
    </w:p>
    <w:p>
      <w:pPr>
        <w:pStyle w:val="ListBullet"/>
      </w:pPr>
      <w:r>
        <w:t>Nie przesądzono kwalifikacji strategii w systemie polityki rozwoju ani właściwego ministra.</w:t>
      </w:r>
    </w:p>
    <w:p>
      <w:pPr>
        <w:pStyle w:val="ListBullet"/>
      </w:pPr>
      <w:r>
        <w:t>Nie przesądzono, czy konkretne zamówienie korzysta z wyjątku, trybu szczególnego lub procedury obronnej.</w:t>
      </w:r>
    </w:p>
    <w:p>
      <w:pPr>
        <w:pStyle w:val="ListBullet"/>
      </w:pPr>
      <w:r>
        <w:t>Klauzule IP, escrow i produkcji awaryjnej wymagają negocjacji, proporcjonalności i praw trzecich.</w:t>
      </w:r>
    </w:p>
    <w:p>
      <w:pPr>
        <w:pStyle w:val="ListBullet"/>
      </w:pPr>
      <w:r>
        <w:t>Repozytorium nie jest środowiskiem dla informacji niejawnych ani operacyjnie wrażliwych.</w:t>
      </w:r>
    </w:p>
    <w:sectPr w:rsidR="00FC693F" w:rsidRPr="0006063C" w:rsidSect="00034616">
      <w:footerReference w:type="default" r:id="rId9"/>
      <w:pgSz w:w="11906" w:h="16838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Polska 2040 · draft v0.1 · 2026-07-21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