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Finansowanie i ocena wpływu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r>
        <w:rPr>
          <w:b/>
        </w:rPr>
        <w:t>Program:</w:t>
      </w:r>
      <w:r>
        <w:t xml:space="preserve"> Polska 2040: Suwerenność technologiczna</w:t>
      </w:r>
      <w:r/>
      <w:r>
        <w:br/>
      </w:r>
      <w:r>
        <w:rPr>
          <w:b/>
        </w:rPr>
        <w:t>Status:</w:t>
      </w:r>
      <w:r>
        <w:t xml:space="preserve"> niezależny materiał przedmandatowy v0.1 do konsultacji; nie jest prognozą ani wnioskiem budżetowym</w:t>
      </w:r>
      <w:r/>
      <w:r>
        <w:br/>
      </w:r>
      <w:r>
        <w:rPr>
          <w:b/>
        </w:rPr>
        <w:t>Stan wiedzy:</w:t>
      </w:r>
      <w:r>
        <w:t xml:space="preserve"> 21 lipca 2026 r.</w:t>
      </w:r>
      <w:r>
        <w:br/>
        <w:t>Jednostka modelu: mln PLN w cenach roku bazowego wskazanego przy każdym założeniu</w:t>
      </w:r>
    </w:p>
    <w:p>
      <w:pPr>
        <w:pStyle w:val="Quote"/>
      </w:pPr>
      <w:r>
        <w:t>Dokument nie jest prognozą budżetową, ofertą inwestycyjną ani oceną kwalifikowalności konkretnego wydatku. Wartości bez źródła lub zatwierdzonego założenia pozostają UNKNOWN .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Odpowiedź</w:t>
      </w:r>
    </w:p>
    <w:p>
      <w:r>
        <w:t xml:space="preserve">Materiał nie daje podstawy do zatwierdzenia jednej dużej kwoty dla „programu dronowego”. Kandydat </w:t>
      </w:r>
      <w:r>
        <w:rPr>
          <w:b/>
        </w:rPr>
        <w:t>DEC-0008</w:t>
      </w:r>
      <w:r>
        <w:t xml:space="preserve"> proponuje najpierw zbudować </w:t>
      </w:r>
      <w:r>
        <w:rPr>
          <w:b/>
        </w:rPr>
        <w:t>architekturę finansową portfela</w:t>
      </w:r>
      <w:r>
        <w:t xml:space="preserve">: oddzielić badanie problemu, prototyp, małą partię, skalę, infrastrukturę wspólną, kapitał produkcyjny i eksport; zinwentaryzować istniejące zobowiązania; policzyć koszt alternatywny; a nowe środki uwalniać po dowodach z kolejnych bramek. Rekord ma status </w:t>
      </w:r>
      <w:r>
        <w:t>candidate</w:t>
      </w:r>
      <w:r>
        <w:t>, a formalna właściwość pozostaje do rozstrzygnięcia (</w:t>
      </w:r>
      <w:r>
        <w:rPr>
          <w:b/>
        </w:rPr>
        <w:t>GAP-0011</w:t>
      </w:r>
      <w:r>
        <w:t>).</w:t>
      </w:r>
    </w:p>
    <w:p>
      <w:pPr>
        <w:pStyle w:val="Heading3"/>
      </w:pPr>
      <w:r>
        <w:t>Najważniejsze wnioski</w:t>
      </w:r>
    </w:p>
    <w:p>
      <w:pPr>
        <w:pStyle w:val="ListNumber"/>
      </w:pPr>
      <w:r>
        <w:rPr>
          <w:b/>
        </w:rPr>
        <w:t>Budżet bez bazy byłby pozorną precyzją.</w:t>
      </w:r>
      <w:r>
        <w:t xml:space="preserve"> Nie znamy jeszcze kompletnego kosztu istniejących programów, mocy, danych, laboratoriów, kadr i zobowiązań. W modelu v0.1 brak pozostaje </w:t>
      </w:r>
      <w:r>
        <w:t>UNKNOWN</w:t>
      </w:r>
      <w:r>
        <w:t>.</w:t>
      </w:r>
    </w:p>
    <w:p>
      <w:pPr>
        <w:pStyle w:val="ListNumber"/>
      </w:pPr>
      <w:r>
        <w:rPr>
          <w:b/>
        </w:rPr>
        <w:t>Finansowanie obronne i gospodarcze ma różne cele.</w:t>
      </w:r>
      <w:r>
        <w:t xml:space="preserve"> Zakup zdolności, grant badawczy, kapitał w spółce, gwarancja kredytu i ubezpieczenie eksportowe nie są zamienne.</w:t>
      </w:r>
    </w:p>
    <w:p>
      <w:pPr>
        <w:pStyle w:val="ListNumber"/>
      </w:pPr>
      <w:r>
        <w:rPr>
          <w:b/>
        </w:rPr>
        <w:t>SAFE zwiększa przestrzeń finansowania, ale jest pożyczką.</w:t>
      </w:r>
      <w:r>
        <w:t xml:space="preserve"> Polska podpisała umowę o wartości 43,7 mld EUR i jest największym beneficjentem instrumentu; kwoty tej nie można traktować jako dotacji ani jako środków już w całości wypłaconych (</w:t>
      </w:r>
      <w:r>
        <w:t>Ministerstwo Finansów</w:t>
      </w:r>
      <w:r>
        <w:t xml:space="preserve">, </w:t>
      </w:r>
      <w:r>
        <w:rPr>
          <w:b/>
        </w:rPr>
        <w:t>CLM-1208</w:t>
      </w:r>
      <w:r>
        <w:t>).</w:t>
      </w:r>
    </w:p>
    <w:p>
      <w:pPr>
        <w:pStyle w:val="ListNumber"/>
      </w:pPr>
      <w:r>
        <w:rPr>
          <w:b/>
        </w:rPr>
        <w:t>Deklarowany udział polskiej gospodarki wymaga pomiaru wykonania.</w:t>
      </w:r>
      <w:r>
        <w:t xml:space="preserve"> KPRM wskazuje plan 89%, który nie jest jeszcze zweryfikowanym rezultatem (</w:t>
      </w:r>
      <w:r>
        <w:t>KPRM</w:t>
      </w:r>
      <w:r>
        <w:t xml:space="preserve">, </w:t>
      </w:r>
      <w:r>
        <w:rPr>
          <w:b/>
        </w:rPr>
        <w:t>CLM-1209</w:t>
      </w:r>
      <w:r>
        <w:t>).</w:t>
      </w:r>
    </w:p>
    <w:p>
      <w:pPr>
        <w:pStyle w:val="ListNumber"/>
      </w:pPr>
      <w:r>
        <w:rPr>
          <w:b/>
        </w:rPr>
        <w:t>Wydatki muszą kupować opcje.</w:t>
      </w:r>
      <w:r>
        <w:t xml:space="preserve"> Mały kontrakt powinien redukować niepewność przed dużym zobowiązaniem; prawa do danych, serwisu, aktualizacji i zmiany dostawcy mają wartość ekonomiczną.</w:t>
      </w:r>
    </w:p>
    <w:p>
      <w:pPr>
        <w:pStyle w:val="ListNumber"/>
      </w:pPr>
      <w:r>
        <w:rPr>
          <w:b/>
        </w:rPr>
        <w:t>Wpływ gospodarczy nie może być mierzony obrotem dostawcy.</w:t>
      </w:r>
      <w:r>
        <w:t xml:space="preserve"> Potrzebne są dodatkowość, wartość dodana, produktywność, eksport, retencja kompetencji, spillovers cywilne i koszt wypierania innych wydatków.</w:t>
      </w:r>
    </w:p>
    <w:p>
      <w:pPr>
        <w:pStyle w:val="ListNumber"/>
      </w:pPr>
      <w:r>
        <w:rPr>
          <w:b/>
        </w:rPr>
        <w:t>Nie każdy element musi mieć uzasadnienie cywilne.</w:t>
      </w:r>
      <w:r>
        <w:t xml:space="preserve"> Dla części zdolności wartość bezpieczeństwa jest wystarczającym powodem; pozorne dual-use może zniekształcić projekt i pomiar.</w:t>
      </w:r>
    </w:p>
    <w:p>
      <w:pPr>
        <w:pStyle w:val="ListNumber"/>
      </w:pPr>
      <w:r>
        <w:rPr>
          <w:b/>
        </w:rPr>
        <w:t>Model scenariuszowy ma pokazywać decyzje, nie jedną „prawdziwą” liczbę.</w:t>
      </w:r>
      <w:r>
        <w:t xml:space="preserve"> Wariant niski, bazowy i wysoki różnią się zakresem, tempem, ryzykiem oraz warunkami przejścia.</w:t>
      </w:r>
    </w:p>
    <w:p>
      <w:pPr>
        <w:pStyle w:val="Heading3"/>
      </w:pPr>
      <w:r>
        <w:t>Rekomendacja</w:t>
      </w:r>
    </w:p>
    <w:p>
      <w:r>
        <w:t>W pierwszych 100 dniach utworzyć wspólny rejestr finansowy, przypisać każdemu kosztowi unikalny identyfikator oraz wykonać audyt dodatkowości. Do sześciu miesięcy przygotować trzy wycenione scenariusze wraz z analizą wrażliwości i fiskalną. Do 12 miesięcy zawrzeć w budżecie wyłącznie pozycje, które przeszły bramki danych, popytu, bezpieczeństwa, produkcji i prawa.</w:t>
      </w:r>
    </w:p>
    <w:p>
      <w:pPr>
        <w:pStyle w:val="Heading2"/>
      </w:pPr>
      <w:r>
        <w:t>Spis treści</w:t>
      </w:r>
    </w:p>
    <w:p>
      <w:pPr>
        <w:pStyle w:val="ListBullet"/>
      </w:pPr>
      <w:r>
        <w:t>Finansowanie i ocena wpływu</w:t>
      </w:r>
      <w:r>
        <w:br/>
        <w:t>Executive Summary / Streszczenie wykonawcze</w:t>
        <w:br/>
        <w:t>Odpowiedź</w:t>
        <w:br/>
        <w:t>Najważniejsze wnioski</w:t>
        <w:br/>
        <w:t>Rekomendacja</w:t>
        <w:br/>
        <w:br/>
        <w:br/>
        <w:t>Spis treści</w:t>
        <w:br/>
        <w:t>1. Pytanie decyzyjne i zakres</w:t>
        <w:br/>
        <w:t>1.1. Pytanie</w:t>
        <w:br/>
        <w:t>1.2. Co należy policzyć</w:t>
        <w:br/>
        <w:t>1.3. Czego model nie powinien robić</w:t>
        <w:br/>
        <w:br/>
        <w:br/>
        <w:t>2. Logika interwencji ekonomicznej</w:t>
        <w:br/>
        <w:t>2.1. Możliwe zawodności rynku i państwa</w:t>
        <w:br/>
        <w:t>2.2. Teoria zmiany finansowej</w:t>
        <w:br/>
        <w:br/>
        <w:br/>
        <w:t>3. Architektura kosztów</w:t>
        <w:br/>
        <w:t>3.1. Dziesięć bloków kosztowych</w:t>
        <w:br/>
        <w:t>3.2. Pełny koszt cyklu życia</w:t>
        <w:br/>
        <w:t>3.3. Wartość praw i opcji</w:t>
        <w:br/>
        <w:br/>
        <w:br/>
        <w:t>4. Dopasowanie instrumentu do etapu</w:t>
        <w:br/>
        <w:t>Grant</w:t>
        <w:br/>
        <w:t>Zamówienie</w:t>
        <w:br/>
        <w:t>Kapitał</w:t>
        <w:br/>
        <w:t>Kredyt i gwarancja</w:t>
        <w:br/>
        <w:t>Infrastruktura wspólna</w:t>
        <w:br/>
        <w:br/>
        <w:br/>
        <w:t>5. Mapa źródeł finansowania</w:t>
        <w:br/>
        <w:t>5.1. Budżet państwa</w:t>
        <w:br/>
        <w:t>5.2. SAFE</w:t>
        <w:br/>
        <w:t>5.3. EDF, EUDIS, STEP i inne instrumenty UE</w:t>
        <w:br/>
        <w:t>5.4. PFR, BGK, NCBR, PARP i instrumenty krajowe</w:t>
        <w:br/>
        <w:t>5.5. Kapitał prywatny i strategiczny</w:t>
        <w:br/>
        <w:br/>
        <w:br/>
        <w:t>6. Trzy scenariusze finansowe</w:t>
        <w:br/>
        <w:t>6.1. SCENARIUSZ L — integracja niskokosztowa</w:t>
        <w:br/>
        <w:t>6.2. SCENARIUSZ B — portfel bazowy</w:t>
        <w:br/>
        <w:t>6.3. SCENARIUSZ H — przyspieszona mobilizacja</w:t>
        <w:br/>
        <w:t>6.4. Macierz wyboru</w:t>
        <w:br/>
        <w:br/>
        <w:br/>
        <w:t>7. Ocena wpływu gospodarczego</w:t>
        <w:br/>
        <w:t>7.1. Kontrfaktyczny scenariusz</w:t>
        <w:br/>
        <w:t>7.2. Dodatkowość</w:t>
        <w:br/>
        <w:t>7.3. Wartość dodana w Polsce</w:t>
        <w:br/>
        <w:t>7.4. Produktywność</w:t>
        <w:br/>
        <w:t>7.5. Rynek pracy</w:t>
        <w:br/>
        <w:t>7.6. Eksport</w:t>
        <w:br/>
        <w:t>7.7. Spillovers cywilne</w:t>
        <w:br/>
        <w:br/>
        <w:br/>
        <w:t>8. Wartość bezpieczeństwa i odporności</w:t>
        <w:br/>
        <w:t>9. Analiza fiskalna i osiągalność</w:t>
        <w:br/>
        <w:t>9.1. Widok roczny i wieloletni</w:t>
        <w:br/>
        <w:t>9.2. Pożyczki i gwarancje</w:t>
        <w:br/>
        <w:t>9.3. Koszt alternatywny</w:t>
        <w:br/>
        <w:t>9.4. Inflacja i zdolność wykonawcza</w:t>
        <w:br/>
        <w:br/>
        <w:br/>
        <w:t>10. Bramka inwestycyjna</w:t>
        <w:br/>
        <w:t>11. Analiza wrażliwości i scenariusze ryzyka</w:t>
        <w:br/>
        <w:t>12. Governance finansowy i kontrola podwójnego finansowania</w:t>
        <w:br/>
        <w:t>12.1. Unikalny identyfikator kosztu</w:t>
        <w:br/>
        <w:t>12.2. Rozdzielenie ról</w:t>
        <w:br/>
        <w:t>12.3. Raport kwartalny</w:t>
        <w:br/>
        <w:br/>
        <w:br/>
        <w:t>13. Model danych i skoroszyt</w:t>
        <w:br/>
        <w:t>Minimalne pola założenia</w:t>
        <w:br/>
        <w:br/>
        <w:br/>
        <w:t>14. Wskaźniki finansowe i gospodarcze</w:t>
        <w:br/>
        <w:t>15. Ryzyka finansowe i odpowiedzi</w:t>
        <w:br/>
        <w:t>16. Pierwsze 100 dni — plan pracy finansowej</w:t>
        <w:br/>
        <w:t>D0–D30</w:t>
        <w:br/>
        <w:t>D31–D60</w:t>
        <w:br/>
        <w:t>D61–D100</w:t>
        <w:br/>
        <w:br/>
        <w:br/>
        <w:t>17. Decyzje wymagane przed przyjęciem budżetu</w:t>
        <w:br/>
        <w:t>Dalsze pytania</w:t>
        <w:br/>
        <w:t>Zastrzeżenia i założenia</w:t>
        <w:br/>
      </w:r>
      <w:r>
        <w:br/>
      </w:r>
    </w:p>
    <w:p>
      <w:pPr>
        <w:pStyle w:val="ListBullet"/>
      </w:pPr>
      <w:r>
        <w:t>Executive Summary / Streszczenie wykonawcze</w:t>
      </w:r>
      <w:r>
        <w:br/>
        <w:t>Odpowiedź</w:t>
        <w:br/>
        <w:t>Najważniejsze wnioski</w:t>
        <w:br/>
        <w:t>Rekomendacja</w:t>
        <w:br/>
      </w:r>
      <w:r>
        <w:br/>
      </w:r>
    </w:p>
    <w:p>
      <w:pPr>
        <w:pStyle w:val="ListBullet"/>
      </w:pPr>
      <w:r>
        <w:t>Spis treści</w:t>
      </w:r>
    </w:p>
    <w:p>
      <w:pPr>
        <w:pStyle w:val="ListBullet"/>
      </w:pPr>
      <w:r>
        <w:t>1. Pytanie decyzyjne i zakres</w:t>
      </w:r>
      <w:r>
        <w:br/>
        <w:t>1.1. Pytanie</w:t>
        <w:br/>
        <w:t>1.2. Co należy policzyć</w:t>
        <w:br/>
        <w:t>1.3. Czego model nie powinien robić</w:t>
        <w:br/>
      </w:r>
      <w:r>
        <w:br/>
      </w:r>
    </w:p>
    <w:p>
      <w:pPr>
        <w:pStyle w:val="ListBullet"/>
      </w:pPr>
      <w:r>
        <w:t>2. Logika interwencji ekonomicznej</w:t>
      </w:r>
      <w:r>
        <w:br/>
        <w:t>2.1. Możliwe zawodności rynku i państwa</w:t>
        <w:br/>
        <w:t>2.2. Teoria zmiany finansowej</w:t>
        <w:br/>
      </w:r>
      <w:r>
        <w:br/>
      </w:r>
    </w:p>
    <w:p>
      <w:pPr>
        <w:pStyle w:val="ListBullet"/>
      </w:pPr>
      <w:r>
        <w:t>3. Architektura kosztów</w:t>
      </w:r>
      <w:r>
        <w:br/>
        <w:t>3.1. Dziesięć bloków kosztowych</w:t>
        <w:br/>
        <w:t>3.2. Pełny koszt cyklu życia</w:t>
        <w:br/>
        <w:t>3.3. Wartość praw i opcji</w:t>
        <w:br/>
      </w:r>
      <w:r>
        <w:br/>
      </w:r>
    </w:p>
    <w:p>
      <w:pPr>
        <w:pStyle w:val="ListBullet"/>
      </w:pPr>
      <w:r>
        <w:t>4. Dopasowanie instrumentu do etapu</w:t>
      </w:r>
      <w:r>
        <w:br/>
        <w:t>Grant</w:t>
        <w:br/>
        <w:t>Zamówienie</w:t>
        <w:br/>
        <w:t>Kapitał</w:t>
        <w:br/>
        <w:t>Kredyt i gwarancja</w:t>
        <w:br/>
        <w:t>Infrastruktura wspólna</w:t>
        <w:br/>
      </w:r>
      <w:r>
        <w:br/>
      </w:r>
    </w:p>
    <w:p>
      <w:pPr>
        <w:pStyle w:val="ListBullet"/>
      </w:pPr>
      <w:r>
        <w:t>5. Mapa źródeł finansowania</w:t>
      </w:r>
      <w:r>
        <w:br/>
        <w:t>5.1. Budżet państwa</w:t>
        <w:br/>
        <w:t>5.2. SAFE</w:t>
        <w:br/>
        <w:t>5.3. EDF, EUDIS, STEP i inne instrumenty UE</w:t>
        <w:br/>
        <w:t>5.4. PFR, BGK, NCBR, PARP i instrumenty krajowe</w:t>
        <w:br/>
        <w:t>5.5. Kapitał prywatny i strategiczny</w:t>
        <w:br/>
      </w:r>
      <w:r>
        <w:br/>
      </w:r>
    </w:p>
    <w:p>
      <w:pPr>
        <w:pStyle w:val="ListBullet"/>
      </w:pPr>
      <w:r>
        <w:t>6. Trzy scenariusze finansowe</w:t>
      </w:r>
      <w:r>
        <w:br/>
        <w:t>6.1. SCENARIUSZ L — integracja niskokosztowa</w:t>
        <w:br/>
        <w:t>6.2. SCENARIUSZ B — portfel bazowy</w:t>
        <w:br/>
        <w:t>6.3. SCENARIUSZ H — przyspieszona mobilizacja</w:t>
        <w:br/>
        <w:t>6.4. Macierz wyboru</w:t>
        <w:br/>
      </w:r>
      <w:r>
        <w:br/>
      </w:r>
    </w:p>
    <w:p>
      <w:pPr>
        <w:pStyle w:val="ListBullet"/>
      </w:pPr>
      <w:r>
        <w:t>7. Ocena wpływu gospodarczego</w:t>
      </w:r>
      <w:r>
        <w:br/>
        <w:t>7.1. Kontrfaktyczny scenariusz</w:t>
        <w:br/>
        <w:t>7.2. Dodatkowość</w:t>
        <w:br/>
        <w:t>7.3. Wartość dodana w Polsce</w:t>
        <w:br/>
        <w:t>7.4. Produktywność</w:t>
        <w:br/>
        <w:t>7.5. Rynek pracy</w:t>
        <w:br/>
        <w:t>7.6. Eksport</w:t>
        <w:br/>
        <w:t>7.7. Spillovers cywilne</w:t>
        <w:br/>
      </w:r>
      <w:r>
        <w:br/>
      </w:r>
    </w:p>
    <w:p>
      <w:pPr>
        <w:pStyle w:val="ListBullet"/>
      </w:pPr>
      <w:r>
        <w:t>8. Wartość bezpieczeństwa i odporności</w:t>
      </w:r>
    </w:p>
    <w:p>
      <w:pPr>
        <w:pStyle w:val="ListBullet"/>
      </w:pPr>
      <w:r>
        <w:t>9. Analiza fiskalna i osiągalność</w:t>
      </w:r>
      <w:r>
        <w:br/>
        <w:t>9.1. Widok roczny i wieloletni</w:t>
        <w:br/>
        <w:t>9.2. Pożyczki i gwarancje</w:t>
        <w:br/>
        <w:t>9.3. Koszt alternatywny</w:t>
        <w:br/>
        <w:t>9.4. Inflacja i zdolność wykonawcza</w:t>
        <w:br/>
      </w:r>
      <w:r>
        <w:br/>
      </w:r>
    </w:p>
    <w:p>
      <w:pPr>
        <w:pStyle w:val="ListBullet"/>
      </w:pPr>
      <w:r>
        <w:t>10. Bramka inwestycyjna</w:t>
      </w:r>
    </w:p>
    <w:p>
      <w:pPr>
        <w:pStyle w:val="ListBullet"/>
      </w:pPr>
      <w:r>
        <w:t>11. Analiza wrażliwości i scenariusze ryzyka</w:t>
      </w:r>
    </w:p>
    <w:p>
      <w:pPr>
        <w:pStyle w:val="ListBullet"/>
      </w:pPr>
      <w:r>
        <w:t>12. Governance finansowy i kontrola podwójnego finansowania</w:t>
      </w:r>
      <w:r>
        <w:br/>
        <w:t>12.1. Unikalny identyfikator kosztu</w:t>
        <w:br/>
        <w:t>12.2. Rozdzielenie ról</w:t>
        <w:br/>
        <w:t>12.3. Raport kwartalny</w:t>
        <w:br/>
      </w:r>
      <w:r>
        <w:br/>
      </w:r>
    </w:p>
    <w:p>
      <w:pPr>
        <w:pStyle w:val="ListBullet"/>
      </w:pPr>
      <w:r>
        <w:t>13. Model danych i skoroszyt</w:t>
      </w:r>
      <w:r>
        <w:br/>
        <w:t>Minimalne pola założenia</w:t>
        <w:br/>
      </w:r>
      <w:r>
        <w:br/>
      </w:r>
    </w:p>
    <w:p>
      <w:pPr>
        <w:pStyle w:val="ListBullet"/>
      </w:pPr>
      <w:r>
        <w:t>14. Wskaźniki finansowe i gospodarcze</w:t>
      </w:r>
    </w:p>
    <w:p>
      <w:pPr>
        <w:pStyle w:val="ListBullet"/>
      </w:pPr>
      <w:r>
        <w:t>15. Ryzyka finansowe i odpowiedzi</w:t>
      </w:r>
    </w:p>
    <w:p>
      <w:pPr>
        <w:pStyle w:val="ListBullet"/>
      </w:pPr>
      <w:r>
        <w:t>16. Pierwsze 100 dni — plan pracy finansowej</w:t>
      </w:r>
      <w:r>
        <w:br/>
        <w:t>D0–D30</w:t>
        <w:br/>
        <w:t>D31–D60</w:t>
        <w:br/>
        <w:t>D61–D100</w:t>
        <w:br/>
      </w:r>
      <w:r>
        <w:br/>
      </w:r>
    </w:p>
    <w:p>
      <w:pPr>
        <w:pStyle w:val="ListBullet"/>
      </w:pPr>
      <w:r>
        <w:t>17. Decyzje wymagane przed przyjęciem budżetu</w:t>
      </w:r>
    </w:p>
    <w:p>
      <w:pPr>
        <w:pStyle w:val="ListBullet"/>
      </w:pPr>
      <w:r>
        <w:t>Dalsze pytania</w:t>
      </w:r>
    </w:p>
    <w:p>
      <w:pPr>
        <w:pStyle w:val="ListBullet"/>
      </w:pPr>
      <w:r>
        <w:t>Zastrzeżenia i założenia</w:t>
      </w:r>
    </w:p>
    <w:p>
      <w:pPr>
        <w:pStyle w:val="ListBullet"/>
      </w:pPr>
      <w:r>
        <w:t>Odpowiedź</w:t>
      </w:r>
    </w:p>
    <w:p>
      <w:pPr>
        <w:pStyle w:val="ListBullet"/>
      </w:pPr>
      <w:r>
        <w:t>Najważniejsze wnioski</w:t>
      </w:r>
    </w:p>
    <w:p>
      <w:pPr>
        <w:pStyle w:val="ListBullet"/>
      </w:pPr>
      <w:r>
        <w:t>Rekomendacja</w:t>
      </w:r>
    </w:p>
    <w:p>
      <w:pPr>
        <w:pStyle w:val="ListBullet"/>
      </w:pPr>
      <w:r>
        <w:t>1.1. Pytanie</w:t>
      </w:r>
    </w:p>
    <w:p>
      <w:pPr>
        <w:pStyle w:val="ListBullet"/>
      </w:pPr>
      <w:r>
        <w:t>1.2. Co należy policzyć</w:t>
      </w:r>
    </w:p>
    <w:p>
      <w:pPr>
        <w:pStyle w:val="ListBullet"/>
      </w:pPr>
      <w:r>
        <w:t>1.3. Czego model nie powinien robić</w:t>
      </w:r>
    </w:p>
    <w:p>
      <w:pPr>
        <w:pStyle w:val="ListBullet"/>
      </w:pPr>
      <w:r>
        <w:t>2.1. Możliwe zawodności rynku i państwa</w:t>
      </w:r>
    </w:p>
    <w:p>
      <w:pPr>
        <w:pStyle w:val="ListBullet"/>
      </w:pPr>
      <w:r>
        <w:t>2.2. Teoria zmiany finansowej</w:t>
      </w:r>
    </w:p>
    <w:p>
      <w:pPr>
        <w:pStyle w:val="ListBullet"/>
      </w:pPr>
      <w:r>
        <w:t>3.1. Dziesięć bloków kosztowych</w:t>
      </w:r>
    </w:p>
    <w:p>
      <w:pPr>
        <w:pStyle w:val="ListBullet"/>
      </w:pPr>
      <w:r>
        <w:t>3.2. Pełny koszt cyklu życia</w:t>
      </w:r>
    </w:p>
    <w:p>
      <w:pPr>
        <w:pStyle w:val="ListBullet"/>
      </w:pPr>
      <w:r>
        <w:t>3.3. Wartość praw i opcji</w:t>
      </w:r>
    </w:p>
    <w:p>
      <w:pPr>
        <w:pStyle w:val="ListBullet"/>
      </w:pPr>
      <w:r>
        <w:t>Grant</w:t>
      </w:r>
    </w:p>
    <w:p>
      <w:pPr>
        <w:pStyle w:val="ListBullet"/>
      </w:pPr>
      <w:r>
        <w:t>Zamówienie</w:t>
      </w:r>
    </w:p>
    <w:p>
      <w:pPr>
        <w:pStyle w:val="ListBullet"/>
      </w:pPr>
      <w:r>
        <w:t>Kapitał</w:t>
      </w:r>
    </w:p>
    <w:p>
      <w:pPr>
        <w:pStyle w:val="ListBullet"/>
      </w:pPr>
      <w:r>
        <w:t>Kredyt i gwarancja</w:t>
      </w:r>
    </w:p>
    <w:p>
      <w:pPr>
        <w:pStyle w:val="ListBullet"/>
      </w:pPr>
      <w:r>
        <w:t>Infrastruktura wspólna</w:t>
      </w:r>
    </w:p>
    <w:p>
      <w:pPr>
        <w:pStyle w:val="ListBullet"/>
      </w:pPr>
      <w:r>
        <w:t>5.1. Budżet państwa</w:t>
      </w:r>
    </w:p>
    <w:p>
      <w:pPr>
        <w:pStyle w:val="ListBullet"/>
      </w:pPr>
      <w:r>
        <w:t>5.2. SAFE</w:t>
      </w:r>
    </w:p>
    <w:p>
      <w:pPr>
        <w:pStyle w:val="ListBullet"/>
      </w:pPr>
      <w:r>
        <w:t>5.3. EDF, EUDIS, STEP i inne instrumenty UE</w:t>
      </w:r>
    </w:p>
    <w:p>
      <w:pPr>
        <w:pStyle w:val="ListBullet"/>
      </w:pPr>
      <w:r>
        <w:t>5.4. PFR, BGK, NCBR, PARP i instrumenty krajowe</w:t>
      </w:r>
    </w:p>
    <w:p>
      <w:pPr>
        <w:pStyle w:val="ListBullet"/>
      </w:pPr>
      <w:r>
        <w:t>5.5. Kapitał prywatny i strategiczny</w:t>
      </w:r>
    </w:p>
    <w:p>
      <w:pPr>
        <w:pStyle w:val="ListBullet"/>
      </w:pPr>
      <w:r>
        <w:t>6.1. SCENARIUSZ L — integracja niskokosztowa</w:t>
      </w:r>
    </w:p>
    <w:p>
      <w:pPr>
        <w:pStyle w:val="ListBullet"/>
      </w:pPr>
      <w:r>
        <w:t>6.2. SCENARIUSZ B — portfel bazowy</w:t>
      </w:r>
    </w:p>
    <w:p>
      <w:pPr>
        <w:pStyle w:val="ListBullet"/>
      </w:pPr>
      <w:r>
        <w:t>6.3. SCENARIUSZ H — przyspieszona mobilizacja</w:t>
      </w:r>
    </w:p>
    <w:p>
      <w:pPr>
        <w:pStyle w:val="ListBullet"/>
      </w:pPr>
      <w:r>
        <w:t>6.4. Macierz wyboru</w:t>
      </w:r>
    </w:p>
    <w:p>
      <w:pPr>
        <w:pStyle w:val="ListBullet"/>
      </w:pPr>
      <w:r>
        <w:t>7.1. Kontrfaktyczny scenariusz</w:t>
      </w:r>
    </w:p>
    <w:p>
      <w:pPr>
        <w:pStyle w:val="ListBullet"/>
      </w:pPr>
      <w:r>
        <w:t>7.2. Dodatkowość</w:t>
      </w:r>
    </w:p>
    <w:p>
      <w:pPr>
        <w:pStyle w:val="ListBullet"/>
      </w:pPr>
      <w:r>
        <w:t>7.3. Wartość dodana w Polsce</w:t>
      </w:r>
    </w:p>
    <w:p>
      <w:pPr>
        <w:pStyle w:val="ListBullet"/>
      </w:pPr>
      <w:r>
        <w:t>7.4. Produktywność</w:t>
      </w:r>
    </w:p>
    <w:p>
      <w:pPr>
        <w:pStyle w:val="ListBullet"/>
      </w:pPr>
      <w:r>
        <w:t>7.5. Rynek pracy</w:t>
      </w:r>
    </w:p>
    <w:p>
      <w:pPr>
        <w:pStyle w:val="ListBullet"/>
      </w:pPr>
      <w:r>
        <w:t>7.6. Eksport</w:t>
      </w:r>
    </w:p>
    <w:p>
      <w:pPr>
        <w:pStyle w:val="ListBullet"/>
      </w:pPr>
      <w:r>
        <w:t>7.7. Spillovers cywilne</w:t>
      </w:r>
    </w:p>
    <w:p>
      <w:pPr>
        <w:pStyle w:val="ListBullet"/>
      </w:pPr>
      <w:r>
        <w:t>9.1. Widok roczny i wieloletni</w:t>
      </w:r>
    </w:p>
    <w:p>
      <w:pPr>
        <w:pStyle w:val="ListBullet"/>
      </w:pPr>
      <w:r>
        <w:t>9.2. Pożyczki i gwarancje</w:t>
      </w:r>
    </w:p>
    <w:p>
      <w:pPr>
        <w:pStyle w:val="ListBullet"/>
      </w:pPr>
      <w:r>
        <w:t>9.3. Koszt alternatywny</w:t>
      </w:r>
    </w:p>
    <w:p>
      <w:pPr>
        <w:pStyle w:val="ListBullet"/>
      </w:pPr>
      <w:r>
        <w:t>9.4. Inflacja i zdolność wykonawcza</w:t>
      </w:r>
    </w:p>
    <w:p>
      <w:pPr>
        <w:pStyle w:val="ListBullet"/>
      </w:pPr>
      <w:r>
        <w:t>12.1. Unikalny identyfikator kosztu</w:t>
      </w:r>
    </w:p>
    <w:p>
      <w:pPr>
        <w:pStyle w:val="ListBullet"/>
      </w:pPr>
      <w:r>
        <w:t>12.2. Rozdzielenie ról</w:t>
      </w:r>
    </w:p>
    <w:p>
      <w:pPr>
        <w:pStyle w:val="ListBullet"/>
      </w:pPr>
      <w:r>
        <w:t>12.3. Raport kwartalny</w:t>
      </w:r>
    </w:p>
    <w:p>
      <w:pPr>
        <w:pStyle w:val="ListBullet"/>
      </w:pPr>
      <w:r>
        <w:t>Minimalne pola założenia</w:t>
      </w:r>
    </w:p>
    <w:p>
      <w:pPr>
        <w:pStyle w:val="ListBullet"/>
      </w:pPr>
      <w:r>
        <w:t>D0–D30</w:t>
      </w:r>
    </w:p>
    <w:p>
      <w:pPr>
        <w:pStyle w:val="ListBullet"/>
      </w:pPr>
      <w:r>
        <w:t>D31–D60</w:t>
      </w:r>
    </w:p>
    <w:p>
      <w:pPr>
        <w:pStyle w:val="ListBullet"/>
      </w:pPr>
      <w:r>
        <w:t>D61–D100</w:t>
      </w:r>
    </w:p>
    <w:p>
      <w:pPr>
        <w:pStyle w:val="Heading2"/>
      </w:pPr>
      <w:r>
        <w:t>1. Pytanie decyzyjne i zakres</w:t>
      </w:r>
    </w:p>
    <w:p>
      <w:pPr>
        <w:pStyle w:val="Heading3"/>
      </w:pPr>
      <w:r>
        <w:t>1.1. Pytanie</w:t>
      </w:r>
    </w:p>
    <w:p>
      <w:r>
        <w:t>Jak sfinansować zdolność państwa do szybkiego projektowania, testowania, produkcji, utrzymania i aktualizacji krytycznych technologii w sposób:</w:t>
      </w:r>
    </w:p>
    <w:p>
      <w:pPr>
        <w:pStyle w:val="ListBullet"/>
      </w:pPr>
      <w:r>
        <w:t>dodatkowy względem istniejących programów;</w:t>
      </w:r>
    </w:p>
    <w:p>
      <w:pPr>
        <w:pStyle w:val="ListBullet"/>
      </w:pPr>
      <w:r>
        <w:t>fiskalnie osiągalny;</w:t>
      </w:r>
    </w:p>
    <w:p>
      <w:pPr>
        <w:pStyle w:val="ListBullet"/>
      </w:pPr>
      <w:r>
        <w:t>odporny na błędną alokację;</w:t>
      </w:r>
    </w:p>
    <w:p>
      <w:pPr>
        <w:pStyle w:val="ListBullet"/>
      </w:pPr>
      <w:r>
        <w:t>zgodny z prawem i warunkami instrumentów;</w:t>
      </w:r>
    </w:p>
    <w:p>
      <w:pPr>
        <w:pStyle w:val="ListBullet"/>
      </w:pPr>
      <w:r>
        <w:t>tworzący bezpieczeństwo oraz możliwie trwałą wartość gospodarczą;</w:t>
      </w:r>
    </w:p>
    <w:p>
      <w:pPr>
        <w:pStyle w:val="ListBullet"/>
      </w:pPr>
      <w:r>
        <w:t>odwracalny, gdy dowody nie potwierdzą interwencji?</w:t>
      </w:r>
    </w:p>
    <w:p>
      <w:pPr>
        <w:pStyle w:val="Heading3"/>
      </w:pPr>
      <w:r>
        <w:t>1.2. Co należy policzyć</w:t>
      </w:r>
    </w:p>
    <w:p>
      <w:r>
        <w:t>Model obejmuje koszty przyrostowe programu i wpływ na cały portfel. Nie ogranicza się do wydatków oznaczonych nową nazwą. Powinien uwzględniać:</w:t>
      </w:r>
    </w:p>
    <w:p>
      <w:pPr>
        <w:pStyle w:val="ListNumber"/>
      </w:pPr>
      <w:r>
        <w:t>zobowiązania już zakontraktowane;</w:t>
      </w:r>
    </w:p>
    <w:p>
      <w:pPr>
        <w:pStyle w:val="ListNumber"/>
      </w:pPr>
      <w:r>
        <w:t>nowe wydatki bieżące i inwestycyjne;</w:t>
      </w:r>
    </w:p>
    <w:p>
      <w:pPr>
        <w:pStyle w:val="ListNumber"/>
      </w:pPr>
      <w:r>
        <w:t>pożyczki, gwarancje, kapitał i ryzyko warunkowe;</w:t>
      </w:r>
    </w:p>
    <w:p>
      <w:pPr>
        <w:pStyle w:val="ListNumber"/>
      </w:pPr>
      <w:r>
        <w:t>koszt obsługi długu oraz wymogi współfinansowania;</w:t>
      </w:r>
    </w:p>
    <w:p>
      <w:pPr>
        <w:pStyle w:val="ListNumber"/>
      </w:pPr>
      <w:r>
        <w:t>koszt utrzymania, serwisu, danych i aktualizacji;</w:t>
      </w:r>
    </w:p>
    <w:p>
      <w:pPr>
        <w:pStyle w:val="ListNumber"/>
      </w:pPr>
      <w:r>
        <w:t>koszt administracyjny, ewaluacji i bezpieczeństwa;</w:t>
      </w:r>
    </w:p>
    <w:p>
      <w:pPr>
        <w:pStyle w:val="ListNumber"/>
      </w:pPr>
      <w:r>
        <w:t>koszt zakończenia, migracji lub likwidacji;</w:t>
      </w:r>
    </w:p>
    <w:p>
      <w:pPr>
        <w:pStyle w:val="ListNumber"/>
      </w:pPr>
      <w:r>
        <w:t>przychody, zwroty kapitałowe i odzyski;</w:t>
      </w:r>
    </w:p>
    <w:p>
      <w:pPr>
        <w:pStyle w:val="ListNumber"/>
      </w:pPr>
      <w:r>
        <w:t>wartość opcji i redukcji ryzyka;</w:t>
      </w:r>
    </w:p>
    <w:p>
      <w:pPr>
        <w:pStyle w:val="ListNumber"/>
      </w:pPr>
      <w:r>
        <w:t>koszt alternatywny wobec innych celów publicznych.</w:t>
      </w:r>
    </w:p>
    <w:p>
      <w:pPr>
        <w:pStyle w:val="Heading3"/>
      </w:pPr>
      <w:r>
        <w:t>1.3. Czego model nie powinien robić</w:t>
      </w:r>
    </w:p>
    <w:p>
      <w:pPr>
        <w:pStyle w:val="ListBullet"/>
      </w:pPr>
      <w:r>
        <w:t>nie sumować całych budżetów instrumentów UE jako „wartości programu Polska 2040”;</w:t>
      </w:r>
    </w:p>
    <w:p>
      <w:pPr>
        <w:pStyle w:val="ListBullet"/>
      </w:pPr>
      <w:r>
        <w:t>nie uznawać podpisanej umowy finansowania za wykonaną płatność;</w:t>
      </w:r>
    </w:p>
    <w:p>
      <w:pPr>
        <w:pStyle w:val="ListBullet"/>
      </w:pPr>
      <w:r>
        <w:t>nie przypisywać całego obrotu wykonawcy do krajowej wartości dodanej;</w:t>
      </w:r>
    </w:p>
    <w:p>
      <w:pPr>
        <w:pStyle w:val="ListBullet"/>
      </w:pPr>
      <w:r>
        <w:t>nie mnożyć wydatków arbitralnym „mnożnikiem PKB” bez danych i kontrfaktycznego scenariusza;</w:t>
      </w:r>
    </w:p>
    <w:p>
      <w:pPr>
        <w:pStyle w:val="ListBullet"/>
      </w:pPr>
      <w:r>
        <w:t>nie liczyć tych samych miejsc pracy w dostawcy, poddostawcy i regionie jako trzech rezultatów;</w:t>
      </w:r>
    </w:p>
    <w:p>
      <w:pPr>
        <w:pStyle w:val="ListBullet"/>
      </w:pPr>
      <w:r>
        <w:t>nie traktować memorandum eksportowego jako przychodu;</w:t>
      </w:r>
    </w:p>
    <w:p>
      <w:pPr>
        <w:pStyle w:val="ListBullet"/>
      </w:pPr>
      <w:r>
        <w:t>nie pomijać kosztu utrzymania po zakończeniu dotacji;</w:t>
      </w:r>
    </w:p>
    <w:p>
      <w:pPr>
        <w:pStyle w:val="ListBullet"/>
      </w:pPr>
      <w:r>
        <w:t>nie wyceniać korzyści bezpieczeństwa z fałszywą dokładnością.</w:t>
      </w:r>
    </w:p>
    <w:p>
      <w:pPr>
        <w:pStyle w:val="Heading2"/>
      </w:pPr>
      <w:r>
        <w:t>2. Logika interwencji ekonomicznej</w:t>
      </w:r>
    </w:p>
    <w:p>
      <w:pPr>
        <w:pStyle w:val="Heading3"/>
      </w:pPr>
      <w:r>
        <w:t>2.1. Możliwe zawodności rynku i państwa</w:t>
      </w:r>
    </w:p>
    <w:p>
      <w:r>
        <w:t>Interwencja może być uzasadniona, gdy występuje co najmniej jeden z mechanizmów:</w:t>
      </w:r>
    </w:p>
    <w:p>
      <w:pPr>
        <w:pStyle w:val="ListBullet"/>
      </w:pPr>
      <w:r>
        <w:rPr>
          <w:b/>
        </w:rPr>
        <w:t>zewnętrzna korzyść bezpieczeństwa:</w:t>
      </w:r>
      <w:r>
        <w:t xml:space="preserve"> firma nie przechwytuje całej wartości odporności państwa;</w:t>
      </w:r>
    </w:p>
    <w:p>
      <w:pPr>
        <w:pStyle w:val="ListBullet"/>
      </w:pPr>
      <w:r>
        <w:rPr>
          <w:b/>
        </w:rPr>
        <w:t>niepewność popytu publicznego:</w:t>
      </w:r>
      <w:r>
        <w:t xml:space="preserve"> brak wiarygodnego sygnału zamówień ogranicza inwestycje w moce;</w:t>
      </w:r>
    </w:p>
    <w:p>
      <w:pPr>
        <w:pStyle w:val="ListBullet"/>
      </w:pPr>
      <w:r>
        <w:rPr>
          <w:b/>
        </w:rPr>
        <w:t>wysoki koszt wspólnej infrastruktury:</w:t>
      </w:r>
      <w:r>
        <w:t xml:space="preserve"> laboratorium, dane lub standard mają wielu użytkowników i trudno pobierać pełną opłatę;</w:t>
      </w:r>
    </w:p>
    <w:p>
      <w:pPr>
        <w:pStyle w:val="ListBullet"/>
      </w:pPr>
      <w:r>
        <w:rPr>
          <w:b/>
        </w:rPr>
        <w:t>asymetria informacji:</w:t>
      </w:r>
      <w:r>
        <w:t xml:space="preserve"> nabywca nie potrafi porównać deklaracji technologicznych bez testu;</w:t>
      </w:r>
    </w:p>
    <w:p>
      <w:pPr>
        <w:pStyle w:val="ListBullet"/>
      </w:pPr>
      <w:r>
        <w:rPr>
          <w:b/>
        </w:rPr>
        <w:t>koordynacja łańcucha:</w:t>
      </w:r>
      <w:r>
        <w:t xml:space="preserve"> pojedyncza firma nie sfinansuje wszystkich komplementarnych komponentów i kwalifikacji;</w:t>
      </w:r>
    </w:p>
    <w:p>
      <w:pPr>
        <w:pStyle w:val="ListBullet"/>
      </w:pPr>
      <w:r>
        <w:rPr>
          <w:b/>
        </w:rPr>
        <w:t>ograniczenie finansowania skali:</w:t>
      </w:r>
      <w:r>
        <w:t xml:space="preserve"> kapitał prywatny może nie finansować długiego lub regulowanego cyklu obronnego;</w:t>
      </w:r>
    </w:p>
    <w:p>
      <w:pPr>
        <w:pStyle w:val="ListBullet"/>
      </w:pPr>
      <w:r>
        <w:rPr>
          <w:b/>
        </w:rPr>
        <w:t>spillovers wiedzy:</w:t>
      </w:r>
      <w:r>
        <w:t xml:space="preserve"> część korzyści z B+R przechodzi do innych podmiotów i sektorów;</w:t>
      </w:r>
    </w:p>
    <w:p>
      <w:pPr>
        <w:pStyle w:val="ListBullet"/>
      </w:pPr>
      <w:r>
        <w:rPr>
          <w:b/>
        </w:rPr>
        <w:t>ryzyko zależności:</w:t>
      </w:r>
      <w:r>
        <w:t xml:space="preserve"> cena rynkowa nie odzwierciedla pełnego kosztu przerwania dostaw.</w:t>
      </w:r>
    </w:p>
    <w:p>
      <w:r>
        <w:t>Istnieją też zawodności państwa: selekcja polityczna, przechwycenie przez dostawcę, brak umiejętności zakupowych, miękkie ograniczenie budżetowe, finansowanie projektu po utracie sensu, zbyt duża tajność i rozproszenie odpowiedzialności. Instrument musi ograniczać oba rodzaje ryzyka.</w:t>
      </w:r>
    </w:p>
    <w:p>
      <w:pPr>
        <w:pStyle w:val="Heading3"/>
      </w:pPr>
      <w:r>
        <w:t>2.2. Teoria zmiany finansowej</w:t>
      </w:r>
    </w:p>
    <w:p>
      <w:r>
        <w:rPr>
          <w:b/>
        </w:rPr>
        <w:t>Wejścia:</w:t>
      </w:r>
      <w:r>
        <w:t xml:space="preserve"> mandat, dane bazowe, budżet, kompetencje, prawo i infrastruktura.</w:t>
      </w:r>
      <w:r/>
      <w:r>
        <w:br/>
      </w:r>
      <w:r>
        <w:rPr>
          <w:b/>
        </w:rPr>
        <w:t>Działania:</w:t>
      </w:r>
      <w:r>
        <w:t xml:space="preserve"> problemy, testy, kontrakty etapowe, inwestycje, szkolenia i partnerstwa.</w:t>
      </w:r>
      <w:r/>
      <w:r>
        <w:br/>
      </w:r>
      <w:r>
        <w:rPr>
          <w:b/>
        </w:rPr>
        <w:t>Produkty:</w:t>
      </w:r>
      <w:r>
        <w:t xml:space="preserve"> prototypy ocenione przez użytkowników, małe partie, komponenty, serwis, dane i kadry.</w:t>
      </w:r>
      <w:r/>
      <w:r>
        <w:br/>
      </w:r>
      <w:r>
        <w:rPr>
          <w:b/>
        </w:rPr>
        <w:t>Rezultaty:</w:t>
      </w:r>
      <w:r>
        <w:t xml:space="preserve"> krótszy cykl, mniejsza zależność, większa powtarzalność produkcji, eksport i produktywność.</w:t>
      </w:r>
      <w:r/>
      <w:r>
        <w:br/>
      </w:r>
      <w:r>
        <w:rPr>
          <w:b/>
        </w:rPr>
        <w:t>Wpływ:</w:t>
      </w:r>
      <w:r>
        <w:t xml:space="preserve"> wyższa odporność państwa i zdolność gospodarki do tworzenia oraz utrzymania zaawansowanych technologii.</w:t>
      </w:r>
    </w:p>
    <w:p>
      <w:r>
        <w:t>Każde przejście wymaga dowodu. Sam wydatek nie jest produktem, prototyp nie jest zdolnością, a krajowy montaż nie jest automatycznie odpornością.</w:t>
      </w:r>
    </w:p>
    <w:p>
      <w:pPr>
        <w:pStyle w:val="Heading2"/>
      </w:pPr>
      <w:r>
        <w:t>3. Architektura kosztów</w:t>
      </w:r>
    </w:p>
    <w:p>
      <w:pPr>
        <w:pStyle w:val="Heading3"/>
      </w:pPr>
      <w:r>
        <w:t>3.1. Dziesięć bloków kosztowych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ID</w:t>
            </w:r>
          </w:p>
        </w:tc>
        <w:tc>
          <w:tcPr>
            <w:tcW w:type="dxa" w:w="1920"/>
          </w:tcPr>
          <w:p>
            <w:r>
              <w:t>Blok</w:t>
            </w:r>
          </w:p>
        </w:tc>
        <w:tc>
          <w:tcPr>
            <w:tcW w:type="dxa" w:w="1920"/>
          </w:tcPr>
          <w:p>
            <w:r>
              <w:t>Typowe elementy</w:t>
            </w:r>
          </w:p>
        </w:tc>
        <w:tc>
          <w:tcPr>
            <w:tcW w:type="dxa" w:w="1920"/>
          </w:tcPr>
          <w:p>
            <w:r>
              <w:t>Główna baza</w:t>
            </w:r>
          </w:p>
        </w:tc>
        <w:tc>
          <w:tcPr>
            <w:tcW w:type="dxa" w:w="1920"/>
          </w:tcPr>
          <w:p>
            <w:r>
              <w:t>Ryzyko podwójnego liczenia</w:t>
            </w:r>
          </w:p>
        </w:tc>
      </w:tr>
      <w:tr>
        <w:tc>
          <w:tcPr>
            <w:tcW w:type="dxa" w:w="1920"/>
          </w:tcPr>
          <w:p>
            <w:r>
              <w:t>C01</w:t>
            </w:r>
          </w:p>
        </w:tc>
        <w:tc>
          <w:tcPr>
            <w:tcW w:type="dxa" w:w="1920"/>
          </w:tcPr>
          <w:p>
            <w:r>
              <w:t>Governance i ewaluacja</w:t>
            </w:r>
          </w:p>
        </w:tc>
        <w:tc>
          <w:tcPr>
            <w:tcW w:type="dxa" w:w="1920"/>
          </w:tcPr>
          <w:p>
            <w:r>
              <w:t>Biuro Realizacji, audyt, red-team, dashboard</w:t>
            </w:r>
          </w:p>
        </w:tc>
        <w:tc>
          <w:tcPr>
            <w:tcW w:type="dxa" w:w="1920"/>
          </w:tcPr>
          <w:p>
            <w:r>
              <w:t>etaty, zamówienia usług, systemy</w:t>
            </w:r>
          </w:p>
        </w:tc>
        <w:tc>
          <w:tcPr>
            <w:tcW w:type="dxa" w:w="1920"/>
          </w:tcPr>
          <w:p>
            <w:r>
              <w:t>istniejąca administracja</w:t>
            </w:r>
          </w:p>
        </w:tc>
      </w:tr>
      <w:tr>
        <w:tc>
          <w:tcPr>
            <w:tcW w:type="dxa" w:w="1920"/>
          </w:tcPr>
          <w:p>
            <w:r>
              <w:t>C02</w:t>
            </w:r>
          </w:p>
        </w:tc>
        <w:tc>
          <w:tcPr>
            <w:tcW w:type="dxa" w:w="1920"/>
          </w:tcPr>
          <w:p>
            <w:r>
              <w:t>Problemy, testy i małe partie</w:t>
            </w:r>
          </w:p>
        </w:tc>
        <w:tc>
          <w:tcPr>
            <w:tcW w:type="dxa" w:w="1920"/>
          </w:tcPr>
          <w:p>
            <w:r>
              <w:t>konkurs problemowy, prototyp, poligon/laboratorium, użytkownik</w:t>
            </w:r>
          </w:p>
        </w:tc>
        <w:tc>
          <w:tcPr>
            <w:tcW w:type="dxa" w:w="1920"/>
          </w:tcPr>
          <w:p>
            <w:r>
              <w:t>koszt testu i kontraktu</w:t>
            </w:r>
          </w:p>
        </w:tc>
        <w:tc>
          <w:tcPr>
            <w:tcW w:type="dxa" w:w="1920"/>
          </w:tcPr>
          <w:p>
            <w:r>
              <w:t>programy B+R i zakupy</w:t>
            </w:r>
          </w:p>
        </w:tc>
      </w:tr>
      <w:tr>
        <w:tc>
          <w:tcPr>
            <w:tcW w:type="dxa" w:w="1920"/>
          </w:tcPr>
          <w:p>
            <w:r>
              <w:t>C03</w:t>
            </w:r>
          </w:p>
        </w:tc>
        <w:tc>
          <w:tcPr>
            <w:tcW w:type="dxa" w:w="1920"/>
          </w:tcPr>
          <w:p>
            <w:r>
              <w:t>Dane i AI</w:t>
            </w:r>
          </w:p>
        </w:tc>
        <w:tc>
          <w:tcPr>
            <w:tcW w:type="dxa" w:w="1920"/>
          </w:tcPr>
          <w:p>
            <w:r>
              <w:t>katalog, środowiska, etykietowanie, benchmarki, monitoring</w:t>
            </w:r>
          </w:p>
        </w:tc>
        <w:tc>
          <w:tcPr>
            <w:tcW w:type="dxa" w:w="1920"/>
          </w:tcPr>
          <w:p>
            <w:r>
              <w:t>CAPEX/OPEX i dostęp</w:t>
            </w:r>
          </w:p>
        </w:tc>
        <w:tc>
          <w:tcPr>
            <w:tcW w:type="dxa" w:w="1920"/>
          </w:tcPr>
          <w:p>
            <w:r>
              <w:t>polityka AI, infrastruktura MON/PLGrid</w:t>
            </w:r>
          </w:p>
        </w:tc>
      </w:tr>
      <w:tr>
        <w:tc>
          <w:tcPr>
            <w:tcW w:type="dxa" w:w="1920"/>
          </w:tcPr>
          <w:p>
            <w:r>
              <w:t>C04</w:t>
            </w:r>
          </w:p>
        </w:tc>
        <w:tc>
          <w:tcPr>
            <w:tcW w:type="dxa" w:w="1920"/>
          </w:tcPr>
          <w:p>
            <w:r>
              <w:t>Cyber i software</w:t>
            </w:r>
          </w:p>
        </w:tc>
        <w:tc>
          <w:tcPr>
            <w:tcW w:type="dxa" w:w="1920"/>
          </w:tcPr>
          <w:p>
            <w:r>
              <w:t>secure SDLC, SBOM, audyt, aktualizacje, reakcja</w:t>
            </w:r>
          </w:p>
        </w:tc>
        <w:tc>
          <w:tcPr>
            <w:tcW w:type="dxa" w:w="1920"/>
          </w:tcPr>
          <w:p>
            <w:r>
              <w:t>koszt cyklu życia</w:t>
            </w:r>
          </w:p>
        </w:tc>
        <w:tc>
          <w:tcPr>
            <w:tcW w:type="dxa" w:w="1920"/>
          </w:tcPr>
          <w:p>
            <w:r>
              <w:t>wymagania kontraktowe już wycenione</w:t>
            </w:r>
          </w:p>
        </w:tc>
      </w:tr>
      <w:tr>
        <w:tc>
          <w:tcPr>
            <w:tcW w:type="dxa" w:w="1920"/>
          </w:tcPr>
          <w:p>
            <w:r>
              <w:t>C05</w:t>
            </w:r>
          </w:p>
        </w:tc>
        <w:tc>
          <w:tcPr>
            <w:tcW w:type="dxa" w:w="1920"/>
          </w:tcPr>
          <w:p>
            <w:r>
              <w:t>Przemysł i komponenty</w:t>
            </w:r>
          </w:p>
        </w:tc>
        <w:tc>
          <w:tcPr>
            <w:tcW w:type="dxa" w:w="1920"/>
          </w:tcPr>
          <w:p>
            <w:r>
              <w:t>maszyny, kwalifikacja, tooling, zapasy, energia</w:t>
            </w:r>
          </w:p>
        </w:tc>
        <w:tc>
          <w:tcPr>
            <w:tcW w:type="dxa" w:w="1920"/>
          </w:tcPr>
          <w:p>
            <w:r>
              <w:t>CAPEX, working capital</w:t>
            </w:r>
          </w:p>
        </w:tc>
        <w:tc>
          <w:tcPr>
            <w:tcW w:type="dxa" w:w="1920"/>
          </w:tcPr>
          <w:p>
            <w:r>
              <w:t>istniejące inwestycje wykonawców</w:t>
            </w:r>
          </w:p>
        </w:tc>
      </w:tr>
      <w:tr>
        <w:tc>
          <w:tcPr>
            <w:tcW w:type="dxa" w:w="1920"/>
          </w:tcPr>
          <w:p>
            <w:r>
              <w:t>C06</w:t>
            </w:r>
          </w:p>
        </w:tc>
        <w:tc>
          <w:tcPr>
            <w:tcW w:type="dxa" w:w="1920"/>
          </w:tcPr>
          <w:p>
            <w:r>
              <w:t>Serwis i logistyka</w:t>
            </w:r>
          </w:p>
        </w:tc>
        <w:tc>
          <w:tcPr>
            <w:tcW w:type="dxa" w:w="1920"/>
          </w:tcPr>
          <w:p>
            <w:r>
              <w:t>części, naprawy, narzędzia, dokumentacja, utylizacja</w:t>
            </w:r>
          </w:p>
        </w:tc>
        <w:tc>
          <w:tcPr>
            <w:tcW w:type="dxa" w:w="1920"/>
          </w:tcPr>
          <w:p>
            <w:r>
              <w:t>TCO według klasy</w:t>
            </w:r>
          </w:p>
        </w:tc>
        <w:tc>
          <w:tcPr>
            <w:tcW w:type="dxa" w:w="1920"/>
          </w:tcPr>
          <w:p>
            <w:r>
              <w:t>umowy utrzymaniowe</w:t>
            </w:r>
          </w:p>
        </w:tc>
      </w:tr>
      <w:tr>
        <w:tc>
          <w:tcPr>
            <w:tcW w:type="dxa" w:w="1920"/>
          </w:tcPr>
          <w:p>
            <w:r>
              <w:t>C07</w:t>
            </w:r>
          </w:p>
        </w:tc>
        <w:tc>
          <w:tcPr>
            <w:tcW w:type="dxa" w:w="1920"/>
          </w:tcPr>
          <w:p>
            <w:r>
              <w:t>Kadry</w:t>
            </w:r>
          </w:p>
        </w:tc>
        <w:tc>
          <w:tcPr>
            <w:tcW w:type="dxa" w:w="1920"/>
          </w:tcPr>
          <w:p>
            <w:r>
              <w:t>programy krótkie, praktyki, nauczyciele, laboratoria</w:t>
            </w:r>
          </w:p>
        </w:tc>
        <w:tc>
          <w:tcPr>
            <w:tcW w:type="dxa" w:w="1920"/>
          </w:tcPr>
          <w:p>
            <w:r>
              <w:t>koszt na kompetencję i retencję</w:t>
            </w:r>
          </w:p>
        </w:tc>
        <w:tc>
          <w:tcPr>
            <w:tcW w:type="dxa" w:w="1920"/>
          </w:tcPr>
          <w:p>
            <w:r>
              <w:t>edukacja powszechna i fundusze UE</w:t>
            </w:r>
          </w:p>
        </w:tc>
      </w:tr>
      <w:tr>
        <w:tc>
          <w:tcPr>
            <w:tcW w:type="dxa" w:w="1920"/>
          </w:tcPr>
          <w:p>
            <w:r>
              <w:t>C08</w:t>
            </w:r>
          </w:p>
        </w:tc>
        <w:tc>
          <w:tcPr>
            <w:tcW w:type="dxa" w:w="1920"/>
          </w:tcPr>
          <w:p>
            <w:r>
              <w:t>Partnerstwa i IP</w:t>
            </w:r>
          </w:p>
        </w:tc>
        <w:tc>
          <w:tcPr>
            <w:tcW w:type="dxa" w:w="1920"/>
          </w:tcPr>
          <w:p>
            <w:r>
              <w:t>due diligence, licencje, JV, depozyt, certyfikacja</w:t>
            </w:r>
          </w:p>
        </w:tc>
        <w:tc>
          <w:tcPr>
            <w:tcW w:type="dxa" w:w="1920"/>
          </w:tcPr>
          <w:p>
            <w:r>
              <w:t>koszt transakcji i praw</w:t>
            </w:r>
          </w:p>
        </w:tc>
        <w:tc>
          <w:tcPr>
            <w:tcW w:type="dxa" w:w="1920"/>
          </w:tcPr>
          <w:p>
            <w:r>
              <w:t>granty międzynarodowe</w:t>
            </w:r>
          </w:p>
        </w:tc>
      </w:tr>
      <w:tr>
        <w:tc>
          <w:tcPr>
            <w:tcW w:type="dxa" w:w="1920"/>
          </w:tcPr>
          <w:p>
            <w:r>
              <w:t>C09</w:t>
            </w:r>
          </w:p>
        </w:tc>
        <w:tc>
          <w:tcPr>
            <w:tcW w:type="dxa" w:w="1920"/>
          </w:tcPr>
          <w:p>
            <w:r>
              <w:t>Regiony i dual-use</w:t>
            </w:r>
          </w:p>
        </w:tc>
        <w:tc>
          <w:tcPr>
            <w:tcW w:type="dxa" w:w="1920"/>
          </w:tcPr>
          <w:p>
            <w:r>
              <w:t>pilotaże cywilne, centra, zamówienia publiczne</w:t>
            </w:r>
          </w:p>
        </w:tc>
        <w:tc>
          <w:tcPr>
            <w:tcW w:type="dxa" w:w="1920"/>
          </w:tcPr>
          <w:p>
            <w:r>
              <w:t>koszt pilotażu i popyt po nim</w:t>
            </w:r>
          </w:p>
        </w:tc>
        <w:tc>
          <w:tcPr>
            <w:tcW w:type="dxa" w:w="1920"/>
          </w:tcPr>
          <w:p>
            <w:r>
              <w:t>polityka regionalna i sektorowa</w:t>
            </w:r>
          </w:p>
        </w:tc>
      </w:tr>
      <w:tr>
        <w:tc>
          <w:tcPr>
            <w:tcW w:type="dxa" w:w="1920"/>
          </w:tcPr>
          <w:p>
            <w:r>
              <w:t>C10</w:t>
            </w:r>
          </w:p>
        </w:tc>
        <w:tc>
          <w:tcPr>
            <w:tcW w:type="dxa" w:w="1920"/>
          </w:tcPr>
          <w:p>
            <w:r>
              <w:t>Eksport</w:t>
            </w:r>
          </w:p>
        </w:tc>
        <w:tc>
          <w:tcPr>
            <w:tcW w:type="dxa" w:w="1920"/>
          </w:tcPr>
          <w:p>
            <w:r>
              <w:t>certyfikacja, gwarancje, ubezpieczenia, serwis</w:t>
            </w:r>
          </w:p>
        </w:tc>
        <w:tc>
          <w:tcPr>
            <w:tcW w:type="dxa" w:w="1920"/>
          </w:tcPr>
          <w:p>
            <w:r>
              <w:t>ekspozycja i wykonany kontrakt</w:t>
            </w:r>
          </w:p>
        </w:tc>
        <w:tc>
          <w:tcPr>
            <w:tcW w:type="dxa" w:w="1920"/>
          </w:tcPr>
          <w:p>
            <w:r>
              <w:t>standardowe instrumenty eksportowe</w:t>
            </w:r>
          </w:p>
        </w:tc>
      </w:tr>
    </w:tbl>
    <w:p>
      <w:pPr>
        <w:pStyle w:val="Heading3"/>
      </w:pPr>
      <w:r>
        <w:t>3.2. Pełny koszt cyklu życia</w:t>
      </w:r>
    </w:p>
    <w:p>
      <w:r>
        <w:t>Każdy projekt skali przedstawia co najmniej:</w:t>
      </w:r>
    </w:p>
    <w:p>
      <w:pPr>
        <w:pStyle w:val="ListBullet"/>
      </w:pPr>
      <w:r>
        <w:t>koszt nabycia i integracji;</w:t>
      </w:r>
    </w:p>
    <w:p>
      <w:pPr>
        <w:pStyle w:val="ListBullet"/>
      </w:pPr>
      <w:r>
        <w:t>infrastrukturę i szkolenie;</w:t>
      </w:r>
    </w:p>
    <w:p>
      <w:pPr>
        <w:pStyle w:val="ListBullet"/>
      </w:pPr>
      <w:r>
        <w:t>dane, licencje, chmurę/obliczenia i łączność;</w:t>
      </w:r>
    </w:p>
    <w:p>
      <w:pPr>
        <w:pStyle w:val="ListBullet"/>
      </w:pPr>
      <w:r>
        <w:t>cyber, testy i certyfikację;</w:t>
      </w:r>
    </w:p>
    <w:p>
      <w:pPr>
        <w:pStyle w:val="ListBullet"/>
      </w:pPr>
      <w:r>
        <w:t>części, serwis, naprawy i aktualizacje;</w:t>
      </w:r>
    </w:p>
    <w:p>
      <w:pPr>
        <w:pStyle w:val="ListBullet"/>
      </w:pPr>
      <w:r>
        <w:t>energię, magazynowanie i logistykę;</w:t>
      </w:r>
    </w:p>
    <w:p>
      <w:pPr>
        <w:pStyle w:val="ListBullet"/>
      </w:pPr>
      <w:r>
        <w:t>zmianę komponentów i dostawców;</w:t>
      </w:r>
    </w:p>
    <w:p>
      <w:pPr>
        <w:pStyle w:val="ListBullet"/>
      </w:pPr>
      <w:r>
        <w:t>utylizację lub demilitaryzację, gdy dotyczy;</w:t>
      </w:r>
    </w:p>
    <w:p>
      <w:pPr>
        <w:pStyle w:val="ListBullet"/>
      </w:pPr>
      <w:r>
        <w:t>koszt migracji oraz zakończenia;</w:t>
      </w:r>
    </w:p>
    <w:p>
      <w:pPr>
        <w:pStyle w:val="ListBullet"/>
      </w:pPr>
      <w:r>
        <w:t>rezerwę na ryzyko z uzasadnieniem.</w:t>
      </w:r>
    </w:p>
    <w:p>
      <w:r>
        <w:t>Porównanie ofert według ceny zakupu bez TCO może premiować rozwiązanie najdroższe w utrzymaniu albo tworzące niekontrolowalną zależność.</w:t>
      </w:r>
    </w:p>
    <w:p>
      <w:pPr>
        <w:pStyle w:val="Heading3"/>
      </w:pPr>
      <w:r>
        <w:t>3.3. Wartość praw i opcji</w:t>
      </w:r>
    </w:p>
    <w:p>
      <w:r>
        <w:t>Model ujmuje jako osobne pozycje prawa do:</w:t>
      </w:r>
    </w:p>
    <w:p>
      <w:pPr>
        <w:pStyle w:val="ListBullet"/>
      </w:pPr>
      <w:r>
        <w:t>audytu kodu i konfiguracji;</w:t>
      </w:r>
    </w:p>
    <w:p>
      <w:pPr>
        <w:pStyle w:val="ListBullet"/>
      </w:pPr>
      <w:r>
        <w:t>dostępu do interfejsów;</w:t>
      </w:r>
    </w:p>
    <w:p>
      <w:pPr>
        <w:pStyle w:val="ListBullet"/>
      </w:pPr>
      <w:r>
        <w:t>naprawy i lokalnej aktualizacji;</w:t>
      </w:r>
    </w:p>
    <w:p>
      <w:pPr>
        <w:pStyle w:val="ListBullet"/>
      </w:pPr>
      <w:r>
        <w:t>kwalifikacji alternatywnego komponentu;</w:t>
      </w:r>
    </w:p>
    <w:p>
      <w:pPr>
        <w:pStyle w:val="ListBullet"/>
      </w:pPr>
      <w:r>
        <w:t>depozytu dokumentacji i kodu;</w:t>
      </w:r>
    </w:p>
    <w:p>
      <w:pPr>
        <w:pStyle w:val="ListBullet"/>
      </w:pPr>
      <w:r>
        <w:t>produkcji awaryjnej na zdefiniowanych warunkach;</w:t>
      </w:r>
    </w:p>
    <w:p>
      <w:pPr>
        <w:pStyle w:val="ListBullet"/>
      </w:pPr>
      <w:r>
        <w:t>eksportu i modyfikacji;</w:t>
      </w:r>
    </w:p>
    <w:p>
      <w:pPr>
        <w:pStyle w:val="ListBullet"/>
      </w:pPr>
      <w:r>
        <w:t>zakończenia bez nieproporcjonalnej opłaty.</w:t>
      </w:r>
    </w:p>
    <w:p>
      <w:r>
        <w:t>Opcja ma koszt, lecz redukuje ekspozycję. Należy porównywać koszt zakupu opcji z oczekiwaną stratą i znaczeniem strategicznym, a nie wymagać wszystkich praw w każdym kontrakcie.</w:t>
      </w:r>
    </w:p>
    <w:p>
      <w:pPr>
        <w:pStyle w:val="Heading2"/>
      </w:pPr>
      <w:r>
        <w:t>4. Dopasowanie instrumentu do etapu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r>
              <w:t>Etap</w:t>
            </w:r>
          </w:p>
        </w:tc>
        <w:tc>
          <w:tcPr>
            <w:tcW w:type="dxa" w:w="1920"/>
          </w:tcPr>
          <w:p>
            <w:r>
              <w:t>Niepewność</w:t>
            </w:r>
          </w:p>
        </w:tc>
        <w:tc>
          <w:tcPr>
            <w:tcW w:type="dxa" w:w="1920"/>
          </w:tcPr>
          <w:p>
            <w:r>
              <w:t>Instrument podstawowy</w:t>
            </w:r>
          </w:p>
        </w:tc>
        <w:tc>
          <w:tcPr>
            <w:tcW w:type="dxa" w:w="1920"/>
          </w:tcPr>
          <w:p>
            <w:r>
              <w:t>Dlaczego</w:t>
            </w:r>
          </w:p>
        </w:tc>
        <w:tc>
          <w:tcPr>
            <w:tcW w:type="dxa" w:w="1920"/>
          </w:tcPr>
          <w:p>
            <w:r>
              <w:t>Warunek stop</w:t>
            </w:r>
          </w:p>
        </w:tc>
      </w:tr>
      <w:tr>
        <w:tc>
          <w:tcPr>
            <w:tcW w:type="dxa" w:w="1920"/>
          </w:tcPr>
          <w:p>
            <w:r>
              <w:t>S0 problem</w:t>
            </w:r>
          </w:p>
        </w:tc>
        <w:tc>
          <w:tcPr>
            <w:tcW w:type="dxa" w:w="1920"/>
          </w:tcPr>
          <w:p>
            <w:r>
              <w:t>czy potrzeba jest realna?</w:t>
            </w:r>
          </w:p>
        </w:tc>
        <w:tc>
          <w:tcPr>
            <w:tcW w:type="dxa" w:w="1920"/>
          </w:tcPr>
          <w:p>
            <w:r>
              <w:t>analiza, zamówienie problemowe</w:t>
            </w:r>
          </w:p>
        </w:tc>
        <w:tc>
          <w:tcPr>
            <w:tcW w:type="dxa" w:w="1920"/>
          </w:tcPr>
          <w:p>
            <w:r>
              <w:t>kupuje definicję i bazę</w:t>
            </w:r>
          </w:p>
        </w:tc>
        <w:tc>
          <w:tcPr>
            <w:tcW w:type="dxa" w:w="1920"/>
          </w:tcPr>
          <w:p>
            <w:r>
              <w:t>brak właściciela/użytkownika</w:t>
            </w:r>
          </w:p>
        </w:tc>
      </w:tr>
      <w:tr>
        <w:tc>
          <w:tcPr>
            <w:tcW w:type="dxa" w:w="1920"/>
          </w:tcPr>
          <w:p>
            <w:r>
              <w:t>S1 wykonalność</w:t>
            </w:r>
          </w:p>
        </w:tc>
        <w:tc>
          <w:tcPr>
            <w:tcW w:type="dxa" w:w="1920"/>
          </w:tcPr>
          <w:p>
            <w:r>
              <w:t>czy istnieje legalna i techniczna droga?</w:t>
            </w:r>
          </w:p>
        </w:tc>
        <w:tc>
          <w:tcPr>
            <w:tcW w:type="dxa" w:w="1920"/>
          </w:tcPr>
          <w:p>
            <w:r>
              <w:t>mały grant/kontrakt B+R</w:t>
            </w:r>
          </w:p>
        </w:tc>
        <w:tc>
          <w:tcPr>
            <w:tcW w:type="dxa" w:w="1920"/>
          </w:tcPr>
          <w:p>
            <w:r>
              <w:t>ogranicza koszt poznania</w:t>
            </w:r>
          </w:p>
        </w:tc>
        <w:tc>
          <w:tcPr>
            <w:tcW w:type="dxa" w:w="1920"/>
          </w:tcPr>
          <w:p>
            <w:r>
              <w:t>nierozwiązywalne prawo/bezpieczeństwo</w:t>
            </w:r>
          </w:p>
        </w:tc>
      </w:tr>
      <w:tr>
        <w:tc>
          <w:tcPr>
            <w:tcW w:type="dxa" w:w="1920"/>
          </w:tcPr>
          <w:p>
            <w:r>
              <w:t>S2 prototyp</w:t>
            </w:r>
          </w:p>
        </w:tc>
        <w:tc>
          <w:tcPr>
            <w:tcW w:type="dxa" w:w="1920"/>
          </w:tcPr>
          <w:p>
            <w:r>
              <w:t>czy mechanizm działa?</w:t>
            </w:r>
          </w:p>
        </w:tc>
        <w:tc>
          <w:tcPr>
            <w:tcW w:type="dxa" w:w="1920"/>
          </w:tcPr>
          <w:p>
            <w:r>
              <w:t>finansowanie etapowe</w:t>
            </w:r>
          </w:p>
        </w:tc>
        <w:tc>
          <w:tcPr>
            <w:tcW w:type="dxa" w:w="1920"/>
          </w:tcPr>
          <w:p>
            <w:r>
              <w:t>płatność za kamień milowy</w:t>
            </w:r>
          </w:p>
        </w:tc>
        <w:tc>
          <w:tcPr>
            <w:tcW w:type="dxa" w:w="1920"/>
          </w:tcPr>
          <w:p>
            <w:r>
              <w:t>brak redukcji kluczowej niepewności</w:t>
            </w:r>
          </w:p>
        </w:tc>
      </w:tr>
      <w:tr>
        <w:tc>
          <w:tcPr>
            <w:tcW w:type="dxa" w:w="1920"/>
          </w:tcPr>
          <w:p>
            <w:r>
              <w:t>S3 test</w:t>
            </w:r>
          </w:p>
        </w:tc>
        <w:tc>
          <w:tcPr>
            <w:tcW w:type="dxa" w:w="1920"/>
          </w:tcPr>
          <w:p>
            <w:r>
              <w:t>czy działa względem bazy?</w:t>
            </w:r>
          </w:p>
        </w:tc>
        <w:tc>
          <w:tcPr>
            <w:tcW w:type="dxa" w:w="1920"/>
          </w:tcPr>
          <w:p>
            <w:r>
              <w:t>kontrakt na test i ewaluację</w:t>
            </w:r>
          </w:p>
        </w:tc>
        <w:tc>
          <w:tcPr>
            <w:tcW w:type="dxa" w:w="1920"/>
          </w:tcPr>
          <w:p>
            <w:r>
              <w:t>niezależny dowód</w:t>
            </w:r>
          </w:p>
        </w:tc>
        <w:tc>
          <w:tcPr>
            <w:tcW w:type="dxa" w:w="1920"/>
          </w:tcPr>
          <w:p>
            <w:r>
              <w:t>brak przewagi lub jakości dowodu</w:t>
            </w:r>
          </w:p>
        </w:tc>
      </w:tr>
      <w:tr>
        <w:tc>
          <w:tcPr>
            <w:tcW w:type="dxa" w:w="1920"/>
          </w:tcPr>
          <w:p>
            <w:r>
              <w:t>S4 mała partia</w:t>
            </w:r>
          </w:p>
        </w:tc>
        <w:tc>
          <w:tcPr>
            <w:tcW w:type="dxa" w:w="1920"/>
          </w:tcPr>
          <w:p>
            <w:r>
              <w:t>czy jest powtarzalny i utrzymywalny?</w:t>
            </w:r>
          </w:p>
        </w:tc>
        <w:tc>
          <w:tcPr>
            <w:tcW w:type="dxa" w:w="1920"/>
          </w:tcPr>
          <w:p>
            <w:r>
              <w:t>zamówienie z opcją</w:t>
            </w:r>
          </w:p>
        </w:tc>
        <w:tc>
          <w:tcPr>
            <w:tcW w:type="dxa" w:w="1920"/>
          </w:tcPr>
          <w:p>
            <w:r>
              <w:t>dane realnego cyklu życia</w:t>
            </w:r>
          </w:p>
        </w:tc>
        <w:tc>
          <w:tcPr>
            <w:tcW w:type="dxa" w:w="1920"/>
          </w:tcPr>
          <w:p>
            <w:r>
              <w:t>niespełnione kryteria niezawodności/serwisu</w:t>
            </w:r>
          </w:p>
        </w:tc>
      </w:tr>
      <w:tr>
        <w:tc>
          <w:tcPr>
            <w:tcW w:type="dxa" w:w="1920"/>
          </w:tcPr>
          <w:p>
            <w:r>
              <w:t>S5 skala</w:t>
            </w:r>
          </w:p>
        </w:tc>
        <w:tc>
          <w:tcPr>
            <w:tcW w:type="dxa" w:w="1920"/>
          </w:tcPr>
          <w:p>
            <w:r>
              <w:t>czy popyt i produkcja są trwałe?</w:t>
            </w:r>
          </w:p>
        </w:tc>
        <w:tc>
          <w:tcPr>
            <w:tcW w:type="dxa" w:w="1920"/>
          </w:tcPr>
          <w:p>
            <w:r>
              <w:t>zamówienie, kredyt, gwarancja, kapitał</w:t>
            </w:r>
          </w:p>
        </w:tc>
        <w:tc>
          <w:tcPr>
            <w:tcW w:type="dxa" w:w="1920"/>
          </w:tcPr>
          <w:p>
            <w:r>
              <w:t>finansuje moce i dostawy</w:t>
            </w:r>
          </w:p>
        </w:tc>
        <w:tc>
          <w:tcPr>
            <w:tcW w:type="dxa" w:w="1920"/>
          </w:tcPr>
          <w:p>
            <w:r>
              <w:t>brak popytu, bezpieczeństwa lub TCO</w:t>
            </w:r>
          </w:p>
        </w:tc>
      </w:tr>
      <w:tr>
        <w:tc>
          <w:tcPr>
            <w:tcW w:type="dxa" w:w="1920"/>
          </w:tcPr>
          <w:p>
            <w:r>
              <w:t>S6 eksport</w:t>
            </w:r>
          </w:p>
        </w:tc>
        <w:tc>
          <w:tcPr>
            <w:tcW w:type="dxa" w:w="1920"/>
          </w:tcPr>
          <w:p>
            <w:r>
              <w:t>czy istnieje kontrahent i zgodność?</w:t>
            </w:r>
          </w:p>
        </w:tc>
        <w:tc>
          <w:tcPr>
            <w:tcW w:type="dxa" w:w="1920"/>
          </w:tcPr>
          <w:p>
            <w:r>
              <w:t>ubezpieczenie/gwarancja/finansowanie eksportu</w:t>
            </w:r>
          </w:p>
        </w:tc>
        <w:tc>
          <w:tcPr>
            <w:tcW w:type="dxa" w:w="1920"/>
          </w:tcPr>
          <w:p>
            <w:r>
              <w:t>dzieli ryzyko transakcji</w:t>
            </w:r>
          </w:p>
        </w:tc>
        <w:tc>
          <w:tcPr>
            <w:tcW w:type="dxa" w:w="1920"/>
          </w:tcPr>
          <w:p>
            <w:r>
              <w:t>brak end-user/compliance/przychodu</w:t>
            </w:r>
          </w:p>
        </w:tc>
      </w:tr>
    </w:tbl>
    <w:p>
      <w:pPr>
        <w:pStyle w:val="Heading3"/>
      </w:pPr>
      <w:r>
        <w:t>Grant</w:t>
      </w:r>
    </w:p>
    <w:p>
      <w:r>
        <w:t>Właściwy, gdy wynik ma wysoką niepewność i spillovers, a zamówienie produktu byłoby przedwczesne. Grant powinien mieć kamienie milowe, dane o rezultacie i prawo zakończenia. Nie może zastępować sygnału popytu.</w:t>
      </w:r>
    </w:p>
    <w:p>
      <w:pPr>
        <w:pStyle w:val="Heading3"/>
      </w:pPr>
      <w:r>
        <w:t>Zamówienie</w:t>
      </w:r>
    </w:p>
    <w:p>
      <w:r>
        <w:t>Właściwe, gdy istnieje użytkownik i możliwy do odebrania rezultat. Kontrakt może kupować badanie, prototyp, test, partię lub usługę. Kluczowe są kryteria odbioru, dane, IP, cyber, TCO i opcje.</w:t>
      </w:r>
    </w:p>
    <w:p>
      <w:pPr>
        <w:pStyle w:val="Heading3"/>
      </w:pPr>
      <w:r>
        <w:t>Kapitał</w:t>
      </w:r>
    </w:p>
    <w:p>
      <w:r>
        <w:t>Właściwy, gdy państwo chce uczestniczyć w długoterminowej wartości i ryzyku firmy, a nie tylko kupić produkt. Wymaga profesjonalnego ładu, wyceny, ochrony mniejszości, strategii wyjścia i rozdzielenia decyzji inwestycyjnej od zakupowej.</w:t>
      </w:r>
    </w:p>
    <w:p>
      <w:pPr>
        <w:pStyle w:val="Heading3"/>
      </w:pPr>
      <w:r>
        <w:t>Kredyt i gwarancja</w:t>
      </w:r>
    </w:p>
    <w:p>
      <w:r>
        <w:t>Właściwe dla finansowania mocy, zapasów i kapitału obrotowego przy wiarygodnym popycie. Gwarancja tworzy ekspozycję warunkową i musi być wyceniona, limitowana oraz monitorowana.</w:t>
      </w:r>
    </w:p>
    <w:p>
      <w:pPr>
        <w:pStyle w:val="Heading3"/>
      </w:pPr>
      <w:r>
        <w:t>Infrastruktura wspólna</w:t>
      </w:r>
    </w:p>
    <w:p>
      <w:r>
        <w:t>Może wymagać finansowania publicznego, gdy służy wielu firmom i jednostkom. Powinna mieć zasady równego dostępu, cennik lub uzasadnienie dotacji, miernik wykorzystania, plan bezpieczeństwa i warunek zamknięcia niewykorzystanej infrastruktury.</w:t>
      </w:r>
    </w:p>
    <w:p>
      <w:pPr>
        <w:pStyle w:val="Heading2"/>
      </w:pPr>
      <w:r>
        <w:t>5. Mapa źródeł finansowania</w:t>
      </w:r>
    </w:p>
    <w:p>
      <w:pPr>
        <w:pStyle w:val="Heading3"/>
      </w:pPr>
      <w:r>
        <w:t>5.1. Budżet państwa</w:t>
      </w:r>
    </w:p>
    <w:p>
      <w:r>
        <w:t>Najbardziej bezpośredni instrument dla zadań administracji, bezpieczeństwa i zamówień. Pozwala dopasować zakres do polskich potrzeb, ale ma pełny koszt alternatywny i podlega krajowym regułom budżetowym. W modelu należy wskazać część, dysponenta, rok zobowiązania, płatność i wynik.</w:t>
      </w:r>
    </w:p>
    <w:p>
      <w:pPr>
        <w:pStyle w:val="Heading3"/>
      </w:pPr>
      <w:r>
        <w:t>5.2. SAFE</w:t>
      </w:r>
    </w:p>
    <w:p>
      <w:r>
        <w:t>SAFE jest ważnym źródłem finansowania zakupów i rozwoju zdolności, lecz ma charakter pożyczkowy (</w:t>
      </w:r>
      <w:r>
        <w:rPr>
          <w:b/>
        </w:rPr>
        <w:t>CLM-1208</w:t>
      </w:r>
      <w:r>
        <w:t>). Dla każdego kosztu trzeba ustalić kwalifikowalność, terminy, warunki wspólnych zakupów lub udziału przemysłu, przepływ płatności, koszt finansowania i zgodność z krajowym planem. Nie można wpisywać całej dostępnej kwoty jako budżetu nowej strategii.</w:t>
      </w:r>
    </w:p>
    <w:p>
      <w:r>
        <w:rPr>
          <w:b/>
        </w:rPr>
        <w:t>REKOMENDACJA:</w:t>
      </w:r>
      <w:r>
        <w:t xml:space="preserve"> deklarowany plan 89% dla polskiej gospodarki (</w:t>
      </w:r>
      <w:r>
        <w:rPr>
          <w:b/>
        </w:rPr>
        <w:t>CLM-1209</w:t>
      </w:r>
      <w:r>
        <w:t>) przełożyć na metrykę kontraktową z definicją wartości dodanej, publikowaną metodologią i pomiarem ex post.</w:t>
      </w:r>
    </w:p>
    <w:p>
      <w:pPr>
        <w:pStyle w:val="Heading3"/>
      </w:pPr>
      <w:r>
        <w:t>5.3. EDF, EUDIS, STEP i inne instrumenty UE</w:t>
      </w:r>
    </w:p>
    <w:p>
      <w:r>
        <w:t>Instrumenty mogą finansować B+R, demonstracje, skalowanie lub kapitał zależnie od bieżących regulaminów. Model nie zakłada kwalifikowalności. Każda pozycja ma: program, call, beneficjenta, koszt kwalifikowany, współfinansowanie, prawa IP, warunki konsorcjum, termin, ryzyko i unikalny identyfikator kosztu.</w:t>
      </w:r>
    </w:p>
    <w:p>
      <w:r>
        <w:t>Polityka spójności 2021–2027 obejmuje w Polsce ponad 76 mld EUR i 16 programów regionalnych, ale środki są przypisane do konkretnych programów, celów i zasad — nie stanowią swobodnej puli dla programu „Polska 2040” (</w:t>
      </w:r>
      <w:r>
        <w:t>MFiPR</w:t>
      </w:r>
      <w:r>
        <w:t xml:space="preserve">, </w:t>
      </w:r>
      <w:r>
        <w:rPr>
          <w:b/>
        </w:rPr>
        <w:t>CLM-1108</w:t>
      </w:r>
      <w:r>
        <w:t>). Model może ujmować wyłącznie pozycje z ustaloną kwalifikowalnością, beneficjentem, współfinansowaniem i brakiem podwójnego finansowania.</w:t>
      </w:r>
    </w:p>
    <w:p>
      <w:pPr>
        <w:pStyle w:val="Heading3"/>
      </w:pPr>
      <w:r>
        <w:t>5.4. PFR, BGK, NCBR, PARP i instrumenty krajowe</w:t>
      </w:r>
    </w:p>
    <w:p>
      <w:r>
        <w:t>Rola instytucji powinna wynikać z typu ryzyka: grant technologiczny, kapitał, kredyt, gwarancja, internacjonalizacja lub rozwój MŚP. Program nie tworzy automatycznie nowego funduszu, zanim nie wykaże luki, której istniejący instrument nie potrafi obsłużyć.</w:t>
      </w:r>
    </w:p>
    <w:p>
      <w:pPr>
        <w:pStyle w:val="Heading3"/>
      </w:pPr>
      <w:r>
        <w:t>5.5. Kapitał prywatny i strategiczny</w:t>
      </w:r>
    </w:p>
    <w:p>
      <w:r>
        <w:t>Kapitał prywatny wzmacnia dyscyplinę rynku, lecz może unikać długiego cyklu, ryzyka eksportowego i ograniczeń bezpieczeństwa. Państwo może redukować konkretną barierę, ale nie powinno gwarantować całego wyniku biznesowego. Warunkiem jest prywatny udział ryzyka, przejrzysta wycena, ochrona interesu publicznego i brak preferencji bez procedury.</w:t>
      </w:r>
    </w:p>
    <w:p>
      <w:pPr>
        <w:pStyle w:val="Heading2"/>
      </w:pPr>
      <w:r>
        <w:t>6. Trzy scenariusze finansowe</w:t>
      </w:r>
    </w:p>
    <w:p>
      <w:r>
        <w:t xml:space="preserve">Scenariusze są strukturą decyzji. Liczby zostaną uzupełnione po audycie bazowym w skoroszycie </w:t>
      </w:r>
      <w:r>
        <w:t>financing-scenarios.xlsx</w:t>
      </w:r>
      <w:r>
        <w:t>.</w:t>
      </w:r>
    </w:p>
    <w:p>
      <w:pPr>
        <w:pStyle w:val="Heading3"/>
      </w:pPr>
      <w:r>
        <w:t>6.1. SCENARIUSZ L — integracja niskokosztowa</w:t>
      </w:r>
    </w:p>
    <w:p>
      <w:r>
        <w:rPr>
          <w:b/>
        </w:rPr>
        <w:t>Zakres:</w:t>
      </w:r>
      <w:r>
        <w:t xml:space="preserve"> Biuro Realizacji, wspólne rejestry, ograniczony pilotaż danych/testów, wykorzystanie istniejących laboratoriów i instrumentów, mały program przekwalifikowania.</w:t>
      </w:r>
    </w:p>
    <w:p>
      <w:r>
        <w:rPr>
          <w:b/>
        </w:rPr>
        <w:t>Korzyści:</w:t>
      </w:r>
      <w:r>
        <w:t xml:space="preserve"> niska ekspozycja, szybkie poznanie luk, możliwość zakończenia.</w:t>
      </w:r>
      <w:r/>
      <w:r>
        <w:br/>
      </w:r>
      <w:r>
        <w:rPr>
          <w:b/>
        </w:rPr>
        <w:t>Ryzyka:</w:t>
      </w:r>
      <w:r>
        <w:t xml:space="preserve"> brak masy krytycznej, przeciążenie istniejących instytucji, mała zdolność inwestycji w komponenty.</w:t>
      </w:r>
      <w:r/>
      <w:r>
        <w:br/>
      </w:r>
      <w:r>
        <w:rPr>
          <w:b/>
        </w:rPr>
        <w:t>Bramka rozszerzenia:</w:t>
      </w:r>
      <w:r>
        <w:t xml:space="preserve"> potwierdzony pipeline projektów, użytkownicy i zweryfikowana luka finansowa.</w:t>
      </w:r>
    </w:p>
    <w:p>
      <w:pPr>
        <w:pStyle w:val="Heading3"/>
      </w:pPr>
      <w:r>
        <w:t>6.2. SCENARIUSZ B — portfel bazowy</w:t>
      </w:r>
    </w:p>
    <w:p>
      <w:r>
        <w:rPr>
          <w:b/>
        </w:rPr>
        <w:t>Zakres:</w:t>
      </w:r>
      <w:r>
        <w:t xml:space="preserve"> pełne mechanizmy L oraz finansowanie bezpiecznej przestrzeni danych, większej liczby małych partii, wybranych komponentów, infrastruktury wspólnej, pilotaży regionalnych i partnerstw.</w:t>
      </w:r>
    </w:p>
    <w:p>
      <w:r>
        <w:rPr>
          <w:b/>
        </w:rPr>
        <w:t>Korzyści:</w:t>
      </w:r>
      <w:r>
        <w:t xml:space="preserve"> wystarczająca skala do sprawdzenia systemu i budowy ekosystemu.</w:t>
      </w:r>
      <w:r/>
      <w:r>
        <w:br/>
      </w:r>
      <w:r>
        <w:rPr>
          <w:b/>
        </w:rPr>
        <w:t>Ryzyka:</w:t>
      </w:r>
      <w:r>
        <w:t xml:space="preserve"> złożoność koordynacji, podwójne finansowanie, presja na szybkie ogłaszanie skali.</w:t>
      </w:r>
      <w:r/>
      <w:r>
        <w:br/>
      </w:r>
      <w:r>
        <w:rPr>
          <w:b/>
        </w:rPr>
        <w:t>Bramka rozszerzenia:</w:t>
      </w:r>
      <w:r>
        <w:t xml:space="preserve"> wyniki G3, TCO, popyt, produkcja, serwis i pozytywna analiza fiskalna.</w:t>
      </w:r>
    </w:p>
    <w:p>
      <w:pPr>
        <w:pStyle w:val="Heading3"/>
      </w:pPr>
      <w:r>
        <w:t>6.3. SCENARIUSZ H — przyspieszona mobilizacja</w:t>
      </w:r>
    </w:p>
    <w:p>
      <w:r>
        <w:rPr>
          <w:b/>
        </w:rPr>
        <w:t>Zakres:</w:t>
      </w:r>
      <w:r>
        <w:t xml:space="preserve"> szeroki CAPEX, rezerwy mocy, większe zapasy, rozbudowa sieci edukacyjnej i szybkie partnerstwa.</w:t>
      </w:r>
    </w:p>
    <w:p>
      <w:r>
        <w:rPr>
          <w:b/>
        </w:rPr>
        <w:t>Korzyści:</w:t>
      </w:r>
      <w:r>
        <w:t xml:space="preserve"> możliwie szybkie zwiększenie podaży przy trafnej diagnozie.</w:t>
      </w:r>
      <w:r/>
      <w:r>
        <w:br/>
      </w:r>
      <w:r>
        <w:rPr>
          <w:b/>
        </w:rPr>
        <w:t>Ryzyka:</w:t>
      </w:r>
      <w:r>
        <w:t xml:space="preserve"> największy koszt błędu, nieużywane moce, inflacja kosztów, wypieranie prywatnych inwestycji, zależność od dostawcy i ograniczenia wykonawcze.</w:t>
      </w:r>
      <w:r/>
      <w:r>
        <w:br/>
      </w:r>
      <w:r>
        <w:rPr>
          <w:b/>
        </w:rPr>
        <w:t>Warunek wejścia:</w:t>
      </w:r>
      <w:r>
        <w:t xml:space="preserve"> formalna ocena potrzeby strategicznej, dane bazowe, popyt, audyt przemysłu, prawo, finansowanie i jawna akceptacja kosztu alternatywnego.</w:t>
      </w:r>
    </w:p>
    <w:p>
      <w:pPr>
        <w:pStyle w:val="Heading3"/>
      </w:pPr>
      <w:r>
        <w:t>6.4. Macierz wyboru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Kryterium</w:t>
            </w:r>
          </w:p>
        </w:tc>
        <w:tc>
          <w:tcPr>
            <w:tcW w:type="dxa" w:w="2400"/>
          </w:tcPr>
          <w:p>
            <w:r>
              <w:t>L</w:t>
            </w:r>
          </w:p>
        </w:tc>
        <w:tc>
          <w:tcPr>
            <w:tcW w:type="dxa" w:w="2400"/>
          </w:tcPr>
          <w:p>
            <w:r>
              <w:t>B</w:t>
            </w:r>
          </w:p>
        </w:tc>
        <w:tc>
          <w:tcPr>
            <w:tcW w:type="dxa" w:w="2400"/>
          </w:tcPr>
          <w:p>
            <w:r>
              <w:t>H</w:t>
            </w:r>
          </w:p>
        </w:tc>
      </w:tr>
      <w:tr>
        <w:tc>
          <w:tcPr>
            <w:tcW w:type="dxa" w:w="2400"/>
          </w:tcPr>
          <w:p>
            <w:r>
              <w:t>odwracalność</w:t>
            </w:r>
          </w:p>
        </w:tc>
        <w:tc>
          <w:tcPr>
            <w:tcW w:type="dxa" w:w="2400"/>
          </w:tcPr>
          <w:p>
            <w:r>
              <w:t>wysoka</w:t>
            </w:r>
          </w:p>
        </w:tc>
        <w:tc>
          <w:tcPr>
            <w:tcW w:type="dxa" w:w="2400"/>
          </w:tcPr>
          <w:p>
            <w:r>
              <w:t>średnia/wysoka</w:t>
            </w:r>
          </w:p>
        </w:tc>
        <w:tc>
          <w:tcPr>
            <w:tcW w:type="dxa" w:w="2400"/>
          </w:tcPr>
          <w:p>
            <w:r>
              <w:t>niska</w:t>
            </w:r>
          </w:p>
        </w:tc>
      </w:tr>
      <w:tr>
        <w:tc>
          <w:tcPr>
            <w:tcW w:type="dxa" w:w="2400"/>
          </w:tcPr>
          <w:p>
            <w:r>
              <w:t>szybkość uczenia</w:t>
            </w:r>
          </w:p>
        </w:tc>
        <w:tc>
          <w:tcPr>
            <w:tcW w:type="dxa" w:w="2400"/>
          </w:tcPr>
          <w:p>
            <w:r>
              <w:t>średnia</w:t>
            </w:r>
          </w:p>
        </w:tc>
        <w:tc>
          <w:tcPr>
            <w:tcW w:type="dxa" w:w="2400"/>
          </w:tcPr>
          <w:p>
            <w:r>
              <w:t>wysoka</w:t>
            </w:r>
          </w:p>
        </w:tc>
        <w:tc>
          <w:tcPr>
            <w:tcW w:type="dxa" w:w="2400"/>
          </w:tcPr>
          <w:p>
            <w:r>
              <w:t>wysoka, jeśli zdolność wykonawcza wystarczy</w:t>
            </w:r>
          </w:p>
        </w:tc>
      </w:tr>
      <w:tr>
        <w:tc>
          <w:tcPr>
            <w:tcW w:type="dxa" w:w="2400"/>
          </w:tcPr>
          <w:p>
            <w:r>
              <w:t>ekspozycja fiskalna</w:t>
            </w:r>
          </w:p>
        </w:tc>
        <w:tc>
          <w:tcPr>
            <w:tcW w:type="dxa" w:w="2400"/>
          </w:tcPr>
          <w:p>
            <w:r>
              <w:t>niska</w:t>
            </w:r>
          </w:p>
        </w:tc>
        <w:tc>
          <w:tcPr>
            <w:tcW w:type="dxa" w:w="2400"/>
          </w:tcPr>
          <w:p>
            <w:r>
              <w:t>średnia</w:t>
            </w:r>
          </w:p>
        </w:tc>
        <w:tc>
          <w:tcPr>
            <w:tcW w:type="dxa" w:w="2400"/>
          </w:tcPr>
          <w:p>
            <w:r>
              <w:t>wysoka</w:t>
            </w:r>
          </w:p>
        </w:tc>
      </w:tr>
      <w:tr>
        <w:tc>
          <w:tcPr>
            <w:tcW w:type="dxa" w:w="2400"/>
          </w:tcPr>
          <w:p>
            <w:r>
              <w:t>ryzyko niewykorzystanych mocy</w:t>
            </w:r>
          </w:p>
        </w:tc>
        <w:tc>
          <w:tcPr>
            <w:tcW w:type="dxa" w:w="2400"/>
          </w:tcPr>
          <w:p>
            <w:r>
              <w:t>niskie</w:t>
            </w:r>
          </w:p>
        </w:tc>
        <w:tc>
          <w:tcPr>
            <w:tcW w:type="dxa" w:w="2400"/>
          </w:tcPr>
          <w:p>
            <w:r>
              <w:t>średnie</w:t>
            </w:r>
          </w:p>
        </w:tc>
        <w:tc>
          <w:tcPr>
            <w:tcW w:type="dxa" w:w="2400"/>
          </w:tcPr>
          <w:p>
            <w:r>
              <w:t>wysokie</w:t>
            </w:r>
          </w:p>
        </w:tc>
      </w:tr>
      <w:tr>
        <w:tc>
          <w:tcPr>
            <w:tcW w:type="dxa" w:w="2400"/>
          </w:tcPr>
          <w:p>
            <w:r>
              <w:t>zdolność budowy komponentów</w:t>
            </w:r>
          </w:p>
        </w:tc>
        <w:tc>
          <w:tcPr>
            <w:tcW w:type="dxa" w:w="2400"/>
          </w:tcPr>
          <w:p>
            <w:r>
              <w:t>ograniczona</w:t>
            </w:r>
          </w:p>
        </w:tc>
        <w:tc>
          <w:tcPr>
            <w:tcW w:type="dxa" w:w="2400"/>
          </w:tcPr>
          <w:p>
            <w:r>
              <w:t>selektywna</w:t>
            </w:r>
          </w:p>
        </w:tc>
        <w:tc>
          <w:tcPr>
            <w:tcW w:type="dxa" w:w="2400"/>
          </w:tcPr>
          <w:p>
            <w:r>
              <w:t>szeroka</w:t>
            </w:r>
          </w:p>
        </w:tc>
      </w:tr>
      <w:tr>
        <w:tc>
          <w:tcPr>
            <w:tcW w:type="dxa" w:w="2400"/>
          </w:tcPr>
          <w:p>
            <w:r>
              <w:t>wymóg jakości danych</w:t>
            </w:r>
          </w:p>
        </w:tc>
        <w:tc>
          <w:tcPr>
            <w:tcW w:type="dxa" w:w="2400"/>
          </w:tcPr>
          <w:p>
            <w:r>
              <w:t>umiarkowany</w:t>
            </w:r>
          </w:p>
        </w:tc>
        <w:tc>
          <w:tcPr>
            <w:tcW w:type="dxa" w:w="2400"/>
          </w:tcPr>
          <w:p>
            <w:r>
              <w:t>wysoki</w:t>
            </w:r>
          </w:p>
        </w:tc>
        <w:tc>
          <w:tcPr>
            <w:tcW w:type="dxa" w:w="2400"/>
          </w:tcPr>
          <w:p>
            <w:r>
              <w:t>bardzo wysoki</w:t>
            </w:r>
          </w:p>
        </w:tc>
      </w:tr>
      <w:tr>
        <w:tc>
          <w:tcPr>
            <w:tcW w:type="dxa" w:w="2400"/>
          </w:tcPr>
          <w:p>
            <w:r>
              <w:t>rekomendacja v0.1</w:t>
            </w:r>
          </w:p>
        </w:tc>
        <w:tc>
          <w:tcPr>
            <w:tcW w:type="dxa" w:w="2400"/>
          </w:tcPr>
          <w:p>
            <w:r>
              <w:t>minimum startowe</w:t>
            </w:r>
          </w:p>
        </w:tc>
        <w:tc>
          <w:tcPr>
            <w:tcW w:type="dxa" w:w="2400"/>
          </w:tcPr>
          <w:p>
            <w:r>
              <w:t>wariant do wyceny</w:t>
            </w:r>
          </w:p>
        </w:tc>
        <w:tc>
          <w:tcPr>
            <w:tcW w:type="dxa" w:w="2400"/>
          </w:tcPr>
          <w:p>
            <w:r>
              <w:t>tylko warunkowo</w:t>
            </w:r>
          </w:p>
        </w:tc>
      </w:tr>
    </w:tbl>
    <w:p>
      <w:pPr>
        <w:pStyle w:val="Heading2"/>
      </w:pPr>
      <w:r>
        <w:t>7. Ocena wpływu gospodarczego</w:t>
      </w:r>
    </w:p>
    <w:p>
      <w:pPr>
        <w:pStyle w:val="Heading3"/>
      </w:pPr>
      <w:r>
        <w:t>7.1. Kontrfaktyczny scenariusz</w:t>
      </w:r>
    </w:p>
    <w:p>
      <w:r>
        <w:t>Wpływ mierzy różnicę względem wiarygodnej alternatywy, nie stan po wydatku. Alternatywami mogą być: import gotowego systemu, pozostawienie obecnego procesu, zakup usługi, wspólny projekt sojuszniczy, inwestycja cywilna albo brak działania. Każda analiza wskazuje kontrfaktyczny wariant i powód wyboru.</w:t>
      </w:r>
    </w:p>
    <w:p>
      <w:pPr>
        <w:pStyle w:val="Heading3"/>
      </w:pPr>
      <w:r>
        <w:t>7.2. Dodatkowość</w:t>
      </w:r>
    </w:p>
    <w:p>
      <w:r>
        <w:t>Należy rozdzielić:</w:t>
      </w:r>
    </w:p>
    <w:p>
      <w:pPr>
        <w:pStyle w:val="ListBullet"/>
      </w:pPr>
      <w:r>
        <w:t>aktywność, która wydarzyłaby się bez programu;</w:t>
      </w:r>
    </w:p>
    <w:p>
      <w:pPr>
        <w:pStyle w:val="ListBullet"/>
      </w:pPr>
      <w:r>
        <w:t>aktywność przyspieszoną;</w:t>
      </w:r>
    </w:p>
    <w:p>
      <w:pPr>
        <w:pStyle w:val="ListBullet"/>
      </w:pPr>
      <w:r>
        <w:t>aktywność zwiększoną skalą;</w:t>
      </w:r>
    </w:p>
    <w:p>
      <w:pPr>
        <w:pStyle w:val="ListBullet"/>
      </w:pPr>
      <w:r>
        <w:t>aktywność całkowicie dodatkową;</w:t>
      </w:r>
    </w:p>
    <w:p>
      <w:pPr>
        <w:pStyle w:val="ListBullet"/>
      </w:pPr>
      <w:r>
        <w:t>aktywność przeniesioną z innego regionu lub programu;</w:t>
      </w:r>
    </w:p>
    <w:p>
      <w:pPr>
        <w:pStyle w:val="ListBullet"/>
      </w:pPr>
      <w:r>
        <w:t>aktywność wypartą przez wzrost cen, płac lub dostęp do infrastruktury.</w:t>
      </w:r>
    </w:p>
    <w:p>
      <w:pPr>
        <w:pStyle w:val="Heading3"/>
      </w:pPr>
      <w:r>
        <w:t>7.3. Wartość dodana w Polsce</w:t>
      </w:r>
    </w:p>
    <w:p>
      <w:r>
        <w:t>Metryka powinna obejmować wynagrodzenia, nadwyżkę operacyjną, podatki produkcyjne netto i krajowy wkład poddostawców zgodnie z uzgodnioną metodologią. Nie jest nią cena kontraktu ani udział faktur wystawionych przez polską spółkę. Należy ujawnić poziom łańcucha i ryzyko podwójnego liczenia.</w:t>
      </w:r>
    </w:p>
    <w:p>
      <w:pPr>
        <w:pStyle w:val="Heading3"/>
      </w:pPr>
      <w:r>
        <w:t>7.4. Produktywność</w:t>
      </w:r>
    </w:p>
    <w:p>
      <w:r>
        <w:t>Kanały wpływu:</w:t>
      </w:r>
    </w:p>
    <w:p>
      <w:pPr>
        <w:pStyle w:val="ListBullet"/>
      </w:pPr>
      <w:r>
        <w:t>automatyzacja i krótszy czas procesów;</w:t>
      </w:r>
    </w:p>
    <w:p>
      <w:pPr>
        <w:pStyle w:val="ListBullet"/>
      </w:pPr>
      <w:r>
        <w:t>lepsza jakość, bezpieczeństwo i mniej przestojów;</w:t>
      </w:r>
    </w:p>
    <w:p>
      <w:pPr>
        <w:pStyle w:val="ListBullet"/>
      </w:pPr>
      <w:r>
        <w:t>dyfuzja software, sensorów, robotyki i metod produkcji;</w:t>
      </w:r>
    </w:p>
    <w:p>
      <w:pPr>
        <w:pStyle w:val="ListBullet"/>
      </w:pPr>
      <w:r>
        <w:t>wzrost skali oraz specjalizacji dostawców;</w:t>
      </w:r>
    </w:p>
    <w:p>
      <w:pPr>
        <w:pStyle w:val="ListBullet"/>
      </w:pPr>
      <w:r>
        <w:t>kompetencje przenoszone między sektorami;</w:t>
      </w:r>
    </w:p>
    <w:p>
      <w:pPr>
        <w:pStyle w:val="ListBullet"/>
      </w:pPr>
      <w:r>
        <w:t>wspólna infrastruktura i standardy;</w:t>
      </w:r>
    </w:p>
    <w:p>
      <w:pPr>
        <w:pStyle w:val="ListBullet"/>
      </w:pPr>
      <w:r>
        <w:t>eksport i uczenie od wymagających klientów.</w:t>
      </w:r>
    </w:p>
    <w:p>
      <w:r>
        <w:t>Pomiar wymaga danych przed/po i grupy porównawczej lub innej wiarygodnej metody. Ankieta satysfakcji nie jest miarą produktywności.</w:t>
      </w:r>
    </w:p>
    <w:p>
      <w:pPr>
        <w:pStyle w:val="Heading3"/>
      </w:pPr>
      <w:r>
        <w:t>7.5. Rynek pracy</w:t>
      </w:r>
    </w:p>
    <w:p>
      <w:r>
        <w:t>Raportuje się role, kompetencje, wynagrodzenia, czas obsadzenia, retencję i produktywność, nie tylko liczbę miejsc. Trzeba odjąć osoby przesunięte z innych firm i uwzględnić ograniczenia podaży nauczycieli oraz specjalistów. Długotrwały wakat może wskazywać na brak kompetencji, nie automatycznie na potrzebę nowego kierunku studiów.</w:t>
      </w:r>
    </w:p>
    <w:p>
      <w:pPr>
        <w:pStyle w:val="Heading3"/>
      </w:pPr>
      <w:r>
        <w:t>7.6. Eksport</w:t>
      </w:r>
    </w:p>
    <w:p>
      <w:r>
        <w:t>Wynik eksportowy obejmuje wykonany przychód, marżę, produkcję i serwis pozostający w Polsce, dywersyfikację rynków oraz zgodność. Memoranda, pipeline i licencje eksportowe raportuje się osobno. Koszt gwarancji i ryzyko niewykonania są częścią wyniku publicznego.</w:t>
      </w:r>
    </w:p>
    <w:p>
      <w:pPr>
        <w:pStyle w:val="Heading3"/>
      </w:pPr>
      <w:r>
        <w:t>7.7. Spillovers cywilne</w:t>
      </w:r>
    </w:p>
    <w:p>
      <w:r>
        <w:t>Wartość cywilna może powstać przez wspólne moduły, software, proces produkcji, sensory, diagnostykę, dane i kompetencje. Każdy deklarowany spillover wymaga produktu, klienta lub testu procesu. Samo określenie technologii jako dual-use nie jest dowodem popytu.</w:t>
      </w:r>
    </w:p>
    <w:p>
      <w:pPr>
        <w:pStyle w:val="Heading2"/>
      </w:pPr>
      <w:r>
        <w:t>8. Wartość bezpieczeństwa i odporności</w:t>
      </w:r>
    </w:p>
    <w:p>
      <w:r>
        <w:t>Nie wszystkie korzyści dają się wiarygodnie sprowadzić do PLN. Dla zdolności krytycznych rekomendowane jest połączenie:</w:t>
      </w:r>
    </w:p>
    <w:p>
      <w:pPr>
        <w:pStyle w:val="ListBullet"/>
      </w:pPr>
      <w:r>
        <w:t>minimalnego wymaganego rezultatu bezpieczeństwa;</w:t>
      </w:r>
    </w:p>
    <w:p>
      <w:pPr>
        <w:pStyle w:val="ListBullet"/>
      </w:pPr>
      <w:r>
        <w:t>analizy koszt–skuteczność między opcjami;</w:t>
      </w:r>
    </w:p>
    <w:p>
      <w:pPr>
        <w:pStyle w:val="ListBullet"/>
      </w:pPr>
      <w:r>
        <w:t>scenariuszy zakłócenia i czasu odtworzenia;</w:t>
      </w:r>
    </w:p>
    <w:p>
      <w:pPr>
        <w:pStyle w:val="ListBullet"/>
      </w:pPr>
      <w:r>
        <w:t>wyceny kosztów możliwych do policzenia;</w:t>
      </w:r>
    </w:p>
    <w:p>
      <w:pPr>
        <w:pStyle w:val="ListBullet"/>
      </w:pPr>
      <w:r>
        <w:t>jakościowej oceny skutków trudnych do monetyzacji;</w:t>
      </w:r>
    </w:p>
    <w:p>
      <w:pPr>
        <w:pStyle w:val="ListBullet"/>
      </w:pPr>
      <w:r>
        <w:t>jawnej decyzji o akceptacji ryzyka.</w:t>
      </w:r>
    </w:p>
    <w:p>
      <w:r>
        <w:t>Nie należy przypisywać arbitralnej ceny unikniętej katastrofie, aby uzasadnić dowolny wydatek. Jeżeli korzyść jest niemierzalna, decyzja polityczna powinna to powiedzieć wprost i porównać alternatywy.</w:t>
      </w:r>
    </w:p>
    <w:p>
      <w:pPr>
        <w:pStyle w:val="Heading2"/>
      </w:pPr>
      <w:r>
        <w:t>9. Analiza fiskalna i osiągalność</w:t>
      </w:r>
    </w:p>
    <w:p>
      <w:pPr>
        <w:pStyle w:val="Heading3"/>
      </w:pPr>
      <w:r>
        <w:t>9.1. Widok roczny i wieloletni</w:t>
      </w:r>
    </w:p>
    <w:p>
      <w:r>
        <w:t>Model pokazuje zobowiązania, płatności, finansowanie, OPEX po zakończeniu inwestycji, gwarancje i koszt wyjścia. Osobno pokazuje środki krajowe, pożyczkowe, UE i prywatne. Nie miesza limitu dostępnego z harmonogramem płatności.</w:t>
      </w:r>
    </w:p>
    <w:p>
      <w:pPr>
        <w:pStyle w:val="Heading3"/>
      </w:pPr>
      <w:r>
        <w:t>9.2. Pożyczki i gwarancje</w:t>
      </w:r>
    </w:p>
    <w:p>
      <w:r>
        <w:t>Pożyczka tworzy aktywo/wydatek oraz koszt obsługi i spłaty. Gwarancja może nie powodować płatności w dniu udzielenia, lecz tworzy ryzyko warunkowe. Raport podaje ekspozycję, prawdopodobieństwo, odzysk i limit koncentracji.</w:t>
      </w:r>
    </w:p>
    <w:p>
      <w:pPr>
        <w:pStyle w:val="Heading3"/>
      </w:pPr>
      <w:r>
        <w:t>9.3. Koszt alternatywny</w:t>
      </w:r>
    </w:p>
    <w:p>
      <w:r>
        <w:t>Każdy scenariusz wskazuje, które inne wydatki, zdolności lub inwestycje mogą zostać opóźnione. Analiza nie musi wybierać politycznie między nimi, ale nie może przedstawiać środków publicznych jako bezkosztowych.</w:t>
      </w:r>
    </w:p>
    <w:p>
      <w:pPr>
        <w:pStyle w:val="Heading3"/>
      </w:pPr>
      <w:r>
        <w:t>9.4. Inflacja i zdolność wykonawcza</w:t>
      </w:r>
    </w:p>
    <w:p>
      <w:r>
        <w:t>Szybkie zwiększenie popytu przy ograniczonej podaży może podnosić ceny, wynagrodzenia i czas realizacji bez proporcjonalnego wzrostu produkcji. Scenariusz H wymaga analizy podaży maszyn, energii, komponentów, specjalistów i zdolności zakupowych.</w:t>
      </w:r>
    </w:p>
    <w:p>
      <w:pPr>
        <w:pStyle w:val="Heading2"/>
      </w:pPr>
      <w:r>
        <w:t>10. Bramka inwestycyjna</w:t>
      </w:r>
    </w:p>
    <w:p>
      <w:r>
        <w:t>Każda inwestycja przekraczająca ustalony próg portfela przedstawia kartę:</w:t>
      </w:r>
    </w:p>
    <w:p>
      <w:pPr>
        <w:pStyle w:val="ListNumber"/>
      </w:pPr>
      <w:r>
        <w:t>problem i właściciel;</w:t>
      </w:r>
    </w:p>
    <w:p>
      <w:pPr>
        <w:pStyle w:val="ListNumber"/>
      </w:pPr>
      <w:r>
        <w:t>wariant bez inwestycji;</w:t>
      </w:r>
    </w:p>
    <w:p>
      <w:pPr>
        <w:pStyle w:val="ListNumber"/>
      </w:pPr>
      <w:r>
        <w:t>wartość bazowa;</w:t>
      </w:r>
    </w:p>
    <w:p>
      <w:pPr>
        <w:pStyle w:val="ListNumber"/>
      </w:pPr>
      <w:r>
        <w:t>zakres i pełny koszt cyklu życia;</w:t>
      </w:r>
    </w:p>
    <w:p>
      <w:pPr>
        <w:pStyle w:val="ListNumber"/>
      </w:pPr>
      <w:r>
        <w:t>źródła finansowania oraz dodatkowość;</w:t>
      </w:r>
    </w:p>
    <w:p>
      <w:pPr>
        <w:pStyle w:val="ListNumber"/>
      </w:pPr>
      <w:r>
        <w:t>korzyści bezpieczeństwa i gospodarcze;</w:t>
      </w:r>
    </w:p>
    <w:p>
      <w:pPr>
        <w:pStyle w:val="ListNumber"/>
      </w:pPr>
      <w:r>
        <w:t>ryzyka i analiza wrażliwości;</w:t>
      </w:r>
    </w:p>
    <w:p>
      <w:pPr>
        <w:pStyle w:val="ListNumber"/>
      </w:pPr>
      <w:r>
        <w:t>popyt i wykorzystanie mocy;</w:t>
      </w:r>
    </w:p>
    <w:p>
      <w:pPr>
        <w:pStyle w:val="ListNumber"/>
      </w:pPr>
      <w:r>
        <w:t>prawa, bezpieczeństwo i zależności;</w:t>
      </w:r>
    </w:p>
    <w:p>
      <w:pPr>
        <w:pStyle w:val="ListNumber"/>
      </w:pPr>
      <w:r>
        <w:t>kamienie milowe, stop-rule i koszt zamknięcia;</w:t>
      </w:r>
    </w:p>
    <w:p>
      <w:pPr>
        <w:pStyle w:val="ListNumber"/>
      </w:pPr>
      <w:r>
        <w:t>konflikt interesów;</w:t>
      </w:r>
    </w:p>
    <w:p>
      <w:pPr>
        <w:pStyle w:val="ListNumber"/>
      </w:pPr>
      <w:r>
        <w:t>niezależną opinię red-team.</w:t>
      </w:r>
    </w:p>
    <w:p>
      <w:r>
        <w:t>Decyzja ma cztery możliwe wyniki: finansuj, finansuj etap, przeprojektuj albo odrzuć. „Ważny strategicznie” nie zwalnia z wyboru wariantu i warunku stop.</w:t>
      </w:r>
    </w:p>
    <w:p>
      <w:pPr>
        <w:pStyle w:val="Heading2"/>
      </w:pPr>
      <w:r>
        <w:t>11. Analiza wrażliwości i scenariusze ryzyka</w:t>
      </w:r>
    </w:p>
    <w:p>
      <w:r>
        <w:t>Model powinien co najmniej zmieniać:</w:t>
      </w:r>
    </w:p>
    <w:p>
      <w:pPr>
        <w:pStyle w:val="ListBullet"/>
      </w:pPr>
      <w:r>
        <w:t>koszt CAPEX i OPEX;</w:t>
      </w:r>
    </w:p>
    <w:p>
      <w:pPr>
        <w:pStyle w:val="ListBullet"/>
      </w:pPr>
      <w:r>
        <w:t>opóźnienie uruchomienia;</w:t>
      </w:r>
    </w:p>
    <w:p>
      <w:pPr>
        <w:pStyle w:val="ListBullet"/>
      </w:pPr>
      <w:r>
        <w:t>wykorzystanie mocy;</w:t>
      </w:r>
    </w:p>
    <w:p>
      <w:pPr>
        <w:pStyle w:val="ListBullet"/>
      </w:pPr>
      <w:r>
        <w:t>udział importu i kurs walutowy;</w:t>
      </w:r>
    </w:p>
    <w:p>
      <w:pPr>
        <w:pStyle w:val="ListBullet"/>
      </w:pPr>
      <w:r>
        <w:t>koszt finansowania;</w:t>
      </w:r>
    </w:p>
    <w:p>
      <w:pPr>
        <w:pStyle w:val="ListBullet"/>
      </w:pPr>
      <w:r>
        <w:t>odsetek projektów zamkniętych przed skalą;</w:t>
      </w:r>
    </w:p>
    <w:p>
      <w:pPr>
        <w:pStyle w:val="ListBullet"/>
      </w:pPr>
      <w:r>
        <w:t>tempo aktualizacji technologii;</w:t>
      </w:r>
    </w:p>
    <w:p>
      <w:pPr>
        <w:pStyle w:val="ListBullet"/>
      </w:pPr>
      <w:r>
        <w:t>eksport i opóźnienie przychodu;</w:t>
      </w:r>
    </w:p>
    <w:p>
      <w:pPr>
        <w:pStyle w:val="ListBullet"/>
      </w:pPr>
      <w:r>
        <w:t>retencję kadr;</w:t>
      </w:r>
    </w:p>
    <w:p>
      <w:pPr>
        <w:pStyle w:val="ListBullet"/>
      </w:pPr>
      <w:r>
        <w:t>koszt serwisu i awarii;</w:t>
      </w:r>
    </w:p>
    <w:p>
      <w:pPr>
        <w:pStyle w:val="ListBullet"/>
      </w:pPr>
      <w:r>
        <w:t>dostępność komponentów;</w:t>
      </w:r>
    </w:p>
    <w:p>
      <w:pPr>
        <w:pStyle w:val="ListBullet"/>
      </w:pPr>
      <w:r>
        <w:t>wysokość odzysku z inwestycji i gwarancji.</w:t>
      </w:r>
    </w:p>
    <w:p>
      <w:r>
        <w:t>Wynik raportuje punkt krytyczny: przy jakiej zmianie założenia rekomendowany wariant przestaje być najlepszy. Założenie o największej dźwigni staje się priorytetem pozyskania danych.</w:t>
      </w:r>
    </w:p>
    <w:p>
      <w:pPr>
        <w:pStyle w:val="Heading2"/>
      </w:pPr>
      <w:r>
        <w:t>12. Governance finansowy i kontrola podwójnego finansowania</w:t>
      </w:r>
    </w:p>
    <w:p>
      <w:pPr>
        <w:pStyle w:val="Heading3"/>
      </w:pPr>
      <w:r>
        <w:t>12.1. Unikalny identyfikator kosztu</w:t>
      </w:r>
    </w:p>
    <w:p>
      <w:r>
        <w:t>Każdy koszt otrzymuje identyfikator niezależny od projektu i instrumentu. Rekord zawiera beneficjenta, fakturę/umowę, kategorię, okres, źródła, udział finansowania, rezultat i status. Ten sam koszt nie może zostać przypisany dwóm instrumentom poza legalnym współfinansowaniem ujawnionym w rekordzie.</w:t>
      </w:r>
    </w:p>
    <w:p>
      <w:pPr>
        <w:pStyle w:val="Heading3"/>
      </w:pPr>
      <w:r>
        <w:t>12.2. Rozdzielenie ról</w:t>
      </w:r>
    </w:p>
    <w:p>
      <w:pPr>
        <w:pStyle w:val="ListBullet"/>
      </w:pPr>
      <w:r>
        <w:t>właściciel problemu określa rezultat;</w:t>
      </w:r>
    </w:p>
    <w:p>
      <w:pPr>
        <w:pStyle w:val="ListBullet"/>
      </w:pPr>
      <w:r>
        <w:t>nabywca zawiera i odbiera kontrakt;</w:t>
      </w:r>
    </w:p>
    <w:p>
      <w:pPr>
        <w:pStyle w:val="ListBullet"/>
      </w:pPr>
      <w:r>
        <w:t>instytucja finansująca ocenia instrument i ryzyko;</w:t>
      </w:r>
    </w:p>
    <w:p>
      <w:pPr>
        <w:pStyle w:val="ListBullet"/>
      </w:pPr>
      <w:r>
        <w:t>ekspert techniczny ocenia dowód;</w:t>
      </w:r>
    </w:p>
    <w:p>
      <w:pPr>
        <w:pStyle w:val="ListBullet"/>
      </w:pPr>
      <w:r>
        <w:t>finanse konsolidują ekspozycję;</w:t>
      </w:r>
    </w:p>
    <w:p>
      <w:pPr>
        <w:pStyle w:val="ListBullet"/>
      </w:pPr>
      <w:r>
        <w:t>audyt i red-team sprawdzają dodatkowość, konflikt interesów i wykonanie;</w:t>
      </w:r>
    </w:p>
    <w:p>
      <w:pPr>
        <w:pStyle w:val="ListBullet"/>
      </w:pPr>
      <w:r>
        <w:t>Komitet podejmuje decyzję portfelową.</w:t>
      </w:r>
    </w:p>
    <w:p>
      <w:r>
        <w:t>Podmiot nie powinien samodzielnie definiować potrzeby, przyznawać sobie finansowania i zatwierdzać własnego wyniku.</w:t>
      </w:r>
    </w:p>
    <w:p>
      <w:pPr>
        <w:pStyle w:val="Heading3"/>
      </w:pPr>
      <w:r>
        <w:t>12.3. Raport kwartalny</w:t>
      </w:r>
    </w:p>
    <w:p>
      <w:r>
        <w:t>Obejmuje zobowiązania, płatności, ekspozycje warunkowe, odchylenia, wyniki bramek, projekty zamknięte, zmiany TCO, wykorzystanie infrastruktury i ryzyko podwójnego finansowania. Dane wrażliwe są agregowane.</w:t>
      </w:r>
    </w:p>
    <w:p>
      <w:pPr>
        <w:pStyle w:val="Heading2"/>
      </w:pPr>
      <w:r>
        <w:t>13. Model danych i skoroszyt</w:t>
      </w:r>
    </w:p>
    <w:p>
      <w:r>
        <w:t>Repozytorium generuje skoroszyt z kartami:</w:t>
      </w:r>
    </w:p>
    <w:p>
      <w:pPr>
        <w:pStyle w:val="ListBullet"/>
      </w:pPr>
      <w:r>
        <w:t>README</w:t>
      </w:r>
      <w:r>
        <w:t xml:space="preserve"> — status, jednostka i zasady;</w:t>
      </w:r>
    </w:p>
    <w:p>
      <w:pPr>
        <w:pStyle w:val="ListBullet"/>
      </w:pPr>
      <w:r>
        <w:t>Assumptions</w:t>
      </w:r>
      <w:r>
        <w:t xml:space="preserve"> — każde założenie, wartość, jednostka, rok, źródło i status;</w:t>
      </w:r>
    </w:p>
    <w:p>
      <w:pPr>
        <w:pStyle w:val="ListBullet"/>
      </w:pPr>
      <w:r>
        <w:t>Scenarios</w:t>
      </w:r>
      <w:r>
        <w:t xml:space="preserve"> — koszty L/B/H według kategorii;</w:t>
      </w:r>
    </w:p>
    <w:p>
      <w:pPr>
        <w:pStyle w:val="ListBullet"/>
      </w:pPr>
      <w:r>
        <w:t>Funding map</w:t>
      </w:r>
      <w:r>
        <w:t xml:space="preserve"> — instrument, etap, status i ryzyko kolizji;</w:t>
      </w:r>
    </w:p>
    <w:p>
      <w:pPr>
        <w:pStyle w:val="ListBullet"/>
      </w:pPr>
      <w:r>
        <w:t>KPI</w:t>
      </w:r>
      <w:r>
        <w:t xml:space="preserve"> — definicja, baza, cel, właściciel i źródło.</w:t>
      </w:r>
    </w:p>
    <w:p>
      <w:pPr>
        <w:pStyle w:val="Heading3"/>
      </w:pPr>
      <w:r>
        <w:t>Minimalne pola założenia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Pole</w:t>
            </w:r>
          </w:p>
        </w:tc>
        <w:tc>
          <w:tcPr>
            <w:tcW w:type="dxa" w:w="4801"/>
          </w:tcPr>
          <w:p>
            <w:r>
              <w:t>Znaczenie</w:t>
            </w:r>
          </w:p>
        </w:tc>
      </w:tr>
      <w:tr>
        <w:tc>
          <w:tcPr>
            <w:tcW w:type="dxa" w:w="4801"/>
          </w:tcPr>
          <w:p>
            <w:r>
              <w:t>ID</w:t>
            </w:r>
          </w:p>
        </w:tc>
        <w:tc>
          <w:tcPr>
            <w:tcW w:type="dxa" w:w="4801"/>
          </w:tcPr>
          <w:p>
            <w:r>
              <w:t>stabilny identyfikator</w:t>
            </w:r>
          </w:p>
        </w:tc>
      </w:tr>
      <w:tr>
        <w:tc>
          <w:tcPr>
            <w:tcW w:type="dxa" w:w="4801"/>
          </w:tcPr>
          <w:p>
            <w:r>
              <w:t>opis</w:t>
            </w:r>
          </w:p>
        </w:tc>
        <w:tc>
          <w:tcPr>
            <w:tcW w:type="dxa" w:w="4801"/>
          </w:tcPr>
          <w:p>
            <w:r>
              <w:t>jedno twierdzenie lub parametr</w:t>
            </w:r>
          </w:p>
        </w:tc>
      </w:tr>
      <w:tr>
        <w:tc>
          <w:tcPr>
            <w:tcW w:type="dxa" w:w="4801"/>
          </w:tcPr>
          <w:p>
            <w:r>
              <w:t>wartość</w:t>
            </w:r>
          </w:p>
        </w:tc>
        <w:tc>
          <w:tcPr>
            <w:tcW w:type="dxa" w:w="4801"/>
          </w:tcPr>
          <w:p>
            <w:r>
              <w:t>liczba albo UNKNOWN</w:t>
            </w:r>
          </w:p>
        </w:tc>
      </w:tr>
      <w:tr>
        <w:tc>
          <w:tcPr>
            <w:tcW w:type="dxa" w:w="4801"/>
          </w:tcPr>
          <w:p>
            <w:r>
              <w:t>jednostka</w:t>
            </w:r>
          </w:p>
        </w:tc>
        <w:tc>
          <w:tcPr>
            <w:tcW w:type="dxa" w:w="4801"/>
          </w:tcPr>
          <w:p>
            <w:r>
              <w:t>PLN/EUR, %, osoby, dni itd.</w:t>
            </w:r>
          </w:p>
        </w:tc>
      </w:tr>
      <w:tr>
        <w:tc>
          <w:tcPr>
            <w:tcW w:type="dxa" w:w="4801"/>
          </w:tcPr>
          <w:p>
            <w:r>
              <w:t>rok cen</w:t>
            </w:r>
          </w:p>
        </w:tc>
        <w:tc>
          <w:tcPr>
            <w:tcW w:type="dxa" w:w="4801"/>
          </w:tcPr>
          <w:p>
            <w:r>
              <w:t>dla wartości pieniężnych</w:t>
            </w:r>
          </w:p>
        </w:tc>
      </w:tr>
      <w:tr>
        <w:tc>
          <w:tcPr>
            <w:tcW w:type="dxa" w:w="4801"/>
          </w:tcPr>
          <w:p>
            <w:r>
              <w:t>okres</w:t>
            </w:r>
          </w:p>
        </w:tc>
        <w:tc>
          <w:tcPr>
            <w:tcW w:type="dxa" w:w="4801"/>
          </w:tcPr>
          <w:p>
            <w:r>
              <w:t>rok lub zakres</w:t>
            </w:r>
          </w:p>
        </w:tc>
      </w:tr>
      <w:tr>
        <w:tc>
          <w:tcPr>
            <w:tcW w:type="dxa" w:w="4801"/>
          </w:tcPr>
          <w:p>
            <w:r>
              <w:t>scenariusz</w:t>
            </w:r>
          </w:p>
        </w:tc>
        <w:tc>
          <w:tcPr>
            <w:tcW w:type="dxa" w:w="4801"/>
          </w:tcPr>
          <w:p>
            <w:r>
              <w:t>L/B/H lub wspólne</w:t>
            </w:r>
          </w:p>
        </w:tc>
      </w:tr>
      <w:tr>
        <w:tc>
          <w:tcPr>
            <w:tcW w:type="dxa" w:w="4801"/>
          </w:tcPr>
          <w:p>
            <w:r>
              <w:t>źródło</w:t>
            </w:r>
          </w:p>
        </w:tc>
        <w:tc>
          <w:tcPr>
            <w:tcW w:type="dxa" w:w="4801"/>
          </w:tcPr>
          <w:p>
            <w:r>
              <w:t>ID źródła/claimu albo decyzji</w:t>
            </w:r>
          </w:p>
        </w:tc>
      </w:tr>
      <w:tr>
        <w:tc>
          <w:tcPr>
            <w:tcW w:type="dxa" w:w="4801"/>
          </w:tcPr>
          <w:p>
            <w:r>
              <w:t>status</w:t>
            </w:r>
          </w:p>
        </w:tc>
        <w:tc>
          <w:tcPr>
            <w:tcW w:type="dxa" w:w="4801"/>
          </w:tcPr>
          <w:p>
            <w:r>
              <w:t>fakt, założenie, estymacja, scenariusz</w:t>
            </w:r>
          </w:p>
        </w:tc>
      </w:tr>
      <w:tr>
        <w:tc>
          <w:tcPr>
            <w:tcW w:type="dxa" w:w="4801"/>
          </w:tcPr>
          <w:p>
            <w:r>
              <w:t>właściciel</w:t>
            </w:r>
          </w:p>
        </w:tc>
        <w:tc>
          <w:tcPr>
            <w:tcW w:type="dxa" w:w="4801"/>
          </w:tcPr>
          <w:p>
            <w:r>
              <w:t>osoba/instytucja aktualizująca</w:t>
            </w:r>
          </w:p>
        </w:tc>
      </w:tr>
      <w:tr>
        <w:tc>
          <w:tcPr>
            <w:tcW w:type="dxa" w:w="4801"/>
          </w:tcPr>
          <w:p>
            <w:r>
              <w:t>wrażliwość</w:t>
            </w:r>
          </w:p>
        </w:tc>
        <w:tc>
          <w:tcPr>
            <w:tcW w:type="dxa" w:w="4801"/>
          </w:tcPr>
          <w:p>
            <w:r>
              <w:t>wpływ zmiany na wynik</w:t>
            </w:r>
          </w:p>
        </w:tc>
      </w:tr>
      <w:tr>
        <w:tc>
          <w:tcPr>
            <w:tcW w:type="dxa" w:w="4801"/>
          </w:tcPr>
          <w:p>
            <w:r>
              <w:t>data ważności</w:t>
            </w:r>
          </w:p>
        </w:tc>
        <w:tc>
          <w:tcPr>
            <w:tcW w:type="dxa" w:w="4801"/>
          </w:tcPr>
          <w:p>
            <w:r>
              <w:t>termin ponownej weryfikacji</w:t>
            </w:r>
          </w:p>
        </w:tc>
      </w:tr>
    </w:tbl>
    <w:p>
      <w:r>
        <w:t>Każda komórka liczbowa w finalnym modelu musi dać się prześledzić do założenia. Ręcznie wpisana wartość bez metadanych jest błędem modelu.</w:t>
      </w:r>
    </w:p>
    <w:p>
      <w:pPr>
        <w:pStyle w:val="Heading2"/>
      </w:pPr>
      <w:r>
        <w:t>14. Wskaźniki finansowe i gospodarcze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ID</w:t>
            </w:r>
          </w:p>
        </w:tc>
        <w:tc>
          <w:tcPr>
            <w:tcW w:type="dxa" w:w="2400"/>
          </w:tcPr>
          <w:p>
            <w:r>
              <w:t>Wskaźnik</w:t>
            </w:r>
          </w:p>
        </w:tc>
        <w:tc>
          <w:tcPr>
            <w:tcW w:type="dxa" w:w="2400"/>
          </w:tcPr>
          <w:p>
            <w:r>
              <w:t>Definicja</w:t>
            </w:r>
          </w:p>
        </w:tc>
        <w:tc>
          <w:tcPr>
            <w:tcW w:type="dxa" w:w="2400"/>
          </w:tcPr>
          <w:p>
            <w:r>
              <w:t>Czego nie mylić</w:t>
            </w:r>
          </w:p>
        </w:tc>
      </w:tr>
      <w:tr>
        <w:tc>
          <w:tcPr>
            <w:tcW w:type="dxa" w:w="2400"/>
          </w:tcPr>
          <w:p>
            <w:r>
              <w:t>FIN-01</w:t>
            </w:r>
          </w:p>
        </w:tc>
        <w:tc>
          <w:tcPr>
            <w:tcW w:type="dxa" w:w="2400"/>
          </w:tcPr>
          <w:p>
            <w:r>
              <w:t>koszt do dowodu</w:t>
            </w:r>
          </w:p>
        </w:tc>
        <w:tc>
          <w:tcPr>
            <w:tcW w:type="dxa" w:w="2400"/>
          </w:tcPr>
          <w:p>
            <w:r>
              <w:t>wydatki do B3 / projekt</w:t>
            </w:r>
          </w:p>
        </w:tc>
        <w:tc>
          <w:tcPr>
            <w:tcW w:type="dxa" w:w="2400"/>
          </w:tcPr>
          <w:p>
            <w:r>
              <w:t>cały budżet programu</w:t>
            </w:r>
          </w:p>
        </w:tc>
      </w:tr>
      <w:tr>
        <w:tc>
          <w:tcPr>
            <w:tcW w:type="dxa" w:w="2400"/>
          </w:tcPr>
          <w:p>
            <w:r>
              <w:t>FIN-02</w:t>
            </w:r>
          </w:p>
        </w:tc>
        <w:tc>
          <w:tcPr>
            <w:tcW w:type="dxa" w:w="2400"/>
          </w:tcPr>
          <w:p>
            <w:r>
              <w:t>koszt unikniętego zobowiązania</w:t>
            </w:r>
          </w:p>
        </w:tc>
        <w:tc>
          <w:tcPr>
            <w:tcW w:type="dxa" w:w="2400"/>
          </w:tcPr>
          <w:p>
            <w:r>
              <w:t>opcje niewykonane po negatywnym teście</w:t>
            </w:r>
          </w:p>
        </w:tc>
        <w:tc>
          <w:tcPr>
            <w:tcW w:type="dxa" w:w="2400"/>
          </w:tcPr>
          <w:p>
            <w:r>
              <w:t>„oszczędność” bez zatwierdzonej alternatywy</w:t>
            </w:r>
          </w:p>
        </w:tc>
      </w:tr>
      <w:tr>
        <w:tc>
          <w:tcPr>
            <w:tcW w:type="dxa" w:w="2400"/>
          </w:tcPr>
          <w:p>
            <w:r>
              <w:t>FIN-03</w:t>
            </w:r>
          </w:p>
        </w:tc>
        <w:tc>
          <w:tcPr>
            <w:tcW w:type="dxa" w:w="2400"/>
          </w:tcPr>
          <w:p>
            <w:r>
              <w:t>TCO na rezultat</w:t>
            </w:r>
          </w:p>
        </w:tc>
        <w:tc>
          <w:tcPr>
            <w:tcW w:type="dxa" w:w="2400"/>
          </w:tcPr>
          <w:p>
            <w:r>
              <w:t>pełny koszt / jednostka wyniku</w:t>
            </w:r>
          </w:p>
        </w:tc>
        <w:tc>
          <w:tcPr>
            <w:tcW w:type="dxa" w:w="2400"/>
          </w:tcPr>
          <w:p>
            <w:r>
              <w:t>cena nabycia</w:t>
            </w:r>
          </w:p>
        </w:tc>
      </w:tr>
      <w:tr>
        <w:tc>
          <w:tcPr>
            <w:tcW w:type="dxa" w:w="2400"/>
          </w:tcPr>
          <w:p>
            <w:r>
              <w:t>FIN-04</w:t>
            </w:r>
          </w:p>
        </w:tc>
        <w:tc>
          <w:tcPr>
            <w:tcW w:type="dxa" w:w="2400"/>
          </w:tcPr>
          <w:p>
            <w:r>
              <w:t>udział kosztów dodatkowych</w:t>
            </w:r>
          </w:p>
        </w:tc>
        <w:tc>
          <w:tcPr>
            <w:tcW w:type="dxa" w:w="2400"/>
          </w:tcPr>
          <w:p>
            <w:r>
              <w:t>koszty przyrostowe / wszystkie w zakresie</w:t>
            </w:r>
          </w:p>
        </w:tc>
        <w:tc>
          <w:tcPr>
            <w:tcW w:type="dxa" w:w="2400"/>
          </w:tcPr>
          <w:p>
            <w:r>
              <w:t>całość instrumentów UE</w:t>
            </w:r>
          </w:p>
        </w:tc>
      </w:tr>
      <w:tr>
        <w:tc>
          <w:tcPr>
            <w:tcW w:type="dxa" w:w="2400"/>
          </w:tcPr>
          <w:p>
            <w:r>
              <w:t>FIN-05</w:t>
            </w:r>
          </w:p>
        </w:tc>
        <w:tc>
          <w:tcPr>
            <w:tcW w:type="dxa" w:w="2400"/>
          </w:tcPr>
          <w:p>
            <w:r>
              <w:t>wartość dodana w Polsce</w:t>
            </w:r>
          </w:p>
        </w:tc>
        <w:tc>
          <w:tcPr>
            <w:tcW w:type="dxa" w:w="2400"/>
          </w:tcPr>
          <w:p>
            <w:r>
              <w:t>metodologia rachunków uzgodniona ex ante</w:t>
            </w:r>
          </w:p>
        </w:tc>
        <w:tc>
          <w:tcPr>
            <w:tcW w:type="dxa" w:w="2400"/>
          </w:tcPr>
          <w:p>
            <w:r>
              <w:t>wartość faktur polskiej spółki</w:t>
            </w:r>
          </w:p>
        </w:tc>
      </w:tr>
      <w:tr>
        <w:tc>
          <w:tcPr>
            <w:tcW w:type="dxa" w:w="2400"/>
          </w:tcPr>
          <w:p>
            <w:r>
              <w:t>FIN-06</w:t>
            </w:r>
          </w:p>
        </w:tc>
        <w:tc>
          <w:tcPr>
            <w:tcW w:type="dxa" w:w="2400"/>
          </w:tcPr>
          <w:p>
            <w:r>
              <w:t>prywatny udział ryzyka</w:t>
            </w:r>
          </w:p>
        </w:tc>
        <w:tc>
          <w:tcPr>
            <w:tcW w:type="dxa" w:w="2400"/>
          </w:tcPr>
          <w:p>
            <w:r>
              <w:t>prywatny kapitał narażony / cały kapitał ryzyka</w:t>
            </w:r>
          </w:p>
        </w:tc>
        <w:tc>
          <w:tcPr>
            <w:tcW w:type="dxa" w:w="2400"/>
          </w:tcPr>
          <w:p>
            <w:r>
              <w:t>kredyt w pełni gwarantowany</w:t>
            </w:r>
          </w:p>
        </w:tc>
      </w:tr>
      <w:tr>
        <w:tc>
          <w:tcPr>
            <w:tcW w:type="dxa" w:w="2400"/>
          </w:tcPr>
          <w:p>
            <w:r>
              <w:t>FIN-07</w:t>
            </w:r>
          </w:p>
        </w:tc>
        <w:tc>
          <w:tcPr>
            <w:tcW w:type="dxa" w:w="2400"/>
          </w:tcPr>
          <w:p>
            <w:r>
              <w:t>wykorzystanie infrastruktury</w:t>
            </w:r>
          </w:p>
        </w:tc>
        <w:tc>
          <w:tcPr>
            <w:tcW w:type="dxa" w:w="2400"/>
          </w:tcPr>
          <w:p>
            <w:r>
              <w:t>czas/zdolność wykorzystana / dostępna</w:t>
            </w:r>
          </w:p>
        </w:tc>
        <w:tc>
          <w:tcPr>
            <w:tcW w:type="dxa" w:w="2400"/>
          </w:tcPr>
          <w:p>
            <w:r>
              <w:t>liczba podmiotów zapisanych</w:t>
            </w:r>
          </w:p>
        </w:tc>
      </w:tr>
      <w:tr>
        <w:tc>
          <w:tcPr>
            <w:tcW w:type="dxa" w:w="2400"/>
          </w:tcPr>
          <w:p>
            <w:r>
              <w:t>FIN-08</w:t>
            </w:r>
          </w:p>
        </w:tc>
        <w:tc>
          <w:tcPr>
            <w:tcW w:type="dxa" w:w="2400"/>
          </w:tcPr>
          <w:p>
            <w:r>
              <w:t>popyt po pilotażu</w:t>
            </w:r>
          </w:p>
        </w:tc>
        <w:tc>
          <w:tcPr>
            <w:tcW w:type="dxa" w:w="2400"/>
          </w:tcPr>
          <w:p>
            <w:r>
              <w:t>finansowanie właściciela procesu po pilotażu</w:t>
            </w:r>
          </w:p>
        </w:tc>
        <w:tc>
          <w:tcPr>
            <w:tcW w:type="dxa" w:w="2400"/>
          </w:tcPr>
          <w:p>
            <w:r>
              <w:t>kolejna dotacja pilotażowa</w:t>
            </w:r>
          </w:p>
        </w:tc>
      </w:tr>
      <w:tr>
        <w:tc>
          <w:tcPr>
            <w:tcW w:type="dxa" w:w="2400"/>
          </w:tcPr>
          <w:p>
            <w:r>
              <w:t>FIN-09</w:t>
            </w:r>
          </w:p>
        </w:tc>
        <w:tc>
          <w:tcPr>
            <w:tcW w:type="dxa" w:w="2400"/>
          </w:tcPr>
          <w:p>
            <w:r>
              <w:t>wykonany eksport</w:t>
            </w:r>
          </w:p>
        </w:tc>
        <w:tc>
          <w:tcPr>
            <w:tcW w:type="dxa" w:w="2400"/>
          </w:tcPr>
          <w:p>
            <w:r>
              <w:t>zrealizowane dostawy i serwis</w:t>
            </w:r>
          </w:p>
        </w:tc>
        <w:tc>
          <w:tcPr>
            <w:tcW w:type="dxa" w:w="2400"/>
          </w:tcPr>
          <w:p>
            <w:r>
              <w:t>pipeline i memoranda</w:t>
            </w:r>
          </w:p>
        </w:tc>
      </w:tr>
      <w:tr>
        <w:tc>
          <w:tcPr>
            <w:tcW w:type="dxa" w:w="2400"/>
          </w:tcPr>
          <w:p>
            <w:r>
              <w:t>FIN-10</w:t>
            </w:r>
          </w:p>
        </w:tc>
        <w:tc>
          <w:tcPr>
            <w:tcW w:type="dxa" w:w="2400"/>
          </w:tcPr>
          <w:p>
            <w:r>
              <w:t>ekspozycja warunkowa</w:t>
            </w:r>
          </w:p>
        </w:tc>
        <w:tc>
          <w:tcPr>
            <w:tcW w:type="dxa" w:w="2400"/>
          </w:tcPr>
          <w:p>
            <w:r>
              <w:t>gwarancje i inne zobowiązania według ryzyka</w:t>
            </w:r>
          </w:p>
        </w:tc>
        <w:tc>
          <w:tcPr>
            <w:tcW w:type="dxa" w:w="2400"/>
          </w:tcPr>
          <w:p>
            <w:r>
              <w:t>wyłącznie płatności gotówkowe</w:t>
            </w:r>
          </w:p>
        </w:tc>
      </w:tr>
    </w:tbl>
    <w:p>
      <w:pPr>
        <w:pStyle w:val="Heading2"/>
      </w:pPr>
      <w:r>
        <w:t>15. Ryzyka finansowe i odpowiedzi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Ryzyko</w:t>
            </w:r>
          </w:p>
        </w:tc>
        <w:tc>
          <w:tcPr>
            <w:tcW w:type="dxa" w:w="2400"/>
          </w:tcPr>
          <w:p>
            <w:r>
              <w:t>Mechanizm</w:t>
            </w:r>
          </w:p>
        </w:tc>
        <w:tc>
          <w:tcPr>
            <w:tcW w:type="dxa" w:w="2400"/>
          </w:tcPr>
          <w:p>
            <w:r>
              <w:t>Zabezpieczenie</w:t>
            </w:r>
          </w:p>
        </w:tc>
        <w:tc>
          <w:tcPr>
            <w:tcW w:type="dxa" w:w="2400"/>
          </w:tcPr>
          <w:p>
            <w:r>
              <w:t>Stop-rule</w:t>
            </w:r>
          </w:p>
        </w:tc>
      </w:tr>
      <w:tr>
        <w:tc>
          <w:tcPr>
            <w:tcW w:type="dxa" w:w="2400"/>
          </w:tcPr>
          <w:p>
            <w:r>
              <w:t>budżet jako cel</w:t>
            </w:r>
          </w:p>
        </w:tc>
        <w:tc>
          <w:tcPr>
            <w:tcW w:type="dxa" w:w="2400"/>
          </w:tcPr>
          <w:p>
            <w:r>
              <w:t>presja wykorzystania środków</w:t>
            </w:r>
          </w:p>
        </w:tc>
        <w:tc>
          <w:tcPr>
            <w:tcW w:type="dxa" w:w="2400"/>
          </w:tcPr>
          <w:p>
            <w:r>
              <w:t>bramki i opcje</w:t>
            </w:r>
          </w:p>
        </w:tc>
        <w:tc>
          <w:tcPr>
            <w:tcW w:type="dxa" w:w="2400"/>
          </w:tcPr>
          <w:p>
            <w:r>
              <w:t>brak dowodu blokuje skalę</w:t>
            </w:r>
          </w:p>
        </w:tc>
      </w:tr>
      <w:tr>
        <w:tc>
          <w:tcPr>
            <w:tcW w:type="dxa" w:w="2400"/>
          </w:tcPr>
          <w:p>
            <w:r>
              <w:t>podwójne finansowanie</w:t>
            </w:r>
          </w:p>
        </w:tc>
        <w:tc>
          <w:tcPr>
            <w:tcW w:type="dxa" w:w="2400"/>
          </w:tcPr>
          <w:p>
            <w:r>
              <w:t>wiele instrumentów</w:t>
            </w:r>
          </w:p>
        </w:tc>
        <w:tc>
          <w:tcPr>
            <w:tcW w:type="dxa" w:w="2400"/>
          </w:tcPr>
          <w:p>
            <w:r>
              <w:t>ID kosztu i konsolidacja</w:t>
            </w:r>
          </w:p>
        </w:tc>
        <w:tc>
          <w:tcPr>
            <w:tcW w:type="dxa" w:w="2400"/>
          </w:tcPr>
          <w:p>
            <w:r>
              <w:t>nierozwiązana kolizja blokuje płatność</w:t>
            </w:r>
          </w:p>
        </w:tc>
      </w:tr>
      <w:tr>
        <w:tc>
          <w:tcPr>
            <w:tcW w:type="dxa" w:w="2400"/>
          </w:tcPr>
          <w:p>
            <w:r>
              <w:t>ukryty TCO</w:t>
            </w:r>
          </w:p>
        </w:tc>
        <w:tc>
          <w:tcPr>
            <w:tcW w:type="dxa" w:w="2400"/>
          </w:tcPr>
          <w:p>
            <w:r>
              <w:t>niska cena wejścia</w:t>
            </w:r>
          </w:p>
        </w:tc>
        <w:tc>
          <w:tcPr>
            <w:tcW w:type="dxa" w:w="2400"/>
          </w:tcPr>
          <w:p>
            <w:r>
              <w:t>obowiązkowy lifecycle</w:t>
            </w:r>
          </w:p>
        </w:tc>
        <w:tc>
          <w:tcPr>
            <w:tcW w:type="dxa" w:w="2400"/>
          </w:tcPr>
          <w:p>
            <w:r>
              <w:t>brak danych TCO blokuje G3</w:t>
            </w:r>
          </w:p>
        </w:tc>
      </w:tr>
      <w:tr>
        <w:tc>
          <w:tcPr>
            <w:tcW w:type="dxa" w:w="2400"/>
          </w:tcPr>
          <w:p>
            <w:r>
              <w:t>nieużywane moce</w:t>
            </w:r>
          </w:p>
        </w:tc>
        <w:tc>
          <w:tcPr>
            <w:tcW w:type="dxa" w:w="2400"/>
          </w:tcPr>
          <w:p>
            <w:r>
              <w:t>CAPEX bez popytu</w:t>
            </w:r>
          </w:p>
        </w:tc>
        <w:tc>
          <w:tcPr>
            <w:tcW w:type="dxa" w:w="2400"/>
          </w:tcPr>
          <w:p>
            <w:r>
              <w:t>kontrakty, modułowość, test rynku</w:t>
            </w:r>
          </w:p>
        </w:tc>
        <w:tc>
          <w:tcPr>
            <w:tcW w:type="dxa" w:w="2400"/>
          </w:tcPr>
          <w:p>
            <w:r>
              <w:t>niskie wykorzystanie kończy wsparcie</w:t>
            </w:r>
          </w:p>
        </w:tc>
      </w:tr>
      <w:tr>
        <w:tc>
          <w:tcPr>
            <w:tcW w:type="dxa" w:w="2400"/>
          </w:tcPr>
          <w:p>
            <w:r>
              <w:t>moral hazard</w:t>
            </w:r>
          </w:p>
        </w:tc>
        <w:tc>
          <w:tcPr>
            <w:tcW w:type="dxa" w:w="2400"/>
          </w:tcPr>
          <w:p>
            <w:r>
              <w:t>pełna gwarancja państwa</w:t>
            </w:r>
          </w:p>
        </w:tc>
        <w:tc>
          <w:tcPr>
            <w:tcW w:type="dxa" w:w="2400"/>
          </w:tcPr>
          <w:p>
            <w:r>
              <w:t>prywatny udział ryzyka</w:t>
            </w:r>
          </w:p>
        </w:tc>
        <w:tc>
          <w:tcPr>
            <w:tcW w:type="dxa" w:w="2400"/>
          </w:tcPr>
          <w:p>
            <w:r>
              <w:t>brak ekspozycji prywatnej wymaga wyjątku</w:t>
            </w:r>
          </w:p>
        </w:tc>
      </w:tr>
      <w:tr>
        <w:tc>
          <w:tcPr>
            <w:tcW w:type="dxa" w:w="2400"/>
          </w:tcPr>
          <w:p>
            <w:r>
              <w:t>pozorna wartość krajowa</w:t>
            </w:r>
          </w:p>
        </w:tc>
        <w:tc>
          <w:tcPr>
            <w:tcW w:type="dxa" w:w="2400"/>
          </w:tcPr>
          <w:p>
            <w:r>
              <w:t>montaż i fakturowanie</w:t>
            </w:r>
          </w:p>
        </w:tc>
        <w:tc>
          <w:tcPr>
            <w:tcW w:type="dxa" w:w="2400"/>
          </w:tcPr>
          <w:p>
            <w:r>
              <w:t>metodologia wartości dodanej</w:t>
            </w:r>
          </w:p>
        </w:tc>
        <w:tc>
          <w:tcPr>
            <w:tcW w:type="dxa" w:w="2400"/>
          </w:tcPr>
          <w:p>
            <w:r>
              <w:t>brak danych zmienia claim na UNKNOWN</w:t>
            </w:r>
          </w:p>
        </w:tc>
      </w:tr>
      <w:tr>
        <w:tc>
          <w:tcPr>
            <w:tcW w:type="dxa" w:w="2400"/>
          </w:tcPr>
          <w:p>
            <w:r>
              <w:t>fałszywy mnożnik</w:t>
            </w:r>
          </w:p>
        </w:tc>
        <w:tc>
          <w:tcPr>
            <w:tcW w:type="dxa" w:w="2400"/>
          </w:tcPr>
          <w:p>
            <w:r>
              <w:t>arbitralna korzyść PKB</w:t>
            </w:r>
          </w:p>
        </w:tc>
        <w:tc>
          <w:tcPr>
            <w:tcW w:type="dxa" w:w="2400"/>
          </w:tcPr>
          <w:p>
            <w:r>
              <w:t>kontrfaktyczne badanie</w:t>
            </w:r>
          </w:p>
        </w:tc>
        <w:tc>
          <w:tcPr>
            <w:tcW w:type="dxa" w:w="2400"/>
          </w:tcPr>
          <w:p>
            <w:r>
              <w:t>brak metody blokuje publikację</w:t>
            </w:r>
          </w:p>
        </w:tc>
      </w:tr>
      <w:tr>
        <w:tc>
          <w:tcPr>
            <w:tcW w:type="dxa" w:w="2400"/>
          </w:tcPr>
          <w:p>
            <w:r>
              <w:t>inflacja podaży</w:t>
            </w:r>
          </w:p>
        </w:tc>
        <w:tc>
          <w:tcPr>
            <w:tcW w:type="dxa" w:w="2400"/>
          </w:tcPr>
          <w:p>
            <w:r>
              <w:t>zbyt szybkie zamówienia</w:t>
            </w:r>
          </w:p>
        </w:tc>
        <w:tc>
          <w:tcPr>
            <w:tcW w:type="dxa" w:w="2400"/>
          </w:tcPr>
          <w:p>
            <w:r>
              <w:t>fazowanie i konkurencja</w:t>
            </w:r>
          </w:p>
        </w:tc>
        <w:tc>
          <w:tcPr>
            <w:tcW w:type="dxa" w:w="2400"/>
          </w:tcPr>
          <w:p>
            <w:r>
              <w:t>odchylenie kosztu otwiera decyzję ponownie</w:t>
            </w:r>
          </w:p>
        </w:tc>
      </w:tr>
      <w:tr>
        <w:tc>
          <w:tcPr>
            <w:tcW w:type="dxa" w:w="2400"/>
          </w:tcPr>
          <w:p>
            <w:r>
              <w:t>polityczne utrzymanie</w:t>
            </w:r>
          </w:p>
        </w:tc>
        <w:tc>
          <w:tcPr>
            <w:tcW w:type="dxa" w:w="2400"/>
          </w:tcPr>
          <w:p>
            <w:r>
              <w:t>projekt nie może umrzeć</w:t>
            </w:r>
          </w:p>
        </w:tc>
        <w:tc>
          <w:tcPr>
            <w:tcW w:type="dxa" w:w="2400"/>
          </w:tcPr>
          <w:p>
            <w:r>
              <w:t>raport zamknięć i sunset</w:t>
            </w:r>
          </w:p>
        </w:tc>
        <w:tc>
          <w:tcPr>
            <w:tcW w:type="dxa" w:w="2400"/>
          </w:tcPr>
          <w:p>
            <w:r>
              <w:t>dwie bramki bez postępu kończą finansowanie</w:t>
            </w:r>
          </w:p>
        </w:tc>
      </w:tr>
      <w:tr>
        <w:tc>
          <w:tcPr>
            <w:tcW w:type="dxa" w:w="2400"/>
          </w:tcPr>
          <w:p>
            <w:r>
              <w:t>ryzyko walutowe</w:t>
            </w:r>
          </w:p>
        </w:tc>
        <w:tc>
          <w:tcPr>
            <w:tcW w:type="dxa" w:w="2400"/>
          </w:tcPr>
          <w:p>
            <w:r>
              <w:t>import i kurs</w:t>
            </w:r>
          </w:p>
        </w:tc>
        <w:tc>
          <w:tcPr>
            <w:tcW w:type="dxa" w:w="2400"/>
          </w:tcPr>
          <w:p>
            <w:r>
              <w:t>scenariusze, hedging zgodnie z polityką</w:t>
            </w:r>
          </w:p>
        </w:tc>
        <w:tc>
          <w:tcPr>
            <w:tcW w:type="dxa" w:w="2400"/>
          </w:tcPr>
          <w:p>
            <w:r>
              <w:t>przekroczenie tolerancji wymaga decyzji</w:t>
            </w:r>
          </w:p>
        </w:tc>
      </w:tr>
    </w:tbl>
    <w:p>
      <w:pPr>
        <w:pStyle w:val="Heading2"/>
      </w:pPr>
      <w:r>
        <w:t>16. Pierwsze 100 dni — plan pracy finansowej</w:t>
      </w:r>
    </w:p>
    <w:p>
      <w:pPr>
        <w:pStyle w:val="Heading3"/>
      </w:pPr>
      <w:r>
        <w:t>D0–D30</w:t>
      </w:r>
    </w:p>
    <w:p>
      <w:pPr>
        <w:pStyle w:val="ListBullet"/>
      </w:pPr>
      <w:r>
        <w:t>zamrozić definicje kosztu, zobowiązania, płatności i wartości dodanej;</w:t>
      </w:r>
    </w:p>
    <w:p>
      <w:pPr>
        <w:pStyle w:val="ListBullet"/>
      </w:pPr>
      <w:r>
        <w:t>utworzyć rejestr programów i instrumentów;</w:t>
      </w:r>
    </w:p>
    <w:p>
      <w:pPr>
        <w:pStyle w:val="ListBullet"/>
      </w:pPr>
      <w:r>
        <w:t>nadać unikalne identyfikatory kosztów;</w:t>
      </w:r>
    </w:p>
    <w:p>
      <w:pPr>
        <w:pStyle w:val="ListBullet"/>
      </w:pPr>
      <w:r>
        <w:t>wskazać właścicieli danych i terminy;</w:t>
      </w:r>
    </w:p>
    <w:p>
      <w:pPr>
        <w:pStyle w:val="ListBullet"/>
      </w:pPr>
      <w:r>
        <w:t>oddzielić informacje publiczne, wrażliwe i nieznane.</w:t>
      </w:r>
    </w:p>
    <w:p>
      <w:pPr>
        <w:pStyle w:val="Heading3"/>
      </w:pPr>
      <w:r>
        <w:t>D31–D60</w:t>
      </w:r>
    </w:p>
    <w:p>
      <w:pPr>
        <w:pStyle w:val="ListBullet"/>
      </w:pPr>
      <w:r>
        <w:t>zebrać istniejące zobowiązania i płatności;</w:t>
      </w:r>
    </w:p>
    <w:p>
      <w:pPr>
        <w:pStyle w:val="ListBullet"/>
      </w:pPr>
      <w:r>
        <w:t>zmapować SAFE, EDF, EUDIS, STEP oraz instrumenty krajowe do etapów;</w:t>
      </w:r>
    </w:p>
    <w:p>
      <w:pPr>
        <w:pStyle w:val="ListBullet"/>
      </w:pPr>
      <w:r>
        <w:t>wycenić ograniczone pilotaże i koszt dowodu;</w:t>
      </w:r>
    </w:p>
    <w:p>
      <w:pPr>
        <w:pStyle w:val="ListBullet"/>
      </w:pPr>
      <w:r>
        <w:t>przygotować metodologię TCO i wartości dodanej;</w:t>
      </w:r>
    </w:p>
    <w:p>
      <w:pPr>
        <w:pStyle w:val="ListBullet"/>
      </w:pPr>
      <w:r>
        <w:t>zidentyfikować największe ryzyka fiskalne i warunkowe.</w:t>
      </w:r>
    </w:p>
    <w:p>
      <w:pPr>
        <w:pStyle w:val="Heading3"/>
      </w:pPr>
      <w:r>
        <w:t>D61–D100</w:t>
      </w:r>
    </w:p>
    <w:p>
      <w:pPr>
        <w:pStyle w:val="ListBullet"/>
      </w:pPr>
      <w:r>
        <w:t>przedstawić jakościowe scenariusze L/B/H i pierwsze przedziały tam, gdzie dane są wystarczające;</w:t>
      </w:r>
    </w:p>
    <w:p>
      <w:pPr>
        <w:pStyle w:val="ListBullet"/>
      </w:pPr>
      <w:r>
        <w:t>przeprowadzić analizę podwójnego finansowania;</w:t>
      </w:r>
    </w:p>
    <w:p>
      <w:pPr>
        <w:pStyle w:val="ListBullet"/>
      </w:pPr>
      <w:r>
        <w:t>wybrać założenia o największej wrażliwości;</w:t>
      </w:r>
    </w:p>
    <w:p>
      <w:pPr>
        <w:pStyle w:val="ListBullet"/>
      </w:pPr>
      <w:r>
        <w:t>przygotować plan ich walidacji do M6;</w:t>
      </w:r>
    </w:p>
    <w:p>
      <w:pPr>
        <w:pStyle w:val="ListBullet"/>
      </w:pPr>
      <w:r>
        <w:t>przekazać Radzie Ministrów koszt działań odwracalnych i ekspozycję kolejnych bramek.</w:t>
      </w:r>
    </w:p>
    <w:p>
      <w:pPr>
        <w:pStyle w:val="Heading2"/>
      </w:pPr>
      <w:r>
        <w:t>17. Decyzje wymagane przed przyjęciem budżetu</w:t>
      </w:r>
    </w:p>
    <w:p>
      <w:pPr>
        <w:pStyle w:val="ListNumber"/>
      </w:pPr>
      <w:r>
        <w:t>Jaki problem i rezultat kupuje każda kategoria?</w:t>
      </w:r>
    </w:p>
    <w:p>
      <w:pPr>
        <w:pStyle w:val="ListNumber"/>
      </w:pPr>
      <w:r>
        <w:t>Jaki jest kontrfaktyczny wariant?</w:t>
      </w:r>
    </w:p>
    <w:p>
      <w:pPr>
        <w:pStyle w:val="ListNumber"/>
      </w:pPr>
      <w:r>
        <w:t>Które koszty są już zobowiązane?</w:t>
      </w:r>
    </w:p>
    <w:p>
      <w:pPr>
        <w:pStyle w:val="ListNumber"/>
      </w:pPr>
      <w:r>
        <w:t>Które są dodatkowe i dlaczego?</w:t>
      </w:r>
    </w:p>
    <w:p>
      <w:pPr>
        <w:pStyle w:val="ListNumber"/>
      </w:pPr>
      <w:r>
        <w:t>Kto ponosi ryzyko techniczne, rynkowe i finansowe?</w:t>
      </w:r>
    </w:p>
    <w:p>
      <w:pPr>
        <w:pStyle w:val="ListNumber"/>
      </w:pPr>
      <w:r>
        <w:t>Jakie prawa i opcje otrzymuje państwo?</w:t>
      </w:r>
    </w:p>
    <w:p>
      <w:pPr>
        <w:pStyle w:val="ListNumber"/>
      </w:pPr>
      <w:r>
        <w:t>Jaki jest pełny koszt cyklu życia?</w:t>
      </w:r>
    </w:p>
    <w:p>
      <w:pPr>
        <w:pStyle w:val="ListNumber"/>
      </w:pPr>
      <w:r>
        <w:t>Jaki warunek zatrzymuje płatność lub skalę?</w:t>
      </w:r>
    </w:p>
    <w:p>
      <w:pPr>
        <w:pStyle w:val="ListNumber"/>
      </w:pPr>
      <w:r>
        <w:t>Jak mierzony jest wynik bezpieczeństwa i gospodarczy?</w:t>
      </w:r>
    </w:p>
    <w:p>
      <w:pPr>
        <w:pStyle w:val="ListNumber"/>
      </w:pPr>
      <w:r>
        <w:t>Jaki jest koszt alternatywny i plan wyjścia?</w:t>
      </w:r>
    </w:p>
    <w:p>
      <w:pPr>
        <w:pStyle w:val="Heading2"/>
      </w:pPr>
      <w:r>
        <w:t>Dalsze pytania</w:t>
      </w:r>
    </w:p>
    <w:p>
      <w:pPr>
        <w:pStyle w:val="ListBullet"/>
      </w:pPr>
      <w:r>
        <w:t>Jaka część istniejących zobowiązań mieści się w zakresie bez zmiany etykiety?</w:t>
      </w:r>
    </w:p>
    <w:p>
      <w:pPr>
        <w:pStyle w:val="ListBullet"/>
      </w:pPr>
      <w:r>
        <w:t>Jakie są terminy i koszt finansowania SAFE dla poszczególnych pozycji?</w:t>
      </w:r>
    </w:p>
    <w:p>
      <w:pPr>
        <w:pStyle w:val="ListBullet"/>
      </w:pPr>
      <w:r>
        <w:t>Jak zdefiniować wartość dodaną w Polsce dla software, IP, danych i serwisu?</w:t>
      </w:r>
    </w:p>
    <w:p>
      <w:pPr>
        <w:pStyle w:val="ListBullet"/>
      </w:pPr>
      <w:r>
        <w:t>Które komponenty uzasadniają CAPEX, a które jedynie dywersyfikację importu?</w:t>
      </w:r>
    </w:p>
    <w:p>
      <w:pPr>
        <w:pStyle w:val="ListBullet"/>
      </w:pPr>
      <w:r>
        <w:t>Jak wycenić rezerwy mocy i dostępność bez płacenia za nieużywaną infrastrukturę?</w:t>
      </w:r>
    </w:p>
    <w:p>
      <w:pPr>
        <w:pStyle w:val="ListBullet"/>
      </w:pPr>
      <w:r>
        <w:t>Jaki prywatny udział ryzyka jest możliwy w różnych etapach?</w:t>
      </w:r>
    </w:p>
    <w:p>
      <w:pPr>
        <w:pStyle w:val="ListBullet"/>
      </w:pPr>
      <w:r>
        <w:t>Które spillovers cywilne mają już nabywcę i bazę produktywności?</w:t>
      </w:r>
    </w:p>
    <w:p>
      <w:pPr>
        <w:pStyle w:val="ListBullet"/>
      </w:pPr>
      <w:r>
        <w:t>Jak raportować korzyści bezpieczeństwa bez fałszywej monetyzacji?</w:t>
      </w:r>
    </w:p>
    <w:p>
      <w:pPr>
        <w:pStyle w:val="ListBullet"/>
      </w:pPr>
      <w:r>
        <w:t>Jaki jest koszt administracyjny i pojemność wdrożeniowa instytucji?</w:t>
      </w:r>
    </w:p>
    <w:p>
      <w:pPr>
        <w:pStyle w:val="ListBullet"/>
      </w:pPr>
      <w:r>
        <w:t>Kiedy program/fundusz powinien zostać rozwiązany?</w:t>
      </w:r>
    </w:p>
    <w:p>
      <w:pPr>
        <w:pStyle w:val="Heading2"/>
      </w:pPr>
      <w:r>
        <w:t>Zastrzeżenia i założenia</w:t>
      </w:r>
    </w:p>
    <w:p>
      <w:pPr>
        <w:pStyle w:val="ListBullet"/>
      </w:pPr>
      <w:r>
        <w:t xml:space="preserve">Wszystkie wartości scenariuszowe pozostają </w:t>
      </w:r>
      <w:r>
        <w:t>UNKNOWN</w:t>
      </w:r>
      <w:r>
        <w:t xml:space="preserve"> do czasu audytu i decyzji o założeniach.</w:t>
      </w:r>
    </w:p>
    <w:p>
      <w:pPr>
        <w:pStyle w:val="ListBullet"/>
      </w:pPr>
      <w:r>
        <w:t>Kwoty z oficjalnych komunikatów opisują instrument lub plan i nie są automatycznie przepływem kasowym programu.</w:t>
      </w:r>
    </w:p>
    <w:p>
      <w:pPr>
        <w:pStyle w:val="ListBullet"/>
      </w:pPr>
      <w:r>
        <w:t>Kwalifikowalność i warunki każdego instrumentu wymagają weryfikacji w aktualnym regulaminie oraz opinii prawnej/finansowej.</w:t>
      </w:r>
    </w:p>
    <w:p>
      <w:pPr>
        <w:pStyle w:val="ListBullet"/>
      </w:pPr>
      <w:r>
        <w:t>Wpływ gospodarczy wymaga kontrfaktycznego badania; dokument nie stosuje arbitralnego mnożnika.</w:t>
      </w:r>
    </w:p>
    <w:p>
      <w:pPr>
        <w:pStyle w:val="ListBullet"/>
      </w:pPr>
      <w:r>
        <w:t>Wartość bezpieczeństwa może wymagać decyzji jakościowej i analizy koszt–skuteczność zamiast monetyzacji.</w:t>
      </w:r>
    </w:p>
    <w:p>
      <w:pPr>
        <w:pStyle w:val="ListBullet"/>
      </w:pPr>
      <w:r>
        <w:t>Model jest aktualizowany wraz ze źródłami, a zmiana definicji lub roku bazowego tworzy nową wersję wyniku.</w:t>
      </w:r>
    </w:p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