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Plan realizacji 2026–2040</w:t>
      </w:r>
    </w:p>
    <w:p>
      <w:r>
        <w:rPr>
          <w:b/>
          <w:color w:val="A75C00"/>
        </w:rPr>
        <w:t>Niezależny jawnoźródłowy projekt analityczny — bez materiałów niejawnych — nie jest dokumentem rządowym.</w:t>
      </w:r>
    </w:p>
    <w:p>
      <w:r>
        <w:rPr>
          <w:b/>
        </w:rPr>
        <w:t>Program:</w:t>
      </w:r>
      <w:r>
        <w:t xml:space="preserve"> Polska 2040: Suwerenność technologiczna</w:t>
      </w:r>
      <w:r/>
      <w:r>
        <w:br/>
      </w:r>
      <w:r>
        <w:rPr>
          <w:b/>
        </w:rPr>
        <w:t>Status:</w:t>
      </w:r>
      <w:r>
        <w:t xml:space="preserve"> niezależny materiał przedmandatowy v0.1 do konsultacji; D0 nie został ustanowiony</w:t>
      </w:r>
      <w:r/>
      <w:r>
        <w:br/>
      </w:r>
      <w:r>
        <w:rPr>
          <w:b/>
        </w:rPr>
        <w:t>Stan wiedzy:</w:t>
      </w:r>
      <w:r>
        <w:t xml:space="preserve"> 21 lipca 2026 r.</w:t>
      </w:r>
      <w:r>
        <w:br/>
        <w:t>Zasada: terminy liczone są od formalnej decyzji o uruchomieniu programu (D0), a nie od daty niniejszego dokumentu.</w:t>
      </w:r>
    </w:p>
    <w:p>
      <w:pPr>
        <w:pStyle w:val="Quote"/>
      </w:pPr>
      <w:r>
        <w:t>Plan opisuje jawny mechanizm realizacji. Nie zawiera niejawnych luk zdolnościowych, wolumenów, zapasów, lokalizacji, parametrów operacyjnych ani list podatności. Szczegółowe odpowiedzi na pytania chronione powstają wyłącznie w autoryzowanym środowisku.</w:t>
      </w:r>
    </w:p>
    <w:p>
      <w:pPr>
        <w:pStyle w:val="Heading2"/>
      </w:pPr>
      <w:r>
        <w:t>Executive Summary / Streszczenie wykonawcze</w:t>
      </w:r>
    </w:p>
    <w:p>
      <w:pPr>
        <w:pStyle w:val="Heading3"/>
      </w:pPr>
      <w:r>
        <w:t>Rezultat</w:t>
      </w:r>
    </w:p>
    <w:p>
      <w:r>
        <w:t xml:space="preserve">Plan przekształca strategię w portfel dwunastu pakietów roboczych, cztery wspólne bramki i pięć horyzontów. W pierwszym roku państwo nie próbuje zbudować całego docelowego ekosystemu. Buduje </w:t>
      </w:r>
      <w:r>
        <w:rPr>
          <w:b/>
        </w:rPr>
        <w:t>zdolność wykonawczą</w:t>
      </w:r>
      <w:r>
        <w:t>: odpowiedzialność, wartości bazowe, bezpieczne dane, porównywalne testy, małe kontrakty, audyt produkcji, popyt kompetencyjny i mechanizm zamykania nieskutecznych inicjatyw.</w:t>
      </w:r>
    </w:p>
    <w:p>
      <w:pPr>
        <w:pStyle w:val="Heading3"/>
      </w:pPr>
      <w:r>
        <w:t>Pięć zasad wykonania</w:t>
      </w:r>
    </w:p>
    <w:p>
      <w:pPr>
        <w:pStyle w:val="ListNumber"/>
      </w:pPr>
      <w:r>
        <w:rPr>
          <w:b/>
        </w:rPr>
        <w:t>Jedna tablica portfela.</w:t>
      </w:r>
      <w:r>
        <w:t xml:space="preserve"> Każde działanie ma właściciela, produkt, termin, zależność, KPI, koszt, ryzyko i następną decyzję.</w:t>
      </w:r>
    </w:p>
    <w:p>
      <w:pPr>
        <w:pStyle w:val="ListNumber"/>
      </w:pPr>
      <w:r>
        <w:rPr>
          <w:b/>
        </w:rPr>
        <w:t>Małe zobowiązanie przed dużym.</w:t>
      </w:r>
      <w:r>
        <w:t xml:space="preserve"> Pilotaż i mała partia kupują dowód przed decyzją skali.</w:t>
      </w:r>
    </w:p>
    <w:p>
      <w:pPr>
        <w:pStyle w:val="ListNumber"/>
      </w:pPr>
      <w:r>
        <w:rPr>
          <w:b/>
        </w:rPr>
        <w:t>Brak danych jest wynikiem audytu.</w:t>
      </w:r>
      <w:r>
        <w:t xml:space="preserve"> </w:t>
      </w:r>
      <w:r>
        <w:t>UNKNOWN</w:t>
      </w:r>
      <w:r>
        <w:t xml:space="preserve"> uruchamia plan pozyskania, nie wypełnianie luki liczbą modelową.</w:t>
      </w:r>
    </w:p>
    <w:p>
      <w:pPr>
        <w:pStyle w:val="ListNumber"/>
      </w:pPr>
      <w:r>
        <w:rPr>
          <w:b/>
        </w:rPr>
        <w:t>Wdrożenie i zamknięcie są równoprawnymi wynikami.</w:t>
      </w:r>
      <w:r>
        <w:t xml:space="preserve"> Portfel raportuje projekty zatrzymane oraz zaoszczędzone zobowiązania.</w:t>
      </w:r>
    </w:p>
    <w:p>
      <w:pPr>
        <w:pStyle w:val="ListNumber"/>
      </w:pPr>
      <w:r>
        <w:rPr>
          <w:b/>
        </w:rPr>
        <w:t>Wersja jawna i autoryzowana są rozdzielone.</w:t>
      </w:r>
      <w:r>
        <w:t xml:space="preserve"> Repozytorium zawiera pytania, definicje i agregaty; informacje chronione pozostają u właściciela.</w:t>
      </w:r>
    </w:p>
    <w:p>
      <w:pPr>
        <w:pStyle w:val="Heading3"/>
      </w:pPr>
      <w:r>
        <w:t>Cztery kandydaty decyzji w pierwszych 30 dniach</w:t>
      </w:r>
    </w:p>
    <w:p>
      <w:pPr>
        <w:pStyle w:val="ListBullet"/>
      </w:pPr>
      <w:r>
        <w:rPr>
          <w:b/>
        </w:rPr>
        <w:t>DEC-0001 / DEC-0002:</w:t>
      </w:r>
      <w:r>
        <w:t xml:space="preserve"> rozpatrzyć mandat, formalnego właściciela i funkcję Biura Realizacji;</w:t>
      </w:r>
    </w:p>
    <w:p>
      <w:pPr>
        <w:pStyle w:val="ListBullet"/>
      </w:pPr>
      <w:r>
        <w:rPr>
          <w:b/>
        </w:rPr>
        <w:t>DEC-0003:</w:t>
      </w:r>
      <w:r>
        <w:t xml:space="preserve"> rozpatrzyć wspólny kontrakt danych, dowodów, konfliktów interesów, raportowania i ograniczony portfel problemów;</w:t>
      </w:r>
    </w:p>
    <w:p>
      <w:pPr>
        <w:pStyle w:val="ListBullet"/>
      </w:pPr>
      <w:r>
        <w:rPr>
          <w:b/>
        </w:rPr>
        <w:t>DEC-0004:</w:t>
      </w:r>
      <w:r>
        <w:t xml:space="preserve"> rozpatrzyć pilotaż przestrzeni danych i ewaluacji;</w:t>
      </w:r>
    </w:p>
    <w:p>
      <w:pPr>
        <w:pStyle w:val="ListBullet"/>
      </w:pPr>
      <w:r>
        <w:rPr>
          <w:b/>
        </w:rPr>
        <w:t>DEC-0005 / DEC-0008:</w:t>
      </w:r>
      <w:r>
        <w:t xml:space="preserve"> rozpatrzyć audyt bazowy oraz mapę istniejących programów, zależności i zobowiązań.</w:t>
      </w:r>
    </w:p>
    <w:p>
      <w:r>
        <w:t xml:space="preserve">Rekordy mają status </w:t>
      </w:r>
      <w:r>
        <w:t>candidate</w:t>
      </w:r>
      <w:r>
        <w:t>. Warunkiem formalnego uruchomienia jest rozstrzygnięcie właściwości i podstawy procesu (</w:t>
      </w:r>
      <w:r>
        <w:rPr>
          <w:b/>
        </w:rPr>
        <w:t>GAP-0011</w:t>
      </w:r>
      <w:r>
        <w:t>).</w:t>
      </w:r>
    </w:p>
    <w:p>
      <w:pPr>
        <w:pStyle w:val="Heading3"/>
      </w:pPr>
      <w:r>
        <w:t>Co ma istnieć po 12 miesiącach</w:t>
      </w:r>
    </w:p>
    <w:p>
      <w:pPr>
        <w:pStyle w:val="ListBullet"/>
      </w:pPr>
      <w:r>
        <w:t>działający rejestr problemów, decyzji, ryzyk, kosztów i rezultatów;</w:t>
      </w:r>
    </w:p>
    <w:p>
      <w:pPr>
        <w:pStyle w:val="ListBullet"/>
      </w:pPr>
      <w:r>
        <w:t>pierwsze projekty, które przeszły test użytkownika, oraz projekty jawnie zamknięte;</w:t>
      </w:r>
    </w:p>
    <w:p>
      <w:pPr>
        <w:pStyle w:val="ListBullet"/>
      </w:pPr>
      <w:r>
        <w:t>przetestowany prototyp bezpiecznej przestrzeni danych i model governance AI;</w:t>
      </w:r>
    </w:p>
    <w:p>
      <w:pPr>
        <w:pStyle w:val="ListBullet"/>
      </w:pPr>
      <w:r>
        <w:t>mapa przemysłu oraz ćwiczenia zdolności zwiększenia produkcji na reprezentatywnej próbie;</w:t>
      </w:r>
    </w:p>
    <w:p>
      <w:pPr>
        <w:pStyle w:val="ListBullet"/>
      </w:pPr>
      <w:r>
        <w:t>trzy scenariusze finansowe bez podwójnego liczenia finansowania;</w:t>
      </w:r>
    </w:p>
    <w:p>
      <w:pPr>
        <w:pStyle w:val="ListBullet"/>
      </w:pPr>
      <w:r>
        <w:t>portfolio partnerstw z Ukrainą/UE po due diligence;</w:t>
      </w:r>
    </w:p>
    <w:p>
      <w:pPr>
        <w:pStyle w:val="ListBullet"/>
      </w:pPr>
      <w:r>
        <w:t>pilotaże przekwalifikowania i regionalnych centrów z bazą kosztową;</w:t>
      </w:r>
    </w:p>
    <w:p>
      <w:pPr>
        <w:pStyle w:val="ListBullet"/>
      </w:pPr>
      <w:r>
        <w:t>pakiet zmian procesowych, kontraktowych i prawnych;</w:t>
      </w:r>
    </w:p>
    <w:p>
      <w:pPr>
        <w:pStyle w:val="ListBullet"/>
      </w:pPr>
      <w:r>
        <w:t>dashboard dla Rady Ministrów oraz osobna wersja publiczna;</w:t>
      </w:r>
    </w:p>
    <w:p>
      <w:pPr>
        <w:pStyle w:val="ListBullet"/>
      </w:pPr>
      <w:r>
        <w:t>raport „skaluj–zmień–zamknij” z planem na kolejny rok.</w:t>
      </w:r>
    </w:p>
    <w:p>
      <w:r/>
    </w:p>
    <w:p>
      <w:r>
        <w:drawing>
          <wp:inline xmlns:a="http://schemas.openxmlformats.org/drawingml/2006/main" xmlns:pic="http://schemas.openxmlformats.org/drawingml/2006/picture">
            <wp:extent cx="5669280" cy="2196846"/>
            <wp:docPr id="1" name="Picture 1" descr="Horyzonty realizacji: pierwsze 100 dni, 6 i 12 miesięcy, lata 2027–2030, 2031–2035 i ambicja 2040" title="Horyzonty realizacji: pierwsze 100 dni, 6 i 12 miesięcy, lata 2027–2030, 2031–2035 i ambicja 20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-horiz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96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Spis treści</w:t>
      </w:r>
    </w:p>
    <w:p>
      <w:pPr>
        <w:pStyle w:val="ListBullet"/>
      </w:pPr>
      <w:r>
        <w:t>Plan realizacji 2026–2040</w:t>
      </w:r>
      <w:r>
        <w:br/>
        <w:t>Executive Summary / Streszczenie wykonawcze</w:t>
        <w:br/>
        <w:t>Rezultat</w:t>
        <w:br/>
        <w:t>Pięć zasad wykonania</w:t>
        <w:br/>
        <w:t>Cztery kandydaty decyzji w pierwszych 30 dniach</w:t>
        <w:br/>
        <w:t>Co ma istnieć po 12 miesiącach</w:t>
        <w:br/>
        <w:br/>
        <w:br/>
        <w:t>Spis treści</w:t>
        <w:br/>
        <w:t>1. Architektura portfela</w:t>
        <w:br/>
        <w:t>1.1. Pakiety robocze</w:t>
        <w:br/>
        <w:t>1.2. Cztery wspólne bramki programu</w:t>
        <w:br/>
        <w:t>1.3. Hierarchia produktów</w:t>
        <w:br/>
        <w:br/>
        <w:br/>
        <w:t>2. Pierwsze 100 dni</w:t>
        <w:br/>
        <w:t>Faza A: D0–D10 — uruchomienie</w:t>
        <w:br/>
        <w:t>Decyzje</w:t>
        <w:br/>
        <w:t>Produkty</w:t>
        <w:br/>
        <w:t>Warunek przejścia</w:t>
        <w:br/>
        <w:br/>
        <w:br/>
        <w:t>Faza B: D11–D30 — mandat, problemy i zakres audytu</w:t>
        <w:br/>
        <w:t>WP01: governance</w:t>
        <w:br/>
        <w:t>WP02: katalog problemów</w:t>
        <w:br/>
        <w:t>WP06/WP08/WP10: zakres baz</w:t>
        <w:br/>
        <w:t>Warunek przejścia</w:t>
        <w:br/>
        <w:br/>
        <w:br/>
        <w:t>Faza C: D31–D60 — baza i projekt pilotaży</w:t>
        <w:br/>
        <w:t>Audyt</w:t>
        <w:br/>
        <w:t>Projekt testów</w:t>
        <w:br/>
        <w:t>Bezpieczna przestrzeń danych</w:t>
        <w:br/>
        <w:t>Warunek przejścia</w:t>
        <w:br/>
        <w:br/>
        <w:br/>
        <w:t>Faza D: D61–D100 — pierwsze dowody i decyzja G1</w:t>
        <w:br/>
        <w:t>Działania</w:t>
        <w:br/>
        <w:t>Pakiet G1 dla Premiera/RM</w:t>
        <w:br/>
        <w:t>Definicja ukończenia 100 dni</w:t>
        <w:br/>
        <w:br/>
        <w:br/>
        <w:br/>
        <w:br/>
        <w:t>3. Miesiące 4–6: dowód mechanizmu</w:t>
        <w:br/>
        <w:t>Cel</w:t>
        <w:br/>
        <w:t>Produkty</w:t>
        <w:br/>
        <w:t>Bramka G2</w:t>
        <w:br/>
        <w:br/>
        <w:br/>
        <w:t>4. Miesiące 7–12: małe partie i decyzja skali</w:t>
        <w:br/>
        <w:t>4.1. Mała partia jako instrument uczenia</w:t>
        <w:br/>
        <w:t>4.2. Decyzja G3</w:t>
        <w:br/>
        <w:t>4.3. Produkty końca roku</w:t>
        <w:br/>
        <w:br/>
        <w:br/>
        <w:t>5. Horyzont 2027–2030</w:t>
        <w:br/>
        <w:t>Cel</w:t>
        <w:br/>
        <w:t>Linie działania</w:t>
        <w:br/>
        <w:t>Decyzje końca 2030 r.</w:t>
        <w:br/>
        <w:br/>
        <w:br/>
        <w:t>6. Horyzont 2031–2035</w:t>
        <w:br/>
        <w:t>Cel</w:t>
        <w:br/>
        <w:t>Priorytety</w:t>
        <w:br/>
        <w:t>Bramka 2035</w:t>
        <w:br/>
        <w:br/>
        <w:br/>
        <w:t>7. Horyzont 2036–2040</w:t>
        <w:br/>
        <w:t>8. RACI i odpowiedzialność</w:t>
        <w:br/>
        <w:t>9. Rytm zarządczy</w:t>
        <w:br/>
        <w:t>Tygodniowo</w:t>
        <w:br/>
        <w:t>Miesięcznie</w:t>
        <w:br/>
        <w:t>Kwartalnie</w:t>
        <w:br/>
        <w:t>Rocznie</w:t>
        <w:br/>
        <w:br/>
        <w:br/>
        <w:t>10. Dashboard i słownik KPI</w:t>
        <w:br/>
        <w:t>Reguły miernika</w:t>
        <w:br/>
        <w:t>Dashboard publiczny</w:t>
        <w:br/>
        <w:br/>
        <w:br/>
        <w:t>11. Zarządzanie zależnościami</w:t>
        <w:br/>
        <w:t>Zależności krytyczne</w:t>
        <w:br/>
        <w:t>Reguła eskalacji</w:t>
        <w:br/>
        <w:br/>
        <w:br/>
        <w:t>12. Rejestr ryzyk wykonawczych</w:t>
        <w:br/>
        <w:t>13. Dane wymagane do zamrożenia harmonogramu i budżetu</w:t>
        <w:br/>
        <w:t>Jawne lub możliwe do publikacji w agregacie</w:t>
        <w:br/>
        <w:t>Do obiegu autoryzowanego</w:t>
        <w:br/>
        <w:br/>
        <w:br/>
        <w:t>14. Definicja ukończenia v0.1 i przejścia do wykonania</w:t>
        <w:br/>
        <w:t>15. Kandydackie następne kroki po ewentualnym przyjęciu planu</w:t>
        <w:br/>
        <w:t>Dalsze pytania</w:t>
        <w:br/>
        <w:t>Zastrzeżenia i założenia</w:t>
        <w:br/>
      </w:r>
      <w:r>
        <w:br/>
      </w:r>
    </w:p>
    <w:p>
      <w:pPr>
        <w:pStyle w:val="ListBullet"/>
      </w:pPr>
      <w:r>
        <w:t>Executive Summary / Streszczenie wykonawcze</w:t>
      </w:r>
      <w:r>
        <w:br/>
        <w:t>Rezultat</w:t>
        <w:br/>
        <w:t>Pięć zasad wykonania</w:t>
        <w:br/>
        <w:t>Cztery kandydaty decyzji w pierwszych 30 dniach</w:t>
        <w:br/>
        <w:t>Co ma istnieć po 12 miesiącach</w:t>
        <w:br/>
      </w:r>
      <w:r>
        <w:br/>
      </w:r>
    </w:p>
    <w:p>
      <w:pPr>
        <w:pStyle w:val="ListBullet"/>
      </w:pPr>
      <w:r>
        <w:t>Spis treści</w:t>
      </w:r>
    </w:p>
    <w:p>
      <w:pPr>
        <w:pStyle w:val="ListBullet"/>
      </w:pPr>
      <w:r>
        <w:t>1. Architektura portfela</w:t>
      </w:r>
      <w:r>
        <w:br/>
        <w:t>1.1. Pakiety robocze</w:t>
        <w:br/>
        <w:t>1.2. Cztery wspólne bramki programu</w:t>
        <w:br/>
        <w:t>1.3. Hierarchia produktów</w:t>
        <w:br/>
      </w:r>
      <w:r>
        <w:br/>
      </w:r>
    </w:p>
    <w:p>
      <w:pPr>
        <w:pStyle w:val="ListBullet"/>
      </w:pPr>
      <w:r>
        <w:t>2. Pierwsze 100 dni</w:t>
      </w:r>
      <w:r>
        <w:br/>
        <w:t>Faza A: D0–D10 — uruchomienie</w:t>
        <w:br/>
        <w:t>Decyzje</w:t>
        <w:br/>
        <w:t>Produkty</w:t>
        <w:br/>
        <w:t>Warunek przejścia</w:t>
        <w:br/>
        <w:br/>
        <w:br/>
        <w:t>Faza B: D11–D30 — mandat, problemy i zakres audytu</w:t>
        <w:br/>
        <w:t>WP01: governance</w:t>
        <w:br/>
        <w:t>WP02: katalog problemów</w:t>
        <w:br/>
        <w:t>WP06/WP08/WP10: zakres baz</w:t>
        <w:br/>
        <w:t>Warunek przejścia</w:t>
        <w:br/>
        <w:br/>
        <w:br/>
        <w:t>Faza C: D31–D60 — baza i projekt pilotaży</w:t>
        <w:br/>
        <w:t>Audyt</w:t>
        <w:br/>
        <w:t>Projekt testów</w:t>
        <w:br/>
        <w:t>Bezpieczna przestrzeń danych</w:t>
        <w:br/>
        <w:t>Warunek przejścia</w:t>
        <w:br/>
        <w:br/>
        <w:br/>
        <w:t>Faza D: D61–D100 — pierwsze dowody i decyzja G1</w:t>
        <w:br/>
        <w:t>Działania</w:t>
        <w:br/>
        <w:t>Pakiet G1 dla Premiera/RM</w:t>
        <w:br/>
        <w:t>Definicja ukończenia 100 dni</w:t>
        <w:br/>
        <w:br/>
        <w:br/>
      </w:r>
      <w:r>
        <w:br/>
      </w:r>
    </w:p>
    <w:p>
      <w:pPr>
        <w:pStyle w:val="ListBullet"/>
      </w:pPr>
      <w:r>
        <w:t>3. Miesiące 4–6: dowód mechanizmu</w:t>
      </w:r>
      <w:r>
        <w:br/>
        <w:t>Cel</w:t>
        <w:br/>
        <w:t>Produkty</w:t>
        <w:br/>
        <w:t>Bramka G2</w:t>
        <w:br/>
      </w:r>
      <w:r>
        <w:br/>
      </w:r>
    </w:p>
    <w:p>
      <w:pPr>
        <w:pStyle w:val="ListBullet"/>
      </w:pPr>
      <w:r>
        <w:t>4. Miesiące 7–12: małe partie i decyzja skali</w:t>
      </w:r>
      <w:r>
        <w:br/>
        <w:t>4.1. Mała partia jako instrument uczenia</w:t>
        <w:br/>
        <w:t>4.2. Decyzja G3</w:t>
        <w:br/>
        <w:t>4.3. Produkty końca roku</w:t>
        <w:br/>
      </w:r>
      <w:r>
        <w:br/>
      </w:r>
    </w:p>
    <w:p>
      <w:pPr>
        <w:pStyle w:val="ListBullet"/>
      </w:pPr>
      <w:r>
        <w:t>5. Horyzont 2027–2030</w:t>
      </w:r>
      <w:r>
        <w:br/>
        <w:t>Cel</w:t>
        <w:br/>
        <w:t>Linie działania</w:t>
        <w:br/>
        <w:t>Decyzje końca 2030 r.</w:t>
        <w:br/>
      </w:r>
      <w:r>
        <w:br/>
      </w:r>
    </w:p>
    <w:p>
      <w:pPr>
        <w:pStyle w:val="ListBullet"/>
      </w:pPr>
      <w:r>
        <w:t>6. Horyzont 2031–2035</w:t>
      </w:r>
      <w:r>
        <w:br/>
        <w:t>Cel</w:t>
        <w:br/>
        <w:t>Priorytety</w:t>
        <w:br/>
        <w:t>Bramka 2035</w:t>
        <w:br/>
      </w:r>
      <w:r>
        <w:br/>
      </w:r>
    </w:p>
    <w:p>
      <w:pPr>
        <w:pStyle w:val="ListBullet"/>
      </w:pPr>
      <w:r>
        <w:t>7. Horyzont 2036–2040</w:t>
      </w:r>
    </w:p>
    <w:p>
      <w:pPr>
        <w:pStyle w:val="ListBullet"/>
      </w:pPr>
      <w:r>
        <w:t>8. RACI i odpowiedzialność</w:t>
      </w:r>
    </w:p>
    <w:p>
      <w:pPr>
        <w:pStyle w:val="ListBullet"/>
      </w:pPr>
      <w:r>
        <w:t>9. Rytm zarządczy</w:t>
      </w:r>
      <w:r>
        <w:br/>
        <w:t>Tygodniowo</w:t>
        <w:br/>
        <w:t>Miesięcznie</w:t>
        <w:br/>
        <w:t>Kwartalnie</w:t>
        <w:br/>
        <w:t>Rocznie</w:t>
        <w:br/>
      </w:r>
      <w:r>
        <w:br/>
      </w:r>
    </w:p>
    <w:p>
      <w:pPr>
        <w:pStyle w:val="ListBullet"/>
      </w:pPr>
      <w:r>
        <w:t>10. Dashboard i słownik KPI</w:t>
      </w:r>
      <w:r>
        <w:br/>
        <w:t>Reguły miernika</w:t>
        <w:br/>
        <w:t>Dashboard publiczny</w:t>
        <w:br/>
      </w:r>
      <w:r>
        <w:br/>
      </w:r>
    </w:p>
    <w:p>
      <w:pPr>
        <w:pStyle w:val="ListBullet"/>
      </w:pPr>
      <w:r>
        <w:t>11. Zarządzanie zależnościami</w:t>
      </w:r>
      <w:r>
        <w:br/>
        <w:t>Zależności krytyczne</w:t>
        <w:br/>
        <w:t>Reguła eskalacji</w:t>
        <w:br/>
      </w:r>
      <w:r>
        <w:br/>
      </w:r>
    </w:p>
    <w:p>
      <w:pPr>
        <w:pStyle w:val="ListBullet"/>
      </w:pPr>
      <w:r>
        <w:t>12. Rejestr ryzyk wykonawczych</w:t>
      </w:r>
    </w:p>
    <w:p>
      <w:pPr>
        <w:pStyle w:val="ListBullet"/>
      </w:pPr>
      <w:r>
        <w:t>13. Dane wymagane do zamrożenia harmonogramu i budżetu</w:t>
      </w:r>
      <w:r>
        <w:br/>
        <w:t>Jawne lub możliwe do publikacji w agregacie</w:t>
        <w:br/>
        <w:t>Do obiegu autoryzowanego</w:t>
        <w:br/>
      </w:r>
      <w:r>
        <w:br/>
      </w:r>
    </w:p>
    <w:p>
      <w:pPr>
        <w:pStyle w:val="ListBullet"/>
      </w:pPr>
      <w:r>
        <w:t>14. Definicja ukończenia v0.1 i przejścia do wykonania</w:t>
      </w:r>
    </w:p>
    <w:p>
      <w:pPr>
        <w:pStyle w:val="ListBullet"/>
      </w:pPr>
      <w:r>
        <w:t>15. Kandydackie następne kroki po ewentualnym przyjęciu planu</w:t>
      </w:r>
    </w:p>
    <w:p>
      <w:pPr>
        <w:pStyle w:val="ListBullet"/>
      </w:pPr>
      <w:r>
        <w:t>Dalsze pytania</w:t>
      </w:r>
    </w:p>
    <w:p>
      <w:pPr>
        <w:pStyle w:val="ListBullet"/>
      </w:pPr>
      <w:r>
        <w:t>Zastrzeżenia i założenia</w:t>
      </w:r>
    </w:p>
    <w:p>
      <w:pPr>
        <w:pStyle w:val="ListBullet"/>
      </w:pPr>
      <w:r>
        <w:t>Rezultat</w:t>
      </w:r>
    </w:p>
    <w:p>
      <w:pPr>
        <w:pStyle w:val="ListBullet"/>
      </w:pPr>
      <w:r>
        <w:t>Pięć zasad wykonania</w:t>
      </w:r>
    </w:p>
    <w:p>
      <w:pPr>
        <w:pStyle w:val="ListBullet"/>
      </w:pPr>
      <w:r>
        <w:t>Cztery kandydaty decyzji w pierwszych 30 dniach</w:t>
      </w:r>
    </w:p>
    <w:p>
      <w:pPr>
        <w:pStyle w:val="ListBullet"/>
      </w:pPr>
      <w:r>
        <w:t>Co ma istnieć po 12 miesiącach</w:t>
      </w:r>
    </w:p>
    <w:p>
      <w:pPr>
        <w:pStyle w:val="ListBullet"/>
      </w:pPr>
      <w:r>
        <w:t>1.1. Pakiety robocze</w:t>
      </w:r>
    </w:p>
    <w:p>
      <w:pPr>
        <w:pStyle w:val="ListBullet"/>
      </w:pPr>
      <w:r>
        <w:t>1.2. Cztery wspólne bramki programu</w:t>
      </w:r>
    </w:p>
    <w:p>
      <w:pPr>
        <w:pStyle w:val="ListBullet"/>
      </w:pPr>
      <w:r>
        <w:t>1.3. Hierarchia produktów</w:t>
      </w:r>
    </w:p>
    <w:p>
      <w:pPr>
        <w:pStyle w:val="ListBullet"/>
      </w:pPr>
      <w:r>
        <w:t>Faza A: D0–D10 — uruchomienie</w:t>
      </w:r>
      <w:r>
        <w:br/>
        <w:t>Decyzje</w:t>
        <w:br/>
        <w:t>Produkty</w:t>
        <w:br/>
        <w:t>Warunek przejścia</w:t>
        <w:br/>
      </w:r>
      <w:r>
        <w:br/>
      </w:r>
    </w:p>
    <w:p>
      <w:pPr>
        <w:pStyle w:val="ListBullet"/>
      </w:pPr>
      <w:r>
        <w:t>Faza B: D11–D30 — mandat, problemy i zakres audytu</w:t>
      </w:r>
      <w:r>
        <w:br/>
        <w:t>WP01: governance</w:t>
        <w:br/>
        <w:t>WP02: katalog problemów</w:t>
        <w:br/>
        <w:t>WP06/WP08/WP10: zakres baz</w:t>
        <w:br/>
        <w:t>Warunek przejścia</w:t>
        <w:br/>
      </w:r>
      <w:r>
        <w:br/>
      </w:r>
    </w:p>
    <w:p>
      <w:pPr>
        <w:pStyle w:val="ListBullet"/>
      </w:pPr>
      <w:r>
        <w:t>Faza C: D31–D60 — baza i projekt pilotaży</w:t>
      </w:r>
      <w:r>
        <w:br/>
        <w:t>Audyt</w:t>
        <w:br/>
        <w:t>Projekt testów</w:t>
        <w:br/>
        <w:t>Bezpieczna przestrzeń danych</w:t>
        <w:br/>
        <w:t>Warunek przejścia</w:t>
        <w:br/>
      </w:r>
      <w:r>
        <w:br/>
      </w:r>
    </w:p>
    <w:p>
      <w:pPr>
        <w:pStyle w:val="ListBullet"/>
      </w:pPr>
      <w:r>
        <w:t>Faza D: D61–D100 — pierwsze dowody i decyzja G1</w:t>
      </w:r>
      <w:r>
        <w:br/>
        <w:t>Działania</w:t>
        <w:br/>
        <w:t>Pakiet G1 dla Premiera/RM</w:t>
        <w:br/>
        <w:t>Definicja ukończenia 100 dni</w:t>
        <w:br/>
      </w:r>
      <w:r>
        <w:br/>
      </w:r>
    </w:p>
    <w:p>
      <w:pPr>
        <w:pStyle w:val="ListBullet"/>
      </w:pPr>
      <w:r>
        <w:t>Decyzje</w:t>
      </w:r>
    </w:p>
    <w:p>
      <w:pPr>
        <w:pStyle w:val="ListBullet"/>
      </w:pPr>
      <w:r>
        <w:t>Produkty</w:t>
      </w:r>
    </w:p>
    <w:p>
      <w:pPr>
        <w:pStyle w:val="ListBullet"/>
      </w:pPr>
      <w:r>
        <w:t>Warunek przejścia</w:t>
      </w:r>
    </w:p>
    <w:p>
      <w:pPr>
        <w:pStyle w:val="ListBullet"/>
      </w:pPr>
      <w:r>
        <w:t>WP01: governance</w:t>
      </w:r>
    </w:p>
    <w:p>
      <w:pPr>
        <w:pStyle w:val="ListBullet"/>
      </w:pPr>
      <w:r>
        <w:t>WP02: katalog problemów</w:t>
      </w:r>
    </w:p>
    <w:p>
      <w:pPr>
        <w:pStyle w:val="ListBullet"/>
      </w:pPr>
      <w:r>
        <w:t>WP06/WP08/WP10: zakres baz</w:t>
      </w:r>
    </w:p>
    <w:p>
      <w:pPr>
        <w:pStyle w:val="ListBullet"/>
      </w:pPr>
      <w:r>
        <w:t>Warunek przejścia</w:t>
      </w:r>
    </w:p>
    <w:p>
      <w:pPr>
        <w:pStyle w:val="ListBullet"/>
      </w:pPr>
      <w:r>
        <w:t>Audyt</w:t>
      </w:r>
    </w:p>
    <w:p>
      <w:pPr>
        <w:pStyle w:val="ListBullet"/>
      </w:pPr>
      <w:r>
        <w:t>Projekt testów</w:t>
      </w:r>
    </w:p>
    <w:p>
      <w:pPr>
        <w:pStyle w:val="ListBullet"/>
      </w:pPr>
      <w:r>
        <w:t>Bezpieczna przestrzeń danych</w:t>
      </w:r>
    </w:p>
    <w:p>
      <w:pPr>
        <w:pStyle w:val="ListBullet"/>
      </w:pPr>
      <w:r>
        <w:t>Warunek przejścia</w:t>
      </w:r>
    </w:p>
    <w:p>
      <w:pPr>
        <w:pStyle w:val="ListBullet"/>
      </w:pPr>
      <w:r>
        <w:t>Działania</w:t>
      </w:r>
    </w:p>
    <w:p>
      <w:pPr>
        <w:pStyle w:val="ListBullet"/>
      </w:pPr>
      <w:r>
        <w:t>Pakiet G1 dla Premiera/RM</w:t>
      </w:r>
    </w:p>
    <w:p>
      <w:pPr>
        <w:pStyle w:val="ListBullet"/>
      </w:pPr>
      <w:r>
        <w:t>Definicja ukończenia 100 dni</w:t>
      </w:r>
    </w:p>
    <w:p>
      <w:pPr>
        <w:pStyle w:val="ListBullet"/>
      </w:pPr>
      <w:r>
        <w:t>Cel</w:t>
      </w:r>
    </w:p>
    <w:p>
      <w:pPr>
        <w:pStyle w:val="ListBullet"/>
      </w:pPr>
      <w:r>
        <w:t>Produkty</w:t>
      </w:r>
    </w:p>
    <w:p>
      <w:pPr>
        <w:pStyle w:val="ListBullet"/>
      </w:pPr>
      <w:r>
        <w:t>Bramka G2</w:t>
      </w:r>
    </w:p>
    <w:p>
      <w:pPr>
        <w:pStyle w:val="ListBullet"/>
      </w:pPr>
      <w:r>
        <w:t>4.1. Mała partia jako instrument uczenia</w:t>
      </w:r>
    </w:p>
    <w:p>
      <w:pPr>
        <w:pStyle w:val="ListBullet"/>
      </w:pPr>
      <w:r>
        <w:t>4.2. Decyzja G3</w:t>
      </w:r>
    </w:p>
    <w:p>
      <w:pPr>
        <w:pStyle w:val="ListBullet"/>
      </w:pPr>
      <w:r>
        <w:t>4.3. Produkty końca roku</w:t>
      </w:r>
    </w:p>
    <w:p>
      <w:pPr>
        <w:pStyle w:val="ListBullet"/>
      </w:pPr>
      <w:r>
        <w:t>Cel</w:t>
      </w:r>
    </w:p>
    <w:p>
      <w:pPr>
        <w:pStyle w:val="ListBullet"/>
      </w:pPr>
      <w:r>
        <w:t>Linie działania</w:t>
      </w:r>
    </w:p>
    <w:p>
      <w:pPr>
        <w:pStyle w:val="ListBullet"/>
      </w:pPr>
      <w:r>
        <w:t>Decyzje końca 2030 r.</w:t>
      </w:r>
    </w:p>
    <w:p>
      <w:pPr>
        <w:pStyle w:val="ListBullet"/>
      </w:pPr>
      <w:r>
        <w:t>Cel</w:t>
      </w:r>
    </w:p>
    <w:p>
      <w:pPr>
        <w:pStyle w:val="ListBullet"/>
      </w:pPr>
      <w:r>
        <w:t>Priorytety</w:t>
      </w:r>
    </w:p>
    <w:p>
      <w:pPr>
        <w:pStyle w:val="ListBullet"/>
      </w:pPr>
      <w:r>
        <w:t>Bramka 2035</w:t>
      </w:r>
    </w:p>
    <w:p>
      <w:pPr>
        <w:pStyle w:val="ListBullet"/>
      </w:pPr>
      <w:r>
        <w:t>Tygodniowo</w:t>
      </w:r>
    </w:p>
    <w:p>
      <w:pPr>
        <w:pStyle w:val="ListBullet"/>
      </w:pPr>
      <w:r>
        <w:t>Miesięcznie</w:t>
      </w:r>
    </w:p>
    <w:p>
      <w:pPr>
        <w:pStyle w:val="ListBullet"/>
      </w:pPr>
      <w:r>
        <w:t>Kwartalnie</w:t>
      </w:r>
    </w:p>
    <w:p>
      <w:pPr>
        <w:pStyle w:val="ListBullet"/>
      </w:pPr>
      <w:r>
        <w:t>Rocznie</w:t>
      </w:r>
    </w:p>
    <w:p>
      <w:pPr>
        <w:pStyle w:val="ListBullet"/>
      </w:pPr>
      <w:r>
        <w:t>Reguły miernika</w:t>
      </w:r>
    </w:p>
    <w:p>
      <w:pPr>
        <w:pStyle w:val="ListBullet"/>
      </w:pPr>
      <w:r>
        <w:t>Dashboard publiczny</w:t>
      </w:r>
    </w:p>
    <w:p>
      <w:pPr>
        <w:pStyle w:val="ListBullet"/>
      </w:pPr>
      <w:r>
        <w:t>Zależności krytyczne</w:t>
      </w:r>
    </w:p>
    <w:p>
      <w:pPr>
        <w:pStyle w:val="ListBullet"/>
      </w:pPr>
      <w:r>
        <w:t>Reguła eskalacji</w:t>
      </w:r>
    </w:p>
    <w:p>
      <w:pPr>
        <w:pStyle w:val="ListBullet"/>
      </w:pPr>
      <w:r>
        <w:t>Jawne lub możliwe do publikacji w agregacie</w:t>
      </w:r>
    </w:p>
    <w:p>
      <w:pPr>
        <w:pStyle w:val="ListBullet"/>
      </w:pPr>
      <w:r>
        <w:t>Do obiegu autoryzowanego</w:t>
      </w:r>
    </w:p>
    <w:p>
      <w:pPr>
        <w:pStyle w:val="Heading2"/>
      </w:pPr>
      <w:r>
        <w:t>1. Architektura portfela</w:t>
      </w:r>
    </w:p>
    <w:p>
      <w:pPr>
        <w:pStyle w:val="Heading3"/>
      </w:pPr>
      <w:r>
        <w:t>1.1. Pakiety robocze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0"/>
        <w:gridCol w:w="1920"/>
        <w:gridCol w:w="1920"/>
        <w:gridCol w:w="1920"/>
        <w:gridCol w:w="1920"/>
      </w:tblGrid>
      <w:tr>
        <w:tc>
          <w:tcPr>
            <w:tcW w:type="dxa" w:w="1920"/>
          </w:tcPr>
          <w:p>
            <w:r>
              <w:t>ID</w:t>
            </w:r>
          </w:p>
        </w:tc>
        <w:tc>
          <w:tcPr>
            <w:tcW w:type="dxa" w:w="1920"/>
          </w:tcPr>
          <w:p>
            <w:r>
              <w:t>Pakiet</w:t>
            </w:r>
          </w:p>
        </w:tc>
        <w:tc>
          <w:tcPr>
            <w:tcW w:type="dxa" w:w="1920"/>
          </w:tcPr>
          <w:p>
            <w:r>
              <w:t>Produkt pierwszego roku</w:t>
            </w:r>
          </w:p>
        </w:tc>
        <w:tc>
          <w:tcPr>
            <w:tcW w:type="dxa" w:w="1920"/>
          </w:tcPr>
          <w:p>
            <w:r>
              <w:t>Właściciel funkcjonalny</w:t>
            </w:r>
          </w:p>
        </w:tc>
        <w:tc>
          <w:tcPr>
            <w:tcW w:type="dxa" w:w="1920"/>
          </w:tcPr>
          <w:p>
            <w:r>
              <w:t>Główna decyzja</w:t>
            </w:r>
          </w:p>
        </w:tc>
      </w:tr>
      <w:tr>
        <w:tc>
          <w:tcPr>
            <w:tcW w:type="dxa" w:w="1920"/>
          </w:tcPr>
          <w:p>
            <w:r>
              <w:t>WP01</w:t>
            </w:r>
          </w:p>
        </w:tc>
        <w:tc>
          <w:tcPr>
            <w:tcW w:type="dxa" w:w="1920"/>
          </w:tcPr>
          <w:p>
            <w:r>
              <w:t>Mandat i Biuro Realizacji</w:t>
            </w:r>
          </w:p>
        </w:tc>
        <w:tc>
          <w:tcPr>
            <w:tcW w:type="dxa" w:w="1920"/>
          </w:tcPr>
          <w:p>
            <w:r>
              <w:t>karta programu, RACI, rejestr portfela</w:t>
            </w:r>
          </w:p>
        </w:tc>
        <w:tc>
          <w:tcPr>
            <w:tcW w:type="dxa" w:w="1920"/>
          </w:tcPr>
          <w:p>
            <w:r>
              <w:t>KPRM</w:t>
            </w:r>
          </w:p>
        </w:tc>
        <w:tc>
          <w:tcPr>
            <w:tcW w:type="dxa" w:w="1920"/>
          </w:tcPr>
          <w:p>
            <w:r>
              <w:t>czy program ma mandat i zdolność eskalacji?</w:t>
            </w:r>
          </w:p>
        </w:tc>
      </w:tr>
      <w:tr>
        <w:tc>
          <w:tcPr>
            <w:tcW w:type="dxa" w:w="1920"/>
          </w:tcPr>
          <w:p>
            <w:r>
              <w:t>WP02</w:t>
            </w:r>
          </w:p>
        </w:tc>
        <w:tc>
          <w:tcPr>
            <w:tcW w:type="dxa" w:w="1920"/>
          </w:tcPr>
          <w:p>
            <w:r>
              <w:t>Problemy i użytkownicy</w:t>
            </w:r>
          </w:p>
        </w:tc>
        <w:tc>
          <w:tcPr>
            <w:tcW w:type="dxa" w:w="1920"/>
          </w:tcPr>
          <w:p>
            <w:r>
              <w:t>katalog problemów i protokoły B0</w:t>
            </w:r>
          </w:p>
        </w:tc>
        <w:tc>
          <w:tcPr>
            <w:tcW w:type="dxa" w:w="1920"/>
          </w:tcPr>
          <w:p>
            <w:r>
              <w:t>właściwi użytkownicy publiczni</w:t>
            </w:r>
          </w:p>
        </w:tc>
        <w:tc>
          <w:tcPr>
            <w:tcW w:type="dxa" w:w="1920"/>
          </w:tcPr>
          <w:p>
            <w:r>
              <w:t>które problemy wchodzą do pilotażu?</w:t>
            </w:r>
          </w:p>
        </w:tc>
      </w:tr>
      <w:tr>
        <w:tc>
          <w:tcPr>
            <w:tcW w:type="dxa" w:w="1920"/>
          </w:tcPr>
          <w:p>
            <w:r>
              <w:t>WP03</w:t>
            </w:r>
          </w:p>
        </w:tc>
        <w:tc>
          <w:tcPr>
            <w:tcW w:type="dxa" w:w="1920"/>
          </w:tcPr>
          <w:p>
            <w:r>
              <w:t>Testy i małe zamówienia</w:t>
            </w:r>
          </w:p>
        </w:tc>
        <w:tc>
          <w:tcPr>
            <w:tcW w:type="dxa" w:w="1920"/>
          </w:tcPr>
          <w:p>
            <w:r>
              <w:t>standard bramek B1–B4 i pierwsze kontrakty</w:t>
            </w:r>
          </w:p>
        </w:tc>
        <w:tc>
          <w:tcPr>
            <w:tcW w:type="dxa" w:w="1920"/>
          </w:tcPr>
          <w:p>
            <w:r>
              <w:t>nabywcy i jednostki testowe</w:t>
            </w:r>
          </w:p>
        </w:tc>
        <w:tc>
          <w:tcPr>
            <w:tcW w:type="dxa" w:w="1920"/>
          </w:tcPr>
          <w:p>
            <w:r>
              <w:t>co skaluje się, poprawia lub zamyka?</w:t>
            </w:r>
          </w:p>
        </w:tc>
      </w:tr>
      <w:tr>
        <w:tc>
          <w:tcPr>
            <w:tcW w:type="dxa" w:w="1920"/>
          </w:tcPr>
          <w:p>
            <w:r>
              <w:t>WP04</w:t>
            </w:r>
          </w:p>
        </w:tc>
        <w:tc>
          <w:tcPr>
            <w:tcW w:type="dxa" w:w="1920"/>
          </w:tcPr>
          <w:p>
            <w:r>
              <w:t>Dane, AI i obliczenia</w:t>
            </w:r>
          </w:p>
        </w:tc>
        <w:tc>
          <w:tcPr>
            <w:tcW w:type="dxa" w:w="1920"/>
          </w:tcPr>
          <w:p>
            <w:r>
              <w:t>pilotaż bezpiecznej przestrzeni danych</w:t>
            </w:r>
          </w:p>
        </w:tc>
        <w:tc>
          <w:tcPr>
            <w:tcW w:type="dxa" w:w="1920"/>
          </w:tcPr>
          <w:p>
            <w:r>
              <w:t>właściciele danych i cyfryzacja/obrona</w:t>
            </w:r>
          </w:p>
        </w:tc>
        <w:tc>
          <w:tcPr>
            <w:tcW w:type="dxa" w:w="1920"/>
          </w:tcPr>
          <w:p>
            <w:r>
              <w:t>jakie dane/model można dopuścić?</w:t>
            </w:r>
          </w:p>
        </w:tc>
      </w:tr>
      <w:tr>
        <w:tc>
          <w:tcPr>
            <w:tcW w:type="dxa" w:w="1920"/>
          </w:tcPr>
          <w:p>
            <w:r>
              <w:t>WP05</w:t>
            </w:r>
          </w:p>
        </w:tc>
        <w:tc>
          <w:tcPr>
            <w:tcW w:type="dxa" w:w="1920"/>
          </w:tcPr>
          <w:p>
            <w:r>
              <w:t>Cyber i software</w:t>
            </w:r>
          </w:p>
        </w:tc>
        <w:tc>
          <w:tcPr>
            <w:tcW w:type="dxa" w:w="1920"/>
          </w:tcPr>
          <w:p>
            <w:r>
              <w:t>minimalny standard cyklu życia</w:t>
            </w:r>
          </w:p>
        </w:tc>
        <w:tc>
          <w:tcPr>
            <w:tcW w:type="dxa" w:w="1920"/>
          </w:tcPr>
          <w:p>
            <w:r>
              <w:t>właściciel systemu i cyber</w:t>
            </w:r>
          </w:p>
        </w:tc>
        <w:tc>
          <w:tcPr>
            <w:tcW w:type="dxa" w:w="1920"/>
          </w:tcPr>
          <w:p>
            <w:r>
              <w:t>czy ryzyko jest akceptowalne?</w:t>
            </w:r>
          </w:p>
        </w:tc>
      </w:tr>
      <w:tr>
        <w:tc>
          <w:tcPr>
            <w:tcW w:type="dxa" w:w="1920"/>
          </w:tcPr>
          <w:p>
            <w:r>
              <w:t>WP06</w:t>
            </w:r>
          </w:p>
        </w:tc>
        <w:tc>
          <w:tcPr>
            <w:tcW w:type="dxa" w:w="1920"/>
          </w:tcPr>
          <w:p>
            <w:r>
              <w:t>Przemysł i komponenty</w:t>
            </w:r>
          </w:p>
        </w:tc>
        <w:tc>
          <w:tcPr>
            <w:tcW w:type="dxa" w:w="1920"/>
          </w:tcPr>
          <w:p>
            <w:r>
              <w:t>audyt zależności i plan 30/90/180 dni</w:t>
            </w:r>
          </w:p>
        </w:tc>
        <w:tc>
          <w:tcPr>
            <w:tcW w:type="dxa" w:w="1920"/>
          </w:tcPr>
          <w:p>
            <w:r>
              <w:t>gospodarka/obrona</w:t>
            </w:r>
          </w:p>
        </w:tc>
        <w:tc>
          <w:tcPr>
            <w:tcW w:type="dxa" w:w="1920"/>
          </w:tcPr>
          <w:p>
            <w:r>
              <w:t>które warstwy kontrolować, dywersyfikować lub zaakceptować?</w:t>
            </w:r>
          </w:p>
        </w:tc>
      </w:tr>
      <w:tr>
        <w:tc>
          <w:tcPr>
            <w:tcW w:type="dxa" w:w="1920"/>
          </w:tcPr>
          <w:p>
            <w:r>
              <w:t>WP07</w:t>
            </w:r>
          </w:p>
        </w:tc>
        <w:tc>
          <w:tcPr>
            <w:tcW w:type="dxa" w:w="1920"/>
          </w:tcPr>
          <w:p>
            <w:r>
              <w:t>Serwis i logistyka</w:t>
            </w:r>
          </w:p>
        </w:tc>
        <w:tc>
          <w:tcPr>
            <w:tcW w:type="dxa" w:w="1920"/>
          </w:tcPr>
          <w:p>
            <w:r>
              <w:t>model naprawy, aktualizacji i zapasów</w:t>
            </w:r>
          </w:p>
        </w:tc>
        <w:tc>
          <w:tcPr>
            <w:tcW w:type="dxa" w:w="1920"/>
          </w:tcPr>
          <w:p>
            <w:r>
              <w:t>właściciele systemów</w:t>
            </w:r>
          </w:p>
        </w:tc>
        <w:tc>
          <w:tcPr>
            <w:tcW w:type="dxa" w:w="1920"/>
          </w:tcPr>
          <w:p>
            <w:r>
              <w:t>czy cykl życia jest utrzymywalny?</w:t>
            </w:r>
          </w:p>
        </w:tc>
      </w:tr>
      <w:tr>
        <w:tc>
          <w:tcPr>
            <w:tcW w:type="dxa" w:w="1920"/>
          </w:tcPr>
          <w:p>
            <w:r>
              <w:t>WP08</w:t>
            </w:r>
          </w:p>
        </w:tc>
        <w:tc>
          <w:tcPr>
            <w:tcW w:type="dxa" w:w="1920"/>
          </w:tcPr>
          <w:p>
            <w:r>
              <w:t>Kadry i edukacja</w:t>
            </w:r>
          </w:p>
        </w:tc>
        <w:tc>
          <w:tcPr>
            <w:tcW w:type="dxa" w:w="1920"/>
          </w:tcPr>
          <w:p>
            <w:r>
              <w:t>mapa popytu i pilotaże kompetencji</w:t>
            </w:r>
          </w:p>
        </w:tc>
        <w:tc>
          <w:tcPr>
            <w:tcW w:type="dxa" w:w="1920"/>
          </w:tcPr>
          <w:p>
            <w:r>
              <w:t>edukacja/nauka/przemysł</w:t>
            </w:r>
          </w:p>
        </w:tc>
        <w:tc>
          <w:tcPr>
            <w:tcW w:type="dxa" w:w="1920"/>
          </w:tcPr>
          <w:p>
            <w:r>
              <w:t>które programy skalować po wyniku?</w:t>
            </w:r>
          </w:p>
        </w:tc>
      </w:tr>
      <w:tr>
        <w:tc>
          <w:tcPr>
            <w:tcW w:type="dxa" w:w="1920"/>
          </w:tcPr>
          <w:p>
            <w:r>
              <w:t>WP09</w:t>
            </w:r>
          </w:p>
        </w:tc>
        <w:tc>
          <w:tcPr>
            <w:tcW w:type="dxa" w:w="1920"/>
          </w:tcPr>
          <w:p>
            <w:r>
              <w:t>Ukraina, UE i NATO</w:t>
            </w:r>
          </w:p>
        </w:tc>
        <w:tc>
          <w:tcPr>
            <w:tcW w:type="dxa" w:w="1920"/>
          </w:tcPr>
          <w:p>
            <w:r>
              <w:t>mapa instrumentów i portfel partnerstw</w:t>
            </w:r>
          </w:p>
        </w:tc>
        <w:tc>
          <w:tcPr>
            <w:tcW w:type="dxa" w:w="1920"/>
          </w:tcPr>
          <w:p>
            <w:r>
              <w:t>sprawy zagraniczne/obrona/gospodarka</w:t>
            </w:r>
          </w:p>
        </w:tc>
        <w:tc>
          <w:tcPr>
            <w:tcW w:type="dxa" w:w="1920"/>
          </w:tcPr>
          <w:p>
            <w:r>
              <w:t>które współprace przechodzą due diligence?</w:t>
            </w:r>
          </w:p>
        </w:tc>
      </w:tr>
      <w:tr>
        <w:tc>
          <w:tcPr>
            <w:tcW w:type="dxa" w:w="1920"/>
          </w:tcPr>
          <w:p>
            <w:r>
              <w:t>WP10</w:t>
            </w:r>
          </w:p>
        </w:tc>
        <w:tc>
          <w:tcPr>
            <w:tcW w:type="dxa" w:w="1920"/>
          </w:tcPr>
          <w:p>
            <w:r>
              <w:t>Finanse i wpływ</w:t>
            </w:r>
          </w:p>
        </w:tc>
        <w:tc>
          <w:tcPr>
            <w:tcW w:type="dxa" w:w="1920"/>
          </w:tcPr>
          <w:p>
            <w:r>
              <w:t>model niski/bazowy/wysoki</w:t>
            </w:r>
          </w:p>
        </w:tc>
        <w:tc>
          <w:tcPr>
            <w:tcW w:type="dxa" w:w="1920"/>
          </w:tcPr>
          <w:p>
            <w:r>
              <w:t>finanse i instytucje rozwoju</w:t>
            </w:r>
          </w:p>
        </w:tc>
        <w:tc>
          <w:tcPr>
            <w:tcW w:type="dxa" w:w="1920"/>
          </w:tcPr>
          <w:p>
            <w:r>
              <w:t>jaki portfel daje wartość dodatkową?</w:t>
            </w:r>
          </w:p>
        </w:tc>
      </w:tr>
      <w:tr>
        <w:tc>
          <w:tcPr>
            <w:tcW w:type="dxa" w:w="1920"/>
          </w:tcPr>
          <w:p>
            <w:r>
              <w:t>WP11</w:t>
            </w:r>
          </w:p>
        </w:tc>
        <w:tc>
          <w:tcPr>
            <w:tcW w:type="dxa" w:w="1920"/>
          </w:tcPr>
          <w:p>
            <w:r>
              <w:t>Prawo, etyka i informacja</w:t>
            </w:r>
          </w:p>
        </w:tc>
        <w:tc>
          <w:tcPr>
            <w:tcW w:type="dxa" w:w="1920"/>
          </w:tcPr>
          <w:p>
            <w:r>
              <w:t>mapa instrumentów i pakiet zmian</w:t>
            </w:r>
          </w:p>
        </w:tc>
        <w:tc>
          <w:tcPr>
            <w:tcW w:type="dxa" w:w="1920"/>
          </w:tcPr>
          <w:p>
            <w:r>
              <w:t>właściwe resorty i organy prawne</w:t>
            </w:r>
          </w:p>
        </w:tc>
        <w:tc>
          <w:tcPr>
            <w:tcW w:type="dxa" w:w="1920"/>
          </w:tcPr>
          <w:p>
            <w:r>
              <w:t>co można zrobić procesem, a co wymaga regulacji?</w:t>
            </w:r>
          </w:p>
        </w:tc>
      </w:tr>
      <w:tr>
        <w:tc>
          <w:tcPr>
            <w:tcW w:type="dxa" w:w="1920"/>
          </w:tcPr>
          <w:p>
            <w:r>
              <w:t>WP12</w:t>
            </w:r>
          </w:p>
        </w:tc>
        <w:tc>
          <w:tcPr>
            <w:tcW w:type="dxa" w:w="1920"/>
          </w:tcPr>
          <w:p>
            <w:r>
              <w:t>Regiony, cywil i eksport</w:t>
            </w:r>
          </w:p>
        </w:tc>
        <w:tc>
          <w:tcPr>
            <w:tcW w:type="dxa" w:w="1920"/>
          </w:tcPr>
          <w:p>
            <w:r>
              <w:t>pilotaże popytu i ścieżka replikacji</w:t>
            </w:r>
          </w:p>
        </w:tc>
        <w:tc>
          <w:tcPr>
            <w:tcW w:type="dxa" w:w="1920"/>
          </w:tcPr>
          <w:p>
            <w:r>
              <w:t>gospodarka/samorządy/eksport</w:t>
            </w:r>
          </w:p>
        </w:tc>
        <w:tc>
          <w:tcPr>
            <w:tcW w:type="dxa" w:w="1920"/>
          </w:tcPr>
          <w:p>
            <w:r>
              <w:t>gdzie istnieje popyt po pilotażu?</w:t>
            </w:r>
          </w:p>
        </w:tc>
      </w:tr>
    </w:tbl>
    <w:p>
      <w:r>
        <w:t xml:space="preserve">Kolumna „właściciel funkcjonalny” wskazuje domenę odpowiedzialności, nie gotowe przypisanie </w:t>
      </w:r>
      <w:r>
        <w:t>A</w:t>
      </w:r>
      <w:r>
        <w:t xml:space="preserve">. Przed D0 każdy pakiet musi otrzymać dokładnie jeden organ </w:t>
      </w:r>
      <w:r>
        <w:t>A</w:t>
      </w:r>
      <w:r>
        <w:t>, jednego imiennego właściciela służbowego i potwierdzoną podstawę działania; brak któregokolwiek z tych elementów wyłącza pakiet z uruchomienia.</w:t>
      </w:r>
    </w:p>
    <w:p>
      <w:pPr>
        <w:pStyle w:val="Heading3"/>
      </w:pPr>
      <w:r>
        <w:t>1.2. Cztery wspólne bramki programu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0"/>
        <w:gridCol w:w="1920"/>
        <w:gridCol w:w="1920"/>
        <w:gridCol w:w="1920"/>
        <w:gridCol w:w="1920"/>
      </w:tblGrid>
      <w:tr>
        <w:tc>
          <w:tcPr>
            <w:tcW w:type="dxa" w:w="1920"/>
          </w:tcPr>
          <w:p>
            <w:r>
              <w:t>Bramka</w:t>
            </w:r>
          </w:p>
        </w:tc>
        <w:tc>
          <w:tcPr>
            <w:tcW w:type="dxa" w:w="1920"/>
          </w:tcPr>
          <w:p>
            <w:r>
              <w:t>Kiedy</w:t>
            </w:r>
          </w:p>
        </w:tc>
        <w:tc>
          <w:tcPr>
            <w:tcW w:type="dxa" w:w="1920"/>
          </w:tcPr>
          <w:p>
            <w:r>
              <w:t>Pytanie</w:t>
            </w:r>
          </w:p>
        </w:tc>
        <w:tc>
          <w:tcPr>
            <w:tcW w:type="dxa" w:w="1920"/>
          </w:tcPr>
          <w:p>
            <w:r>
              <w:t>Minimalny dowód</w:t>
            </w:r>
          </w:p>
        </w:tc>
        <w:tc>
          <w:tcPr>
            <w:tcW w:type="dxa" w:w="1920"/>
          </w:tcPr>
          <w:p>
            <w:r>
              <w:t>Możliwe decyzje</w:t>
            </w:r>
          </w:p>
        </w:tc>
      </w:tr>
      <w:tr>
        <w:tc>
          <w:tcPr>
            <w:tcW w:type="dxa" w:w="1920"/>
          </w:tcPr>
          <w:p>
            <w:r>
              <w:t>G0 — mandat</w:t>
            </w:r>
          </w:p>
        </w:tc>
        <w:tc>
          <w:tcPr>
            <w:tcW w:type="dxa" w:w="1920"/>
          </w:tcPr>
          <w:p>
            <w:r>
              <w:t>D0–D30</w:t>
            </w:r>
          </w:p>
        </w:tc>
        <w:tc>
          <w:tcPr>
            <w:tcW w:type="dxa" w:w="1920"/>
          </w:tcPr>
          <w:p>
            <w:r>
              <w:t>czy właściciele i zakres są prawidłowe?</w:t>
            </w:r>
          </w:p>
        </w:tc>
        <w:tc>
          <w:tcPr>
            <w:tcW w:type="dxa" w:w="1920"/>
          </w:tcPr>
          <w:p>
            <w:r>
              <w:t>karta programu, RACI, ryzyka prawne</w:t>
            </w:r>
          </w:p>
        </w:tc>
        <w:tc>
          <w:tcPr>
            <w:tcW w:type="dxa" w:w="1920"/>
          </w:tcPr>
          <w:p>
            <w:r>
              <w:t>uruchom, ogranicz, przeprojektuj</w:t>
            </w:r>
          </w:p>
        </w:tc>
      </w:tr>
      <w:tr>
        <w:tc>
          <w:tcPr>
            <w:tcW w:type="dxa" w:w="1920"/>
          </w:tcPr>
          <w:p>
            <w:r>
              <w:t>G1 — baza</w:t>
            </w:r>
          </w:p>
        </w:tc>
        <w:tc>
          <w:tcPr>
            <w:tcW w:type="dxa" w:w="1920"/>
          </w:tcPr>
          <w:p>
            <w:r>
              <w:t>do D100</w:t>
            </w:r>
          </w:p>
        </w:tc>
        <w:tc>
          <w:tcPr>
            <w:tcW w:type="dxa" w:w="1920"/>
          </w:tcPr>
          <w:p>
            <w:r>
              <w:t>czy znamy stan wystarczająco, by wybrać pilotaże?</w:t>
            </w:r>
          </w:p>
        </w:tc>
        <w:tc>
          <w:tcPr>
            <w:tcW w:type="dxa" w:w="1920"/>
          </w:tcPr>
          <w:p>
            <w:r>
              <w:t>audyt, źródła, luki, koszt dowodu</w:t>
            </w:r>
          </w:p>
        </w:tc>
        <w:tc>
          <w:tcPr>
            <w:tcW w:type="dxa" w:w="1920"/>
          </w:tcPr>
          <w:p>
            <w:r>
              <w:t>uruchom pilotaże, pozyskaj dane, zamknij hipotezę</w:t>
            </w:r>
          </w:p>
        </w:tc>
      </w:tr>
      <w:tr>
        <w:tc>
          <w:tcPr>
            <w:tcW w:type="dxa" w:w="1920"/>
          </w:tcPr>
          <w:p>
            <w:r>
              <w:t>G2 — dowód</w:t>
            </w:r>
          </w:p>
        </w:tc>
        <w:tc>
          <w:tcPr>
            <w:tcW w:type="dxa" w:w="1920"/>
          </w:tcPr>
          <w:p>
            <w:r>
              <w:t>do 6 miesięcy</w:t>
            </w:r>
          </w:p>
        </w:tc>
        <w:tc>
          <w:tcPr>
            <w:tcW w:type="dxa" w:w="1920"/>
          </w:tcPr>
          <w:p>
            <w:r>
              <w:t>czy mechanizm i projekt działają w małej skali?</w:t>
            </w:r>
          </w:p>
        </w:tc>
        <w:tc>
          <w:tcPr>
            <w:tcW w:type="dxa" w:w="1920"/>
          </w:tcPr>
          <w:p>
            <w:r>
              <w:t>test użytkownika, bezpieczeństwo, koszt</w:t>
            </w:r>
          </w:p>
        </w:tc>
        <w:tc>
          <w:tcPr>
            <w:tcW w:type="dxa" w:w="1920"/>
          </w:tcPr>
          <w:p>
            <w:r>
              <w:t>mała partia, poprawa, zamknięcie</w:t>
            </w:r>
          </w:p>
        </w:tc>
      </w:tr>
      <w:tr>
        <w:tc>
          <w:tcPr>
            <w:tcW w:type="dxa" w:w="1920"/>
          </w:tcPr>
          <w:p>
            <w:r>
              <w:t>G3 — skala</w:t>
            </w:r>
          </w:p>
        </w:tc>
        <w:tc>
          <w:tcPr>
            <w:tcW w:type="dxa" w:w="1920"/>
          </w:tcPr>
          <w:p>
            <w:r>
              <w:t>do 12 miesięcy i corocznie</w:t>
            </w:r>
          </w:p>
        </w:tc>
        <w:tc>
          <w:tcPr>
            <w:tcW w:type="dxa" w:w="1920"/>
          </w:tcPr>
          <w:p>
            <w:r>
              <w:t>czy istnieje uzasadnienie pełnego zobowiązania?</w:t>
            </w:r>
          </w:p>
        </w:tc>
        <w:tc>
          <w:tcPr>
            <w:tcW w:type="dxa" w:w="1920"/>
          </w:tcPr>
          <w:p>
            <w:r>
              <w:t>wyniki, moce, serwis, finansowanie, prawo</w:t>
            </w:r>
          </w:p>
        </w:tc>
        <w:tc>
          <w:tcPr>
            <w:tcW w:type="dxa" w:w="1920"/>
          </w:tcPr>
          <w:p>
            <w:r>
              <w:t>skaluj, utrzymaj niszę, odłóż, zamknij</w:t>
            </w:r>
          </w:p>
        </w:tc>
      </w:tr>
    </w:tbl>
    <w:p>
      <w:pPr>
        <w:pStyle w:val="Heading3"/>
      </w:pPr>
      <w:r>
        <w:t>1.3. Hierarchia produktów</w:t>
      </w:r>
    </w:p>
    <w:p>
      <w:r>
        <w:t>Każdy pakiet dostarcza w tej kolejności:</w:t>
      </w:r>
    </w:p>
    <w:p>
      <w:pPr>
        <w:pStyle w:val="ListNumber"/>
      </w:pPr>
      <w:r>
        <w:rPr>
          <w:b/>
        </w:rPr>
        <w:t>pytanie decyzyjne;</w:t>
      </w:r>
    </w:p>
    <w:p>
      <w:pPr>
        <w:pStyle w:val="ListNumber"/>
      </w:pPr>
      <w:r>
        <w:rPr>
          <w:b/>
        </w:rPr>
        <w:t>wartość bazową lub jawne UNKNOWN;</w:t>
      </w:r>
    </w:p>
    <w:p>
      <w:pPr>
        <w:pStyle w:val="ListNumber"/>
      </w:pPr>
      <w:r>
        <w:rPr>
          <w:b/>
        </w:rPr>
        <w:t>opcje wraz z kosztem i ryzykiem;</w:t>
      </w:r>
    </w:p>
    <w:p>
      <w:pPr>
        <w:pStyle w:val="ListNumber"/>
      </w:pPr>
      <w:r>
        <w:rPr>
          <w:b/>
        </w:rPr>
        <w:t>ograniczony test najtańszej istotnej niepewności;</w:t>
      </w:r>
    </w:p>
    <w:p>
      <w:pPr>
        <w:pStyle w:val="ListNumber"/>
      </w:pPr>
      <w:r>
        <w:rPr>
          <w:b/>
        </w:rPr>
        <w:t>wynik i rekomendację;</w:t>
      </w:r>
    </w:p>
    <w:p>
      <w:pPr>
        <w:pStyle w:val="ListNumber"/>
      </w:pPr>
      <w:r>
        <w:rPr>
          <w:b/>
        </w:rPr>
        <w:t>decyzję uprawnionego organu;</w:t>
      </w:r>
    </w:p>
    <w:p>
      <w:pPr>
        <w:pStyle w:val="ListNumber"/>
      </w:pPr>
      <w:r>
        <w:rPr>
          <w:b/>
        </w:rPr>
        <w:t>monitoring oraz datę ponownego otwarcia.</w:t>
      </w:r>
    </w:p>
    <w:p>
      <w:r>
        <w:t>Artefakt bez następnej decyzji nie jest produktem Biura Realizacji. Spotkanie, konferencja, memorandum lub laboratorium mogą być działaniem, ale nie są samodzielnym rezultatem.</w:t>
      </w:r>
    </w:p>
    <w:p>
      <w:pPr>
        <w:pStyle w:val="Heading2"/>
      </w:pPr>
      <w:r>
        <w:t>2. Pierwsze 100 dni</w:t>
      </w:r>
    </w:p>
    <w:p>
      <w:pPr>
        <w:pStyle w:val="Heading3"/>
      </w:pPr>
      <w:r>
        <w:t>Faza A: D0–D10 — uruchomienie</w:t>
      </w:r>
    </w:p>
    <w:p>
      <w:pPr>
        <w:pStyle w:val="Heading3"/>
      </w:pPr>
      <w:r>
        <w:t>Decyzje</w:t>
      </w:r>
    </w:p>
    <w:p>
      <w:pPr>
        <w:pStyle w:val="ListNumber"/>
      </w:pPr>
      <w:r>
        <w:t>Nie przesądzać miejsca programu w hierarchii dokumentów do czasu formalnej opinii prawnej i uzgodnienia relacji z obowiązującymi strategiami (</w:t>
      </w:r>
      <w:r>
        <w:rPr>
          <w:b/>
        </w:rPr>
        <w:t>GAP-0011</w:t>
      </w:r>
      <w:r>
        <w:t>).</w:t>
      </w:r>
    </w:p>
    <w:p>
      <w:pPr>
        <w:pStyle w:val="ListNumber"/>
      </w:pPr>
      <w:r>
        <w:t>Wyznaczyć właściciela politycznego oraz tymczasowego kierownika Biura Realizacji.</w:t>
      </w:r>
    </w:p>
    <w:p>
      <w:pPr>
        <w:pStyle w:val="ListNumber"/>
      </w:pPr>
      <w:r>
        <w:t>Zatwierdzić skład komitetu i zasadę, że członek ujawnia konflikt interesów przed rozpatrzeniem projektu.</w:t>
      </w:r>
    </w:p>
    <w:p>
      <w:pPr>
        <w:pStyle w:val="ListNumber"/>
      </w:pPr>
      <w:r>
        <w:t>Zatwierdzić politykę jawne–autoryzowane oraz zakaz przechowywania informacji niejawnych w tym repozytorium.</w:t>
      </w:r>
    </w:p>
    <w:p>
      <w:pPr>
        <w:pStyle w:val="ListNumber"/>
      </w:pPr>
      <w:r>
        <w:t>Ustalić wspólny dzień bazowy i format danych dla zobowiązań, projektów i KPI.</w:t>
      </w:r>
    </w:p>
    <w:p>
      <w:pPr>
        <w:pStyle w:val="Heading3"/>
      </w:pPr>
      <w:r>
        <w:t>Produkty</w:t>
      </w:r>
    </w:p>
    <w:p>
      <w:pPr>
        <w:pStyle w:val="ListBullet"/>
      </w:pPr>
      <w:r>
        <w:t>karta programu na 2–3 strony;</w:t>
      </w:r>
    </w:p>
    <w:p>
      <w:pPr>
        <w:pStyle w:val="ListBullet"/>
      </w:pPr>
      <w:r>
        <w:t>lista organów i osób odpowiedzialnych funkcjonalnie;</w:t>
      </w:r>
    </w:p>
    <w:p>
      <w:pPr>
        <w:pStyle w:val="ListBullet"/>
      </w:pPr>
      <w:r>
        <w:t>rejestr decyzji otwartych;</w:t>
      </w:r>
    </w:p>
    <w:p>
      <w:pPr>
        <w:pStyle w:val="ListBullet"/>
      </w:pPr>
      <w:r>
        <w:t>reguły eskalacji i protokół zdania odrębnego;</w:t>
      </w:r>
    </w:p>
    <w:p>
      <w:pPr>
        <w:pStyle w:val="ListBullet"/>
      </w:pPr>
      <w:r>
        <w:t>lista źródeł i systemów, z których można legalnie pozyskać dane;</w:t>
      </w:r>
    </w:p>
    <w:p>
      <w:pPr>
        <w:pStyle w:val="ListBullet"/>
      </w:pPr>
      <w:r>
        <w:t>plan pierwszej bramki G0.</w:t>
      </w:r>
    </w:p>
    <w:p>
      <w:pPr>
        <w:pStyle w:val="Heading3"/>
      </w:pPr>
      <w:r>
        <w:t>Warunek przejścia</w:t>
      </w:r>
    </w:p>
    <w:p>
      <w:r>
        <w:t>Każdy WP ma odpowiedzialnego właściciela i jednoznaczny produkt D30. Brak właściciela oznacza wyłączenie działania z harmonogramu, a nie przypisanie go ogólnie „administracji”.</w:t>
      </w:r>
    </w:p>
    <w:p>
      <w:pPr>
        <w:pStyle w:val="Heading3"/>
      </w:pPr>
      <w:r>
        <w:t>Faza B: D11–D30 — mandat, problemy i zakres audytu</w:t>
      </w:r>
    </w:p>
    <w:p>
      <w:pPr>
        <w:pStyle w:val="Heading3"/>
      </w:pPr>
      <w:r>
        <w:t>WP01: governance</w:t>
      </w:r>
    </w:p>
    <w:p>
      <w:pPr>
        <w:pStyle w:val="ListBullet"/>
      </w:pPr>
      <w:r>
        <w:t>uzgodnić RACI i rytm tygodniowy/miesięczny;</w:t>
      </w:r>
    </w:p>
    <w:p>
      <w:pPr>
        <w:pStyle w:val="ListBullet"/>
      </w:pPr>
      <w:r>
        <w:t>utworzyć wspólny rejestr kosztów, decyzji, ryzyk, zależności i zmian zakresu;</w:t>
      </w:r>
    </w:p>
    <w:p>
      <w:pPr>
        <w:pStyle w:val="ListBullet"/>
      </w:pPr>
      <w:r>
        <w:t>wskazać niezależną funkcję red-team i ewaluacji;</w:t>
      </w:r>
    </w:p>
    <w:p>
      <w:pPr>
        <w:pStyle w:val="ListBullet"/>
      </w:pPr>
      <w:r>
        <w:t>przygotować wariant instrumentu prawnego bez przesądzania go przez zespół analityczny.</w:t>
      </w:r>
    </w:p>
    <w:p>
      <w:pPr>
        <w:pStyle w:val="Heading3"/>
      </w:pPr>
      <w:r>
        <w:t>WP02: katalog problemów</w:t>
      </w:r>
    </w:p>
    <w:p>
      <w:r>
        <w:t>Użytkownicy zgłaszają problemy według karty: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</w:tcPr>
          <w:p>
            <w:r>
              <w:t>Pole</w:t>
            </w:r>
          </w:p>
        </w:tc>
        <w:tc>
          <w:tcPr>
            <w:tcW w:type="dxa" w:w="4801"/>
          </w:tcPr>
          <w:p>
            <w:r>
              <w:t>Wymaganie</w:t>
            </w:r>
          </w:p>
        </w:tc>
      </w:tr>
      <w:tr>
        <w:tc>
          <w:tcPr>
            <w:tcW w:type="dxa" w:w="4801"/>
          </w:tcPr>
          <w:p>
            <w:r>
              <w:t>właściciel</w:t>
            </w:r>
          </w:p>
        </w:tc>
        <w:tc>
          <w:tcPr>
            <w:tcW w:type="dxa" w:w="4801"/>
          </w:tcPr>
          <w:p>
            <w:r>
              <w:t>osoba/organ mogący zatwierdzić wynik</w:t>
            </w:r>
          </w:p>
        </w:tc>
      </w:tr>
      <w:tr>
        <w:tc>
          <w:tcPr>
            <w:tcW w:type="dxa" w:w="4801"/>
          </w:tcPr>
          <w:p>
            <w:r>
              <w:t>użytkownik</w:t>
            </w:r>
          </w:p>
        </w:tc>
        <w:tc>
          <w:tcPr>
            <w:tcW w:type="dxa" w:w="4801"/>
          </w:tcPr>
          <w:p>
            <w:r>
              <w:t>grupa, która wykona test i udzieli informacji zwrotnej</w:t>
            </w:r>
          </w:p>
        </w:tc>
      </w:tr>
      <w:tr>
        <w:tc>
          <w:tcPr>
            <w:tcW w:type="dxa" w:w="4801"/>
          </w:tcPr>
          <w:p>
            <w:r>
              <w:t>skutek</w:t>
            </w:r>
          </w:p>
        </w:tc>
        <w:tc>
          <w:tcPr>
            <w:tcW w:type="dxa" w:w="4801"/>
          </w:tcPr>
          <w:p>
            <w:r>
              <w:t>mierzalna zmiana czasu, jakości, odporności, ryzyka lub kosztu</w:t>
            </w:r>
          </w:p>
        </w:tc>
      </w:tr>
      <w:tr>
        <w:tc>
          <w:tcPr>
            <w:tcW w:type="dxa" w:w="4801"/>
          </w:tcPr>
          <w:p>
            <w:r>
              <w:t>baza</w:t>
            </w:r>
          </w:p>
        </w:tc>
        <w:tc>
          <w:tcPr>
            <w:tcW w:type="dxa" w:w="4801"/>
          </w:tcPr>
          <w:p>
            <w:r>
              <w:t>wartość lub UNKNOWN z planem pozyskania</w:t>
            </w:r>
          </w:p>
        </w:tc>
      </w:tr>
      <w:tr>
        <w:tc>
          <w:tcPr>
            <w:tcW w:type="dxa" w:w="4801"/>
          </w:tcPr>
          <w:p>
            <w:r>
              <w:t>granica jawna</w:t>
            </w:r>
          </w:p>
        </w:tc>
        <w:tc>
          <w:tcPr>
            <w:tcW w:type="dxa" w:w="4801"/>
          </w:tcPr>
          <w:p>
            <w:r>
              <w:t>opis możliwy do publikacji bez zwiększenia ryzyka</w:t>
            </w:r>
          </w:p>
        </w:tc>
      </w:tr>
      <w:tr>
        <w:tc>
          <w:tcPr>
            <w:tcW w:type="dxa" w:w="4801"/>
          </w:tcPr>
          <w:p>
            <w:r>
              <w:t>dane</w:t>
            </w:r>
          </w:p>
        </w:tc>
        <w:tc>
          <w:tcPr>
            <w:tcW w:type="dxa" w:w="4801"/>
          </w:tcPr>
          <w:p>
            <w:r>
              <w:t>właściciel, podstawa, dostęp, retencja</w:t>
            </w:r>
          </w:p>
        </w:tc>
      </w:tr>
      <w:tr>
        <w:tc>
          <w:tcPr>
            <w:tcW w:type="dxa" w:w="4801"/>
          </w:tcPr>
          <w:p>
            <w:r>
              <w:t>alternatywa</w:t>
            </w:r>
          </w:p>
        </w:tc>
        <w:tc>
          <w:tcPr>
            <w:tcW w:type="dxa" w:w="4801"/>
          </w:tcPr>
          <w:p>
            <w:r>
              <w:t>obecny proces lub rozwiązanie referencyjne</w:t>
            </w:r>
          </w:p>
        </w:tc>
      </w:tr>
      <w:tr>
        <w:tc>
          <w:tcPr>
            <w:tcW w:type="dxa" w:w="4801"/>
          </w:tcPr>
          <w:p>
            <w:r>
              <w:t>stop-rule</w:t>
            </w:r>
          </w:p>
        </w:tc>
        <w:tc>
          <w:tcPr>
            <w:tcW w:type="dxa" w:w="4801"/>
          </w:tcPr>
          <w:p>
            <w:r>
              <w:t>warunek niewchodzenia do prototypu</w:t>
            </w:r>
          </w:p>
        </w:tc>
      </w:tr>
    </w:tbl>
    <w:p>
      <w:r>
        <w:rPr>
          <w:b/>
        </w:rPr>
        <w:t>REKOMENDACJA:</w:t>
      </w:r>
      <w:r>
        <w:t xml:space="preserve"> wybrać mały, zróżnicowany portfel problemów, który testuje proces w kilku domenach i poziomach wrażliwości. Liczba projektów ma wynikać z pojemności testów i nabywców, a nie z celu komunikacyjnego.</w:t>
      </w:r>
    </w:p>
    <w:p>
      <w:pPr>
        <w:pStyle w:val="Heading3"/>
      </w:pPr>
      <w:r>
        <w:t>WP06/WP08/WP10: zakres baz</w:t>
      </w:r>
    </w:p>
    <w:p>
      <w:pPr>
        <w:pStyle w:val="ListBullet"/>
      </w:pPr>
      <w:r>
        <w:t>przemysł: zdolność, wąskie gardła, komponenty, prawa, serwis, energia, kapitał obrotowy;</w:t>
      </w:r>
    </w:p>
    <w:p>
      <w:pPr>
        <w:pStyle w:val="ListBullet"/>
      </w:pPr>
      <w:r>
        <w:t>kadry: role i kompetencje, dostępni prowadzący, laboratoria, wynagrodzenia, retencja;</w:t>
      </w:r>
    </w:p>
    <w:p>
      <w:pPr>
        <w:pStyle w:val="ListBullet"/>
      </w:pPr>
      <w:r>
        <w:t>finanse: istniejące zobowiązania, źródła, dodatkowość, koszt obsługi, ryzyko podwójnego finansowania;</w:t>
      </w:r>
    </w:p>
    <w:p>
      <w:pPr>
        <w:pStyle w:val="ListBullet"/>
      </w:pPr>
      <w:r>
        <w:t>dane: zbiory, właściciele, klasy dostępu, środowiska i luki jakościowe;</w:t>
      </w:r>
    </w:p>
    <w:p>
      <w:pPr>
        <w:pStyle w:val="ListBullet"/>
      </w:pPr>
      <w:r>
        <w:t>prawo: działania dostępne procesowo, kontraktowo, wykonawczo i ustawowo.</w:t>
      </w:r>
    </w:p>
    <w:p>
      <w:pPr>
        <w:pStyle w:val="Heading3"/>
      </w:pPr>
      <w:r>
        <w:t>Warunek przejścia</w:t>
      </w:r>
    </w:p>
    <w:p>
      <w:r>
        <w:t>Komitet G0 zatwierdza zakres audytu, listę problemów kandydujących i metodę priorytetyzacji. Dostawcy nie głosują nad wyborem własnych rozwiązań.</w:t>
      </w:r>
    </w:p>
    <w:p>
      <w:pPr>
        <w:pStyle w:val="Heading3"/>
      </w:pPr>
      <w:r>
        <w:t>Faza C: D31–D60 — baza i projekt pilotaży</w:t>
      </w:r>
    </w:p>
    <w:p>
      <w:pPr>
        <w:pStyle w:val="Heading3"/>
      </w:pPr>
      <w:r>
        <w:t>Audyt</w:t>
      </w:r>
    </w:p>
    <w:p>
      <w:r>
        <w:t>Audyt nie może ograniczyć się do ankiety deklaratywnej. W reprezentatywnej próbie obejmuje dokumenty, rozmowy, demonstrację procesu, weryfikację praw i test zdolności. Wyniki dzielą się na:</w:t>
      </w:r>
    </w:p>
    <w:p>
      <w:pPr>
        <w:pStyle w:val="ListBullet"/>
      </w:pPr>
      <w:r>
        <w:t>potwierdzone;</w:t>
      </w:r>
    </w:p>
    <w:p>
      <w:pPr>
        <w:pStyle w:val="ListBullet"/>
      </w:pPr>
      <w:r>
        <w:t>częściowo potwierdzone;</w:t>
      </w:r>
    </w:p>
    <w:p>
      <w:pPr>
        <w:pStyle w:val="ListBullet"/>
      </w:pPr>
      <w:r>
        <w:t>deklarowane bez dowodu;</w:t>
      </w:r>
    </w:p>
    <w:p>
      <w:pPr>
        <w:pStyle w:val="ListBullet"/>
      </w:pPr>
      <w:r>
        <w:t>sprzeczne;</w:t>
      </w:r>
    </w:p>
    <w:p>
      <w:pPr>
        <w:pStyle w:val="ListBullet"/>
      </w:pPr>
      <w:r>
        <w:t>nieznane;</w:t>
      </w:r>
    </w:p>
    <w:p>
      <w:pPr>
        <w:pStyle w:val="ListBullet"/>
      </w:pPr>
      <w:r>
        <w:t>chronione, wymagające osobnego obiegu.</w:t>
      </w:r>
    </w:p>
    <w:p>
      <w:pPr>
        <w:pStyle w:val="Heading3"/>
      </w:pPr>
      <w:r>
        <w:t>Projekt testów</w:t>
      </w:r>
    </w:p>
    <w:p>
      <w:r>
        <w:t>Każdy pilotaż otrzymuje:</w:t>
      </w:r>
    </w:p>
    <w:p>
      <w:pPr>
        <w:pStyle w:val="ListBullet"/>
      </w:pPr>
      <w:r>
        <w:t>hipotezę i kryterium powodzenia;</w:t>
      </w:r>
    </w:p>
    <w:p>
      <w:pPr>
        <w:pStyle w:val="ListBullet"/>
      </w:pPr>
      <w:r>
        <w:t>rozwiązanie referencyjne;</w:t>
      </w:r>
    </w:p>
    <w:p>
      <w:pPr>
        <w:pStyle w:val="ListBullet"/>
      </w:pPr>
      <w:r>
        <w:t>protokół testu zatwierdzony przed wynikiem;</w:t>
      </w:r>
    </w:p>
    <w:p>
      <w:pPr>
        <w:pStyle w:val="ListBullet"/>
      </w:pPr>
      <w:r>
        <w:t>rolę użytkownika, testera, nabywcy i bezpieczeństwa;</w:t>
      </w:r>
    </w:p>
    <w:p>
      <w:pPr>
        <w:pStyle w:val="ListBullet"/>
      </w:pPr>
      <w:r>
        <w:t>limit czasu i kosztu;</w:t>
      </w:r>
    </w:p>
    <w:p>
      <w:pPr>
        <w:pStyle w:val="ListBullet"/>
      </w:pPr>
      <w:r>
        <w:t>zasady IP, danych i publikacji wyniku;</w:t>
      </w:r>
    </w:p>
    <w:p>
      <w:pPr>
        <w:pStyle w:val="ListBullet"/>
      </w:pPr>
      <w:r>
        <w:t>warunek małej partii i warunek zamknięcia;</w:t>
      </w:r>
    </w:p>
    <w:p>
      <w:pPr>
        <w:pStyle w:val="ListBullet"/>
      </w:pPr>
      <w:r>
        <w:t>plan incydentu i bezpiecznego wstrzymania.</w:t>
      </w:r>
    </w:p>
    <w:p>
      <w:pPr>
        <w:pStyle w:val="Heading3"/>
      </w:pPr>
      <w:r>
        <w:t>Bezpieczna przestrzeń danych</w:t>
      </w:r>
    </w:p>
    <w:p>
      <w:r>
        <w:t>Pilotaż obejmuje jedną lub kilka klas danych o najniższym wystarczającym poziomie wrażliwości. Jego celem jest sprawdzenie governance: katalog, uprawnienia, logowanie, wersjonowanie, środowisko bez kopiowania, zestaw testowy, karta modelu i usuwanie dostępu. Nie jest celem zgromadzenie maksymalnej liczby danych.</w:t>
      </w:r>
    </w:p>
    <w:p>
      <w:pPr>
        <w:pStyle w:val="Heading3"/>
      </w:pPr>
      <w:r>
        <w:t>Warunek przejścia</w:t>
      </w:r>
    </w:p>
    <w:p>
      <w:r>
        <w:t>Co najmniej jeden pełny scenariusz został przeprowadzony „na sucho”: od zgłoszenia do decyzji B1, z analizą prawną, danych, bezpieczeństwa, kosztu i wykonawców. Każda nierozwiązana kwestia ma właściciela i termin.</w:t>
      </w:r>
    </w:p>
    <w:p>
      <w:pPr>
        <w:pStyle w:val="Heading3"/>
      </w:pPr>
      <w:r>
        <w:t>Faza D: D61–D100 — pierwsze dowody i decyzja G1</w:t>
      </w:r>
    </w:p>
    <w:p>
      <w:pPr>
        <w:pStyle w:val="Heading3"/>
      </w:pPr>
      <w:r>
        <w:t>Działania</w:t>
      </w:r>
    </w:p>
    <w:p>
      <w:pPr>
        <w:pStyle w:val="ListBullet"/>
      </w:pPr>
      <w:r>
        <w:t>rozpocząć ograniczone testy lub kontrakty dowodowe;</w:t>
      </w:r>
    </w:p>
    <w:p>
      <w:pPr>
        <w:pStyle w:val="ListBullet"/>
      </w:pPr>
      <w:r>
        <w:t>wykonać pierwszy przegląd cyber i danych;</w:t>
      </w:r>
    </w:p>
    <w:p>
      <w:pPr>
        <w:pStyle w:val="ListBullet"/>
      </w:pPr>
      <w:r>
        <w:t>przeprowadzić ćwiczenie łańcucha dostaw dla wybranej, niewrażliwej klasy komponentu;</w:t>
      </w:r>
    </w:p>
    <w:p>
      <w:pPr>
        <w:pStyle w:val="ListBullet"/>
      </w:pPr>
      <w:r>
        <w:t>wycenić pilotaże kadrowe i regionalne;</w:t>
      </w:r>
    </w:p>
    <w:p>
      <w:pPr>
        <w:pStyle w:val="ListBullet"/>
      </w:pPr>
      <w:r>
        <w:t>przygotować mapę instrumentów UE i krajowych, w tym SAFE jako finansowania pożyczkowego (</w:t>
      </w:r>
      <w:r>
        <w:rPr>
          <w:b/>
        </w:rPr>
        <w:t>CLM-1208</w:t>
      </w:r>
      <w:r>
        <w:t>);</w:t>
      </w:r>
    </w:p>
    <w:p>
      <w:pPr>
        <w:pStyle w:val="ListBullet"/>
      </w:pPr>
      <w:r>
        <w:t>wybrać polskie działania w BraveTech EU, uwzględniając fakt bieżącego uczestnictwa Polski (</w:t>
      </w:r>
      <w:r>
        <w:rPr>
          <w:b/>
        </w:rPr>
        <w:t>CLM-1214</w:t>
      </w:r>
      <w:r>
        <w:t>);</w:t>
      </w:r>
    </w:p>
    <w:p>
      <w:pPr>
        <w:pStyle w:val="ListBullet"/>
      </w:pPr>
      <w:r>
        <w:t>opublikować pierwszy jawny raport z lukami i sprzecznościami.</w:t>
      </w:r>
    </w:p>
    <w:p>
      <w:pPr>
        <w:pStyle w:val="Heading3"/>
      </w:pPr>
      <w:r>
        <w:t>Pakiet G1 dla Premiera/RM</w:t>
      </w:r>
    </w:p>
    <w:p>
      <w:pPr>
        <w:pStyle w:val="ListNumber"/>
      </w:pPr>
      <w:r>
        <w:t>stan bazowy i jakość danych;</w:t>
      </w:r>
    </w:p>
    <w:p>
      <w:pPr>
        <w:pStyle w:val="ListNumber"/>
      </w:pPr>
      <w:r>
        <w:t>lista problemów z rankingiem oraz zdaniami odrębnymi;</w:t>
      </w:r>
    </w:p>
    <w:p>
      <w:pPr>
        <w:pStyle w:val="ListNumber"/>
      </w:pPr>
      <w:r>
        <w:t>koszt i ryzyko pilotaży;</w:t>
      </w:r>
    </w:p>
    <w:p>
      <w:pPr>
        <w:pStyle w:val="ListNumber"/>
      </w:pPr>
      <w:r>
        <w:t>warianty organizacyjne i prawne;</w:t>
      </w:r>
    </w:p>
    <w:p>
      <w:pPr>
        <w:pStyle w:val="ListNumber"/>
      </w:pPr>
      <w:r>
        <w:t>mapa istniejącego finansowania;</w:t>
      </w:r>
    </w:p>
    <w:p>
      <w:pPr>
        <w:pStyle w:val="ListNumber"/>
      </w:pPr>
      <w:r>
        <w:t>lista zależności krytycznych wymagających autoryzowanej analizy;</w:t>
      </w:r>
    </w:p>
    <w:p>
      <w:pPr>
        <w:pStyle w:val="ListNumber"/>
      </w:pPr>
      <w:r>
        <w:t>rekomendacje: uruchom, opóźnij, połącz, zamknij;</w:t>
      </w:r>
    </w:p>
    <w:p>
      <w:pPr>
        <w:pStyle w:val="ListNumber"/>
      </w:pPr>
      <w:r>
        <w:t>plan D101–M6.</w:t>
      </w:r>
    </w:p>
    <w:p>
      <w:pPr>
        <w:pStyle w:val="Heading3"/>
      </w:pPr>
      <w:r>
        <w:t>Definicja ukończenia 100 dni</w:t>
      </w:r>
    </w:p>
    <w:p>
      <w:r>
        <w:t>Pierwsze 100 dni są ukończone, gdy Rada Ministrów może podjąć decyzję G1 na podstawie rejestru dowodów, a nie prezentacji programu. Samo powołanie pełnomocnika, komitetu lub konkursu nie spełnia warunku.</w:t>
      </w:r>
    </w:p>
    <w:p>
      <w:pPr>
        <w:pStyle w:val="Heading2"/>
      </w:pPr>
      <w:r>
        <w:t>3. Miesiące 4–6: dowód mechanizmu</w:t>
      </w:r>
    </w:p>
    <w:p>
      <w:pPr>
        <w:pStyle w:val="Heading3"/>
      </w:pPr>
      <w:r>
        <w:t>Cel</w:t>
      </w:r>
    </w:p>
    <w:p>
      <w:r>
        <w:t>Udowodnić, że wspólny cykl działa w praktyce: problem jest poprawnie zdefiniowany, dane dostępne legalnie, test porównywalny, użytkownik zaangażowany, a nabywca potrafi zawrzeć ograniczony kontrakt i zatrzymać projekt.</w:t>
      </w:r>
    </w:p>
    <w:p>
      <w:pPr>
        <w:pStyle w:val="Heading3"/>
      </w:pPr>
      <w:r>
        <w:t>Produkty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1"/>
        <w:gridCol w:w="3201"/>
        <w:gridCol w:w="3201"/>
      </w:tblGrid>
      <w:tr>
        <w:tc>
          <w:tcPr>
            <w:tcW w:type="dxa" w:w="3201"/>
          </w:tcPr>
          <w:p>
            <w:r>
              <w:t>Obszar</w:t>
            </w:r>
          </w:p>
        </w:tc>
        <w:tc>
          <w:tcPr>
            <w:tcW w:type="dxa" w:w="3201"/>
          </w:tcPr>
          <w:p>
            <w:r>
              <w:t>Produkt M6</w:t>
            </w:r>
          </w:p>
        </w:tc>
        <w:tc>
          <w:tcPr>
            <w:tcW w:type="dxa" w:w="3201"/>
          </w:tcPr>
          <w:p>
            <w:r>
              <w:t>Kryterium akceptacji</w:t>
            </w:r>
          </w:p>
        </w:tc>
      </w:tr>
      <w:tr>
        <w:tc>
          <w:tcPr>
            <w:tcW w:type="dxa" w:w="3201"/>
          </w:tcPr>
          <w:p>
            <w:r>
              <w:t>Portfel</w:t>
            </w:r>
          </w:p>
        </w:tc>
        <w:tc>
          <w:tcPr>
            <w:tcW w:type="dxa" w:w="3201"/>
          </w:tcPr>
          <w:p>
            <w:r>
              <w:t>wersja 1.0 listy projektów i zależności</w:t>
            </w:r>
          </w:p>
        </w:tc>
        <w:tc>
          <w:tcPr>
            <w:tcW w:type="dxa" w:w="3201"/>
          </w:tcPr>
          <w:p>
            <w:r>
              <w:t>każdy projekt ma następną decyzję i koszt</w:t>
            </w:r>
          </w:p>
        </w:tc>
      </w:tr>
      <w:tr>
        <w:tc>
          <w:tcPr>
            <w:tcW w:type="dxa" w:w="3201"/>
          </w:tcPr>
          <w:p>
            <w:r>
              <w:t>Testy</w:t>
            </w:r>
          </w:p>
        </w:tc>
        <w:tc>
          <w:tcPr>
            <w:tcW w:type="dxa" w:w="3201"/>
          </w:tcPr>
          <w:p>
            <w:r>
              <w:t>co najmniej kilka różnych typów testu procesu</w:t>
            </w:r>
          </w:p>
        </w:tc>
        <w:tc>
          <w:tcPr>
            <w:tcW w:type="dxa" w:w="3201"/>
          </w:tcPr>
          <w:p>
            <w:r>
              <w:t>protokół ustalony przed wynikiem</w:t>
            </w:r>
          </w:p>
        </w:tc>
      </w:tr>
      <w:tr>
        <w:tc>
          <w:tcPr>
            <w:tcW w:type="dxa" w:w="3201"/>
          </w:tcPr>
          <w:p>
            <w:r>
              <w:t>Zamówienia</w:t>
            </w:r>
          </w:p>
        </w:tc>
        <w:tc>
          <w:tcPr>
            <w:tcW w:type="dxa" w:w="3201"/>
          </w:tcPr>
          <w:p>
            <w:r>
              <w:t>wzory kontraktów etapowych i opcje skali</w:t>
            </w:r>
          </w:p>
        </w:tc>
        <w:tc>
          <w:tcPr>
            <w:tcW w:type="dxa" w:w="3201"/>
          </w:tcPr>
          <w:p>
            <w:r>
              <w:t>jasne IP, dane, bezpieczeństwo i stop-rule</w:t>
            </w:r>
          </w:p>
        </w:tc>
      </w:tr>
      <w:tr>
        <w:tc>
          <w:tcPr>
            <w:tcW w:type="dxa" w:w="3201"/>
          </w:tcPr>
          <w:p>
            <w:r>
              <w:t>Dane/AI</w:t>
            </w:r>
          </w:p>
        </w:tc>
        <w:tc>
          <w:tcPr>
            <w:tcW w:type="dxa" w:w="3201"/>
          </w:tcPr>
          <w:p>
            <w:r>
              <w:t>działający pilotaż środowiska kontrolowanego</w:t>
            </w:r>
          </w:p>
        </w:tc>
        <w:tc>
          <w:tcPr>
            <w:tcW w:type="dxa" w:w="3201"/>
          </w:tcPr>
          <w:p>
            <w:r>
              <w:t>pełny ślad dostępu, wersji i ewaluacji</w:t>
            </w:r>
          </w:p>
        </w:tc>
      </w:tr>
      <w:tr>
        <w:tc>
          <w:tcPr>
            <w:tcW w:type="dxa" w:w="3201"/>
          </w:tcPr>
          <w:p>
            <w:r>
              <w:t>Przemysł</w:t>
            </w:r>
          </w:p>
        </w:tc>
        <w:tc>
          <w:tcPr>
            <w:tcW w:type="dxa" w:w="3201"/>
          </w:tcPr>
          <w:p>
            <w:r>
              <w:t>mapa warstw i pierwsze zweryfikowane zależności</w:t>
            </w:r>
          </w:p>
        </w:tc>
        <w:tc>
          <w:tcPr>
            <w:tcW w:type="dxa" w:w="3201"/>
          </w:tcPr>
          <w:p>
            <w:r>
              <w:t>oddzielenie deklaracji od dowodu</w:t>
            </w:r>
          </w:p>
        </w:tc>
      </w:tr>
      <w:tr>
        <w:tc>
          <w:tcPr>
            <w:tcW w:type="dxa" w:w="3201"/>
          </w:tcPr>
          <w:p>
            <w:r>
              <w:t>Kadry</w:t>
            </w:r>
          </w:p>
        </w:tc>
        <w:tc>
          <w:tcPr>
            <w:tcW w:type="dxa" w:w="3201"/>
          </w:tcPr>
          <w:p>
            <w:r>
              <w:t>profile ról i programy krótkie</w:t>
            </w:r>
          </w:p>
        </w:tc>
        <w:tc>
          <w:tcPr>
            <w:tcW w:type="dxa" w:w="3201"/>
          </w:tcPr>
          <w:p>
            <w:r>
              <w:t>praktyczne kryterium kompetencji</w:t>
            </w:r>
          </w:p>
        </w:tc>
      </w:tr>
      <w:tr>
        <w:tc>
          <w:tcPr>
            <w:tcW w:type="dxa" w:w="3201"/>
          </w:tcPr>
          <w:p>
            <w:r>
              <w:t>Partnerstwa</w:t>
            </w:r>
          </w:p>
        </w:tc>
        <w:tc>
          <w:tcPr>
            <w:tcW w:type="dxa" w:w="3201"/>
          </w:tcPr>
          <w:p>
            <w:r>
              <w:t>pipeline due diligence</w:t>
            </w:r>
          </w:p>
        </w:tc>
        <w:tc>
          <w:tcPr>
            <w:tcW w:type="dxa" w:w="3201"/>
          </w:tcPr>
          <w:p>
            <w:r>
              <w:t>brak preferowanego partnera bez porównania</w:t>
            </w:r>
          </w:p>
        </w:tc>
      </w:tr>
      <w:tr>
        <w:tc>
          <w:tcPr>
            <w:tcW w:type="dxa" w:w="3201"/>
          </w:tcPr>
          <w:p>
            <w:r>
              <w:t>Finanse</w:t>
            </w:r>
          </w:p>
        </w:tc>
        <w:tc>
          <w:tcPr>
            <w:tcW w:type="dxa" w:w="3201"/>
          </w:tcPr>
          <w:p>
            <w:r>
              <w:t>model kategorii i zobowiązań</w:t>
            </w:r>
          </w:p>
        </w:tc>
        <w:tc>
          <w:tcPr>
            <w:tcW w:type="dxa" w:w="3201"/>
          </w:tcPr>
          <w:p>
            <w:r>
              <w:t>brak podwójnego liczenia znanych kosztów</w:t>
            </w:r>
          </w:p>
        </w:tc>
      </w:tr>
      <w:tr>
        <w:tc>
          <w:tcPr>
            <w:tcW w:type="dxa" w:w="3201"/>
          </w:tcPr>
          <w:p>
            <w:r>
              <w:t>Prawo</w:t>
            </w:r>
          </w:p>
        </w:tc>
        <w:tc>
          <w:tcPr>
            <w:tcW w:type="dxa" w:w="3201"/>
          </w:tcPr>
          <w:p>
            <w:r>
              <w:t>mapa działań i instrumentów</w:t>
            </w:r>
          </w:p>
        </w:tc>
        <w:tc>
          <w:tcPr>
            <w:tcW w:type="dxa" w:w="3201"/>
          </w:tcPr>
          <w:p>
            <w:r>
              <w:t>każde działanie ma właściwy organ i recenzję prawną</w:t>
            </w:r>
          </w:p>
        </w:tc>
      </w:tr>
      <w:tr>
        <w:tc>
          <w:tcPr>
            <w:tcW w:type="dxa" w:w="3201"/>
          </w:tcPr>
          <w:p>
            <w:r>
              <w:t>Publiczne</w:t>
            </w:r>
          </w:p>
        </w:tc>
        <w:tc>
          <w:tcPr>
            <w:tcW w:type="dxa" w:w="3201"/>
          </w:tcPr>
          <w:p>
            <w:r>
              <w:t>raport M6</w:t>
            </w:r>
          </w:p>
        </w:tc>
        <w:tc>
          <w:tcPr>
            <w:tcW w:type="dxa" w:w="3201"/>
          </w:tcPr>
          <w:p>
            <w:r>
              <w:t>pokazuje także projekty zatrzymane i luki</w:t>
            </w:r>
          </w:p>
        </w:tc>
      </w:tr>
    </w:tbl>
    <w:p>
      <w:pPr>
        <w:pStyle w:val="Heading3"/>
      </w:pPr>
      <w:r>
        <w:t>Bramka G2</w:t>
      </w:r>
    </w:p>
    <w:p>
      <w:r>
        <w:t>Komitet nie zatwierdza „sukcesu programu” zbiorczo. Każdy projekt otrzymuje osobną decyzję:</w:t>
      </w:r>
    </w:p>
    <w:p>
      <w:pPr>
        <w:pStyle w:val="ListBullet"/>
      </w:pPr>
      <w:r>
        <w:rPr>
          <w:b/>
        </w:rPr>
        <w:t>A — przejdź do małej partii;</w:t>
      </w:r>
    </w:p>
    <w:p>
      <w:pPr>
        <w:pStyle w:val="ListBullet"/>
      </w:pPr>
      <w:r>
        <w:rPr>
          <w:b/>
        </w:rPr>
        <w:t>B — popraw jeden raz w określonym zakresie;</w:t>
      </w:r>
    </w:p>
    <w:p>
      <w:pPr>
        <w:pStyle w:val="ListBullet"/>
      </w:pPr>
      <w:r>
        <w:rPr>
          <w:b/>
        </w:rPr>
        <w:t>C — utrzymaj jako badanie bez obietnicy wdrożenia;</w:t>
      </w:r>
    </w:p>
    <w:p>
      <w:pPr>
        <w:pStyle w:val="ListBullet"/>
      </w:pPr>
      <w:r>
        <w:rPr>
          <w:b/>
        </w:rPr>
        <w:t>D — zamknij i opublikuj lekcję możliwą do ujawnienia.</w:t>
      </w:r>
    </w:p>
    <w:p>
      <w:r>
        <w:t>Ścieżka B dopuszcza jedną poprawkę w ramach bieżącej decyzji G2, z limitem czasu i dodatkowego kosztu. Druga próba poprawy wymaga zamknięcia dotychczasowej ścieżki i nowej, jawnie uzasadnionej decyzji G2; nie istnieje automatyczna „trzecia iteracja”.</w:t>
      </w:r>
    </w:p>
    <w:p>
      <w:pPr>
        <w:pStyle w:val="Heading2"/>
      </w:pPr>
      <w:r>
        <w:t>4. Miesiące 7–12: małe partie i decyzja skali</w:t>
      </w:r>
    </w:p>
    <w:p>
      <w:pPr>
        <w:pStyle w:val="Heading3"/>
      </w:pPr>
      <w:r>
        <w:t>4.1. Mała partia jako instrument uczenia</w:t>
      </w:r>
    </w:p>
    <w:p>
      <w:r>
        <w:t>Mała partia nie służy obchodzeniu wymagań. Jej produktem są dane o:</w:t>
      </w:r>
    </w:p>
    <w:p>
      <w:pPr>
        <w:pStyle w:val="ListBullet"/>
      </w:pPr>
      <w:r>
        <w:t>niezawodności i odchyleniach między egzemplarzami;</w:t>
      </w:r>
    </w:p>
    <w:p>
      <w:pPr>
        <w:pStyle w:val="ListBullet"/>
      </w:pPr>
      <w:r>
        <w:t>zachowaniu w realnym procesie użytkownika;</w:t>
      </w:r>
    </w:p>
    <w:p>
      <w:pPr>
        <w:pStyle w:val="ListBullet"/>
      </w:pPr>
      <w:r>
        <w:t>czasie i koszcie serwisu;</w:t>
      </w:r>
    </w:p>
    <w:p>
      <w:pPr>
        <w:pStyle w:val="ListBullet"/>
      </w:pPr>
      <w:r>
        <w:t>aktualizacjach, konfiguracji i cyber;</w:t>
      </w:r>
    </w:p>
    <w:p>
      <w:pPr>
        <w:pStyle w:val="ListBullet"/>
      </w:pPr>
      <w:r>
        <w:t>dostępności komponentów;</w:t>
      </w:r>
    </w:p>
    <w:p>
      <w:pPr>
        <w:pStyle w:val="ListBullet"/>
      </w:pPr>
      <w:r>
        <w:t>szkoleniu, dokumentacji i bezpieczeństwie;</w:t>
      </w:r>
    </w:p>
    <w:p>
      <w:pPr>
        <w:pStyle w:val="ListBullet"/>
      </w:pPr>
      <w:r>
        <w:t>rzeczywistym koszcie cyklu życia;</w:t>
      </w:r>
    </w:p>
    <w:p>
      <w:pPr>
        <w:pStyle w:val="ListBullet"/>
      </w:pPr>
      <w:r>
        <w:t>zdolności producenta do powtarzalnej jakości.</w:t>
      </w:r>
    </w:p>
    <w:p>
      <w:r>
        <w:t>Wielkość partii wynika z mocy statystycznej, liczby środowisk testowych i ryzyka — nie z domyślnego przedziału. Parametry wrażliwe pozostają poza dokumentem jawnym.</w:t>
      </w:r>
    </w:p>
    <w:p>
      <w:pPr>
        <w:pStyle w:val="Heading3"/>
      </w:pPr>
      <w:r>
        <w:t>4.2. Decyzja G3</w:t>
      </w:r>
    </w:p>
    <w:p>
      <w:r>
        <w:t>Przed skalą właściciel przedstawia:</w:t>
      </w:r>
    </w:p>
    <w:p>
      <w:pPr>
        <w:pStyle w:val="ListNumber"/>
      </w:pPr>
      <w:r>
        <w:t>wynik użytkownika względem bazy;</w:t>
      </w:r>
    </w:p>
    <w:p>
      <w:pPr>
        <w:pStyle w:val="ListNumber"/>
      </w:pPr>
      <w:r>
        <w:t>jakość i ograniczenia dowodu;</w:t>
      </w:r>
    </w:p>
    <w:p>
      <w:pPr>
        <w:pStyle w:val="ListNumber"/>
      </w:pPr>
      <w:r>
        <w:t>koszt zakupu i cyklu życia;</w:t>
      </w:r>
    </w:p>
    <w:p>
      <w:pPr>
        <w:pStyle w:val="ListNumber"/>
      </w:pPr>
      <w:r>
        <w:t>bezpieczeństwo, legalność i interoperacyjność;</w:t>
      </w:r>
    </w:p>
    <w:p>
      <w:pPr>
        <w:pStyle w:val="ListNumber"/>
      </w:pPr>
      <w:r>
        <w:t>zdolność produkcji, serwisu i aktualizacji;</w:t>
      </w:r>
    </w:p>
    <w:p>
      <w:pPr>
        <w:pStyle w:val="ListNumber"/>
      </w:pPr>
      <w:r>
        <w:t>krytyczne zależności oraz alternatywy;</w:t>
      </w:r>
    </w:p>
    <w:p>
      <w:pPr>
        <w:pStyle w:val="ListNumber"/>
      </w:pPr>
      <w:r>
        <w:t>prawa do danych, IP, interfejsów, naprawy i wyjścia;</w:t>
      </w:r>
    </w:p>
    <w:p>
      <w:pPr>
        <w:pStyle w:val="ListNumber"/>
      </w:pPr>
      <w:r>
        <w:t>plan finansowania bez podwójnego liczenia;</w:t>
      </w:r>
    </w:p>
    <w:p>
      <w:pPr>
        <w:pStyle w:val="ListNumber"/>
      </w:pPr>
      <w:r>
        <w:t>scenariusz zakończenia lub migracji;</w:t>
      </w:r>
    </w:p>
    <w:p>
      <w:pPr>
        <w:pStyle w:val="ListNumber"/>
      </w:pPr>
      <w:r>
        <w:t>niezależne stanowisko red-team.</w:t>
      </w:r>
    </w:p>
    <w:p>
      <w:pPr>
        <w:pStyle w:val="Heading3"/>
      </w:pPr>
      <w:r>
        <w:t>4.3. Produkty końca roku</w:t>
      </w:r>
    </w:p>
    <w:p>
      <w:pPr>
        <w:pStyle w:val="ListBullet"/>
      </w:pPr>
      <w:r>
        <w:t>publiczna strategia v1.0 po konsultacji;</w:t>
      </w:r>
    </w:p>
    <w:p>
      <w:pPr>
        <w:pStyle w:val="ListBullet"/>
      </w:pPr>
      <w:r>
        <w:t>autoryzowany zestaw odpowiedzi do aneksu poza repozytorium;</w:t>
      </w:r>
    </w:p>
    <w:p>
      <w:pPr>
        <w:pStyle w:val="ListBullet"/>
      </w:pPr>
      <w:r>
        <w:t>lista programów skalowanych i zamkniętych;</w:t>
      </w:r>
    </w:p>
    <w:p>
      <w:pPr>
        <w:pStyle w:val="ListBullet"/>
      </w:pPr>
      <w:r>
        <w:t>pierwsze umowy partnerstwa po due diligence;</w:t>
      </w:r>
    </w:p>
    <w:p>
      <w:pPr>
        <w:pStyle w:val="ListBullet"/>
      </w:pPr>
      <w:r>
        <w:t>plan infrastruktury i komponentów oparty na dowodach;</w:t>
      </w:r>
    </w:p>
    <w:p>
      <w:pPr>
        <w:pStyle w:val="ListBullet"/>
      </w:pPr>
      <w:r>
        <w:t>decyzje o pilotażu regionalnych centrów i programów kadrowych;</w:t>
      </w:r>
    </w:p>
    <w:p>
      <w:pPr>
        <w:pStyle w:val="ListBullet"/>
      </w:pPr>
      <w:r>
        <w:t>budżet wieloletni lub scenariusze do decyzji budżetowej;</w:t>
      </w:r>
    </w:p>
    <w:p>
      <w:pPr>
        <w:pStyle w:val="ListBullet"/>
      </w:pPr>
      <w:r>
        <w:t>propozycje zmian prawnych wraz z oceną skutków;</w:t>
      </w:r>
    </w:p>
    <w:p>
      <w:pPr>
        <w:pStyle w:val="ListBullet"/>
      </w:pPr>
      <w:r>
        <w:t>dashboard publiczny i zarządczy;</w:t>
      </w:r>
    </w:p>
    <w:p>
      <w:pPr>
        <w:pStyle w:val="ListBullet"/>
      </w:pPr>
      <w:r>
        <w:t>raport roczny do wspólnego przeglądu Prezydenta i Premiera.</w:t>
      </w:r>
    </w:p>
    <w:p>
      <w:pPr>
        <w:pStyle w:val="Heading2"/>
      </w:pPr>
      <w:r>
        <w:t>5. Horyzont 2027–2030</w:t>
      </w:r>
    </w:p>
    <w:p>
      <w:pPr>
        <w:pStyle w:val="Heading3"/>
      </w:pPr>
      <w:r>
        <w:t>Cel</w:t>
      </w:r>
    </w:p>
    <w:p>
      <w:r>
        <w:t>Przekształcić potwierdzone pilotaże w zdolności powtarzalne i włączyć je do krajowych oraz sojuszniczych procesów bez utraty zdolności aktualizacji.</w:t>
      </w:r>
    </w:p>
    <w:p>
      <w:pPr>
        <w:pStyle w:val="Heading3"/>
      </w:pPr>
      <w:r>
        <w:t>Linie działania</w:t>
      </w:r>
    </w:p>
    <w:p>
      <w:pPr>
        <w:pStyle w:val="ListNumber"/>
      </w:pPr>
      <w:r>
        <w:rPr>
          <w:b/>
        </w:rPr>
        <w:t>Skala produktów:</w:t>
      </w:r>
      <w:r>
        <w:t xml:space="preserve"> wieloletnie umowy z opcjami, konkurencyjnymi ulepszeniami i miernikami cyklu życia.</w:t>
      </w:r>
    </w:p>
    <w:p>
      <w:pPr>
        <w:pStyle w:val="ListNumber"/>
      </w:pPr>
      <w:r>
        <w:rPr>
          <w:b/>
        </w:rPr>
        <w:t>Komponenty:</w:t>
      </w:r>
      <w:r>
        <w:t xml:space="preserve"> inwestycje tylko w warstwy, gdzie audyt wykazał krytyczność, wykonalność i popyt.</w:t>
      </w:r>
    </w:p>
    <w:p>
      <w:pPr>
        <w:pStyle w:val="ListNumber"/>
      </w:pPr>
      <w:r>
        <w:rPr>
          <w:b/>
        </w:rPr>
        <w:t>Dane/AI:</w:t>
      </w:r>
      <w:r>
        <w:t xml:space="preserve"> rozszerzenie federacji danych, wspólnych benchmarków i rejestru modeli; ćwiczenia wycofania modelu.</w:t>
      </w:r>
    </w:p>
    <w:p>
      <w:pPr>
        <w:pStyle w:val="ListNumber"/>
      </w:pPr>
      <w:r>
        <w:rPr>
          <w:b/>
        </w:rPr>
        <w:t>Produkcja:</w:t>
      </w:r>
      <w:r>
        <w:t xml:space="preserve"> regularne ćwiczenia 30/90/180 dni, weryfikacja dostawców alternatywnych i kapitału obrotowego.</w:t>
      </w:r>
    </w:p>
    <w:p>
      <w:pPr>
        <w:pStyle w:val="ListNumber"/>
      </w:pPr>
      <w:r>
        <w:rPr>
          <w:b/>
        </w:rPr>
        <w:t>Kadry:</w:t>
      </w:r>
      <w:r>
        <w:t xml:space="preserve"> skalowanie programów o potwierdzonym zatrudnieniu i retencji; zamykanie modnych, lecz nieskutecznych kierunków.</w:t>
      </w:r>
    </w:p>
    <w:p>
      <w:pPr>
        <w:pStyle w:val="ListNumber"/>
      </w:pPr>
      <w:r>
        <w:rPr>
          <w:b/>
        </w:rPr>
        <w:t>Partnerstwa:</w:t>
      </w:r>
      <w:r>
        <w:t xml:space="preserve"> wspólne programy i eksport zgodny z prawem; udział w inicjatywach UE/NATO z miernikiem korzyści dla Polski.</w:t>
      </w:r>
    </w:p>
    <w:p>
      <w:pPr>
        <w:pStyle w:val="ListNumber"/>
      </w:pPr>
      <w:r>
        <w:rPr>
          <w:b/>
        </w:rPr>
        <w:t>Regiony:</w:t>
      </w:r>
      <w:r>
        <w:t xml:space="preserve"> replikacja pilotaży, które mają popyt po finansowaniu publicznym i wykazaną produktywność.</w:t>
      </w:r>
    </w:p>
    <w:p>
      <w:pPr>
        <w:pStyle w:val="ListNumber"/>
      </w:pPr>
      <w:r>
        <w:rPr>
          <w:b/>
        </w:rPr>
        <w:t>Ewaluacja:</w:t>
      </w:r>
      <w:r>
        <w:t xml:space="preserve"> porównanie z bazą 2026 i ponowna selekcja całego portfela co roku.</w:t>
      </w:r>
    </w:p>
    <w:p>
      <w:r>
        <w:t>Mapa Readiness Roadmap 2030 wymienia European Drone Defence Initiative i Eastern Flank Watch jako projekty flagowe (</w:t>
      </w:r>
      <w:r>
        <w:rPr>
          <w:b/>
        </w:rPr>
        <w:t>CLM-1222</w:t>
      </w:r>
      <w:r>
        <w:t>). Harmonogram polski powinien mapować ich aktualne kamienie milowe i warunki, ale nie traktować samej obecności inicjatywy w dokumencie UE jako dowodu realizacji.</w:t>
      </w:r>
    </w:p>
    <w:p>
      <w:pPr>
        <w:pStyle w:val="Heading3"/>
      </w:pPr>
      <w:r>
        <w:t>Decyzje końca 2030 r.</w:t>
      </w:r>
    </w:p>
    <w:p>
      <w:pPr>
        <w:pStyle w:val="ListBullet"/>
      </w:pPr>
      <w:r>
        <w:t>które klasy systemów mają trwałą zdolność krajowej integracji i serwisu;</w:t>
      </w:r>
    </w:p>
    <w:p>
      <w:pPr>
        <w:pStyle w:val="ListBullet"/>
      </w:pPr>
      <w:r>
        <w:t>które zależności zostały zdywersyfikowane lub świadomie zaakceptowane;</w:t>
      </w:r>
    </w:p>
    <w:p>
      <w:pPr>
        <w:pStyle w:val="ListBullet"/>
      </w:pPr>
      <w:r>
        <w:t>które moce przemysłowe wymagają dalszych gwarancji popytu;</w:t>
      </w:r>
    </w:p>
    <w:p>
      <w:pPr>
        <w:pStyle w:val="ListBullet"/>
      </w:pPr>
      <w:r>
        <w:t>które programy kadrowe mają mierzalny wpływ;</w:t>
      </w:r>
    </w:p>
    <w:p>
      <w:pPr>
        <w:pStyle w:val="ListBullet"/>
      </w:pPr>
      <w:r>
        <w:t>które partnerstwa dostarczyły produkt, eksport lub wiedzę;</w:t>
      </w:r>
    </w:p>
    <w:p>
      <w:pPr>
        <w:pStyle w:val="ListBullet"/>
      </w:pPr>
      <w:r>
        <w:t>które mechanizmy programu przechodzą do rutynowej administracji, a które należy zamknąć.</w:t>
      </w:r>
    </w:p>
    <w:p>
      <w:pPr>
        <w:pStyle w:val="Heading2"/>
      </w:pPr>
      <w:r>
        <w:t>6. Horyzont 2031–2035</w:t>
      </w:r>
    </w:p>
    <w:p>
      <w:pPr>
        <w:pStyle w:val="Heading3"/>
      </w:pPr>
      <w:r>
        <w:t>Cel</w:t>
      </w:r>
    </w:p>
    <w:p>
      <w:r>
        <w:t>Utrwalić zdolność zastępowania, modernizacji i odtwarzania, jednocześnie wymieniając technologie, które utraciły znaczenie.</w:t>
      </w:r>
    </w:p>
    <w:p>
      <w:pPr>
        <w:pStyle w:val="Heading3"/>
      </w:pPr>
      <w:r>
        <w:t>Priorytety</w:t>
      </w:r>
    </w:p>
    <w:p>
      <w:pPr>
        <w:pStyle w:val="ListBullet"/>
      </w:pPr>
      <w:r>
        <w:t>migracja od pierwszej generacji produktów do otwartych lub kontrolowanych architektur kolejnych generacji;</w:t>
      </w:r>
    </w:p>
    <w:p>
      <w:pPr>
        <w:pStyle w:val="ListBullet"/>
      </w:pPr>
      <w:r>
        <w:t>testy ciągłości przy braku wybranego dostawcy, usługi chmurowej, danych lub komponentu;</w:t>
      </w:r>
    </w:p>
    <w:p>
      <w:pPr>
        <w:pStyle w:val="ListBullet"/>
      </w:pPr>
      <w:r>
        <w:t>ponowna klasyfikacja elementów krytycznych według aktualnego ryzyka;</w:t>
      </w:r>
    </w:p>
    <w:p>
      <w:pPr>
        <w:pStyle w:val="ListBullet"/>
      </w:pPr>
      <w:r>
        <w:t>konsolidacja infrastruktury niewykorzystanej i zamknięcie nadmiarowych programów;</w:t>
      </w:r>
    </w:p>
    <w:p>
      <w:pPr>
        <w:pStyle w:val="ListBullet"/>
      </w:pPr>
      <w:r>
        <w:t>rozwój eksportu, serwisu i aktualizacji jako źródła trwałej wartości;</w:t>
      </w:r>
    </w:p>
    <w:p>
      <w:pPr>
        <w:pStyle w:val="ListBullet"/>
      </w:pPr>
      <w:r>
        <w:t>ocena wpływu programu na produktywność, finanse publiczne, rynek pracy i bezpieczeństwo;</w:t>
      </w:r>
    </w:p>
    <w:p>
      <w:pPr>
        <w:pStyle w:val="ListBullet"/>
      </w:pPr>
      <w:r>
        <w:t>nowy przegląd horyzontu 2040 oparty na scenariuszach, nie ekstrapolacji technologii z 2026 r.</w:t>
      </w:r>
    </w:p>
    <w:p>
      <w:pPr>
        <w:pStyle w:val="Heading3"/>
      </w:pPr>
      <w:r>
        <w:t>Bramka 2035</w:t>
      </w:r>
    </w:p>
    <w:p>
      <w:r>
        <w:t>Program nie powinien być automatycznie przedłużony do 2040 r. Przegląd odpowiada, czy jego funkcje stały się trwałą zdolnością istniejących instytucji, czy nadal potrzebny jest ponadresortowy portfel. Możliwe decyzje: integracja z rutynowym systemem, zmniejszenie Biura Realizacji, nowy zakres albo zakończenie programu.</w:t>
      </w:r>
    </w:p>
    <w:p>
      <w:pPr>
        <w:pStyle w:val="Heading2"/>
      </w:pPr>
      <w:r>
        <w:t>7. Horyzont 2036–2040</w:t>
      </w:r>
    </w:p>
    <w:p>
      <w:r>
        <w:t>Horyzont 2040 jest ambicją adaptacyjną, nie obietnicą utrzymania projektów. Właściwym wynikiem może być:</w:t>
      </w:r>
    </w:p>
    <w:p>
      <w:pPr>
        <w:pStyle w:val="ListBullet"/>
      </w:pPr>
      <w:r>
        <w:t>pełne włączenie mechanizmów do procesów państwa;</w:t>
      </w:r>
    </w:p>
    <w:p>
      <w:pPr>
        <w:pStyle w:val="ListBullet"/>
      </w:pPr>
      <w:r>
        <w:t>utrzymanie małej funkcji portfolio dla technologii przełomowych;</w:t>
      </w:r>
    </w:p>
    <w:p>
      <w:pPr>
        <w:pStyle w:val="ListBullet"/>
      </w:pPr>
      <w:r>
        <w:t>zastąpienie części infrastruktury nowym modelem;</w:t>
      </w:r>
    </w:p>
    <w:p>
      <w:pPr>
        <w:pStyle w:val="ListBullet"/>
      </w:pPr>
      <w:r>
        <w:t>zakończenie programów, które nie tworzą już wartości;</w:t>
      </w:r>
    </w:p>
    <w:p>
      <w:pPr>
        <w:pStyle w:val="ListBullet"/>
      </w:pPr>
      <w:r>
        <w:t>nowa strategia wykraczająca poza obecne kategorie autonomii i AI.</w:t>
      </w:r>
    </w:p>
    <w:p>
      <w:pPr>
        <w:pStyle w:val="Heading2"/>
      </w:pPr>
      <w:r>
        <w:t>8. RACI i odpowiedzialność</w:t>
      </w:r>
    </w:p>
    <w:p>
      <w:r>
        <w:t>Poniższa macierz jest propozycją funkcjonalną. Nazwy jednostek i kompetencje wymagają potwierdzenia w aktualnym stanie prawnym.</w:t>
      </w:r>
    </w:p>
    <w:p>
      <w:r>
        <w:t xml:space="preserve">Legenda: </w:t>
      </w:r>
      <w:r>
        <w:t>A</w:t>
      </w:r>
      <w:r>
        <w:t xml:space="preserve"> — accountable, zatwierdza wynik; </w:t>
      </w:r>
      <w:r>
        <w:t>R</w:t>
      </w:r>
      <w:r>
        <w:t xml:space="preserve"> — responsible, wykonuje; </w:t>
      </w:r>
      <w:r>
        <w:t>C</w:t>
      </w:r>
      <w:r>
        <w:t xml:space="preserve"> — consulted; </w:t>
      </w:r>
      <w:r>
        <w:t>I</w:t>
      </w:r>
      <w:r>
        <w:t xml:space="preserve"> — informed.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200"/>
          </w:tcPr>
          <w:p>
            <w:r>
              <w:t>Decyzja/produkt</w:t>
            </w:r>
          </w:p>
        </w:tc>
        <w:tc>
          <w:tcPr>
            <w:tcW w:type="dxa" w:w="1200"/>
          </w:tcPr>
          <w:p>
            <w:r>
              <w:t>KPRM/Biuro</w:t>
            </w:r>
          </w:p>
        </w:tc>
        <w:tc>
          <w:tcPr>
            <w:tcW w:type="dxa" w:w="1200"/>
          </w:tcPr>
          <w:p>
            <w:r>
              <w:t>właściwy resort</w:t>
            </w:r>
          </w:p>
        </w:tc>
        <w:tc>
          <w:tcPr>
            <w:tcW w:type="dxa" w:w="1200"/>
          </w:tcPr>
          <w:p>
            <w:r>
              <w:t>użytkownik</w:t>
            </w:r>
          </w:p>
        </w:tc>
        <w:tc>
          <w:tcPr>
            <w:tcW w:type="dxa" w:w="1200"/>
          </w:tcPr>
          <w:p>
            <w:r>
              <w:t>nabywca</w:t>
            </w:r>
          </w:p>
        </w:tc>
        <w:tc>
          <w:tcPr>
            <w:tcW w:type="dxa" w:w="1200"/>
          </w:tcPr>
          <w:p>
            <w:r>
              <w:t>finanse</w:t>
            </w:r>
          </w:p>
        </w:tc>
        <w:tc>
          <w:tcPr>
            <w:tcW w:type="dxa" w:w="1200"/>
          </w:tcPr>
          <w:p>
            <w:r>
              <w:t>prawo/bezpieczeństwo</w:t>
            </w:r>
          </w:p>
        </w:tc>
        <w:tc>
          <w:tcPr>
            <w:tcW w:type="dxa" w:w="1200"/>
          </w:tcPr>
          <w:p>
            <w:r>
              <w:t>red-team</w:t>
            </w:r>
          </w:p>
        </w:tc>
      </w:tr>
      <w:tr>
        <w:tc>
          <w:tcPr>
            <w:tcW w:type="dxa" w:w="1200"/>
          </w:tcPr>
          <w:p>
            <w:r>
              <w:t>karta programu</w:t>
            </w:r>
          </w:p>
        </w:tc>
        <w:tc>
          <w:tcPr>
            <w:tcW w:type="dxa" w:w="1200"/>
          </w:tcPr>
          <w:p>
            <w:r>
              <w:t>A/R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I</w:t>
            </w:r>
          </w:p>
        </w:tc>
        <w:tc>
          <w:tcPr>
            <w:tcW w:type="dxa" w:w="1200"/>
          </w:tcPr>
          <w:p>
            <w:r>
              <w:t>I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C</w:t>
            </w:r>
          </w:p>
        </w:tc>
      </w:tr>
      <w:tr>
        <w:tc>
          <w:tcPr>
            <w:tcW w:type="dxa" w:w="1200"/>
          </w:tcPr>
          <w:p>
            <w:r>
              <w:t>wybór problemu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A</w:t>
            </w:r>
          </w:p>
        </w:tc>
        <w:tc>
          <w:tcPr>
            <w:tcW w:type="dxa" w:w="1200"/>
          </w:tcPr>
          <w:p>
            <w:r>
              <w:t>R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I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C</w:t>
            </w:r>
          </w:p>
        </w:tc>
      </w:tr>
      <w:tr>
        <w:tc>
          <w:tcPr>
            <w:tcW w:type="dxa" w:w="1200"/>
          </w:tcPr>
          <w:p>
            <w:r>
              <w:t>protokół testu</w:t>
            </w:r>
          </w:p>
        </w:tc>
        <w:tc>
          <w:tcPr>
            <w:tcW w:type="dxa" w:w="1200"/>
          </w:tcPr>
          <w:p>
            <w:r>
              <w:t>I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A</w:t>
            </w:r>
          </w:p>
        </w:tc>
        <w:tc>
          <w:tcPr>
            <w:tcW w:type="dxa" w:w="1200"/>
          </w:tcPr>
          <w:p>
            <w:r>
              <w:t>R</w:t>
            </w:r>
          </w:p>
        </w:tc>
        <w:tc>
          <w:tcPr>
            <w:tcW w:type="dxa" w:w="1200"/>
          </w:tcPr>
          <w:p>
            <w:r>
              <w:t>I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C</w:t>
            </w:r>
          </w:p>
        </w:tc>
      </w:tr>
      <w:tr>
        <w:tc>
          <w:tcPr>
            <w:tcW w:type="dxa" w:w="1200"/>
          </w:tcPr>
          <w:p>
            <w:r>
              <w:t>dopuszczenie danych</w:t>
            </w:r>
          </w:p>
        </w:tc>
        <w:tc>
          <w:tcPr>
            <w:tcW w:type="dxa" w:w="1200"/>
          </w:tcPr>
          <w:p>
            <w:r>
              <w:t>I</w:t>
            </w:r>
          </w:p>
        </w:tc>
        <w:tc>
          <w:tcPr>
            <w:tcW w:type="dxa" w:w="1200"/>
          </w:tcPr>
          <w:p>
            <w:r>
              <w:t>A/R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I</w:t>
            </w:r>
          </w:p>
        </w:tc>
        <w:tc>
          <w:tcPr>
            <w:tcW w:type="dxa" w:w="1200"/>
          </w:tcPr>
          <w:p>
            <w:r>
              <w:t>I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C</w:t>
            </w:r>
          </w:p>
        </w:tc>
      </w:tr>
      <w:tr>
        <w:tc>
          <w:tcPr>
            <w:tcW w:type="dxa" w:w="1200"/>
          </w:tcPr>
          <w:p>
            <w:r>
              <w:t>kontrakt pilotażowy</w:t>
            </w:r>
          </w:p>
        </w:tc>
        <w:tc>
          <w:tcPr>
            <w:tcW w:type="dxa" w:w="1200"/>
          </w:tcPr>
          <w:p>
            <w:r>
              <w:t>I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A/R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I</w:t>
            </w:r>
          </w:p>
        </w:tc>
      </w:tr>
      <w:tr>
        <w:tc>
          <w:tcPr>
            <w:tcW w:type="dxa" w:w="1200"/>
          </w:tcPr>
          <w:p>
            <w:r>
              <w:t>decyzja małej partii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A</w:t>
            </w:r>
          </w:p>
        </w:tc>
        <w:tc>
          <w:tcPr>
            <w:tcW w:type="dxa" w:w="1200"/>
          </w:tcPr>
          <w:p>
            <w:r>
              <w:t>R</w:t>
            </w:r>
          </w:p>
        </w:tc>
        <w:tc>
          <w:tcPr>
            <w:tcW w:type="dxa" w:w="1200"/>
          </w:tcPr>
          <w:p>
            <w:r>
              <w:t>R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C</w:t>
            </w:r>
          </w:p>
        </w:tc>
      </w:tr>
      <w:tr>
        <w:tc>
          <w:tcPr>
            <w:tcW w:type="dxa" w:w="1200"/>
          </w:tcPr>
          <w:p>
            <w:r>
              <w:t>decyzja skali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A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R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C</w:t>
            </w:r>
          </w:p>
        </w:tc>
      </w:tr>
      <w:tr>
        <w:tc>
          <w:tcPr>
            <w:tcW w:type="dxa" w:w="1200"/>
          </w:tcPr>
          <w:p>
            <w:r>
              <w:t>budżet portfela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R</w:t>
            </w:r>
          </w:p>
        </w:tc>
        <w:tc>
          <w:tcPr>
            <w:tcW w:type="dxa" w:w="1200"/>
          </w:tcPr>
          <w:p>
            <w:r>
              <w:t>I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A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C</w:t>
            </w:r>
          </w:p>
        </w:tc>
      </w:tr>
      <w:tr>
        <w:tc>
          <w:tcPr>
            <w:tcW w:type="dxa" w:w="1200"/>
          </w:tcPr>
          <w:p>
            <w:r>
              <w:t>raport publiczny</w:t>
            </w:r>
          </w:p>
        </w:tc>
        <w:tc>
          <w:tcPr>
            <w:tcW w:type="dxa" w:w="1200"/>
          </w:tcPr>
          <w:p>
            <w:r>
              <w:t>A/R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C</w:t>
            </w:r>
          </w:p>
        </w:tc>
      </w:tr>
      <w:tr>
        <w:tc>
          <w:tcPr>
            <w:tcW w:type="dxa" w:w="1200"/>
          </w:tcPr>
          <w:p>
            <w:r>
              <w:t>zamknięcie projektu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A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R</w:t>
            </w:r>
          </w:p>
        </w:tc>
        <w:tc>
          <w:tcPr>
            <w:tcW w:type="dxa" w:w="1200"/>
          </w:tcPr>
          <w:p>
            <w:r>
              <w:t>I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C</w:t>
            </w:r>
          </w:p>
        </w:tc>
      </w:tr>
    </w:tbl>
    <w:p>
      <w:r>
        <w:t xml:space="preserve">Zasada: w jednym wierszu istnieje dokładnie jedno </w:t>
      </w:r>
      <w:r>
        <w:t>A</w:t>
      </w:r>
      <w:r>
        <w:t>. Jeżeli dwa organy mają kompetencje, produkt należy rozbić albo określić formalną sekwencję decyzji.</w:t>
      </w:r>
    </w:p>
    <w:p>
      <w:pPr>
        <w:pStyle w:val="Heading2"/>
      </w:pPr>
      <w:r>
        <w:t>9. Rytm zarządczy</w:t>
      </w:r>
    </w:p>
    <w:p>
      <w:pPr>
        <w:pStyle w:val="Heading3"/>
      </w:pPr>
      <w:r>
        <w:t>Tygodniowo</w:t>
      </w:r>
    </w:p>
    <w:p>
      <w:pPr>
        <w:pStyle w:val="ListBullet"/>
      </w:pPr>
      <w:r>
        <w:t>30-minutowy przegląd wyjątków, nie prezentacji statusowych;</w:t>
      </w:r>
    </w:p>
    <w:p>
      <w:pPr>
        <w:pStyle w:val="ListBullet"/>
      </w:pPr>
      <w:r>
        <w:t>aktualizacja decyzji zaległych, blokad, ryzyk i kosztów;</w:t>
      </w:r>
    </w:p>
    <w:p>
      <w:pPr>
        <w:pStyle w:val="ListBullet"/>
      </w:pPr>
      <w:r>
        <w:t>eskalacja wyłącznie problemów wymagających innego organu.</w:t>
      </w:r>
    </w:p>
    <w:p>
      <w:pPr>
        <w:pStyle w:val="Heading3"/>
      </w:pPr>
      <w:r>
        <w:t>Miesięcznie</w:t>
      </w:r>
    </w:p>
    <w:p>
      <w:pPr>
        <w:pStyle w:val="ListBullet"/>
      </w:pPr>
      <w:r>
        <w:t>przegląd portfela przez właściciela politycznego;</w:t>
      </w:r>
    </w:p>
    <w:p>
      <w:pPr>
        <w:pStyle w:val="ListBullet"/>
      </w:pPr>
      <w:r>
        <w:t>decyzje „kontynuuj–zmień–zamknij” dla projektów poza tolerancją;</w:t>
      </w:r>
    </w:p>
    <w:p>
      <w:pPr>
        <w:pStyle w:val="ListBullet"/>
      </w:pPr>
      <w:r>
        <w:t>analiza kosztu, harmonogramu, jakości dowodu i zdolności użytkownika;</w:t>
      </w:r>
    </w:p>
    <w:p>
      <w:pPr>
        <w:pStyle w:val="ListBullet"/>
      </w:pPr>
      <w:r>
        <w:t>publikacja ograniczonego dashboardu agregatów.</w:t>
      </w:r>
    </w:p>
    <w:p>
      <w:pPr>
        <w:pStyle w:val="Heading3"/>
      </w:pPr>
      <w:r>
        <w:t>Kwartalnie</w:t>
      </w:r>
    </w:p>
    <w:p>
      <w:pPr>
        <w:pStyle w:val="ListBullet"/>
      </w:pPr>
      <w:r>
        <w:t>komitet sterujący G0/G1/G2/G3;</w:t>
      </w:r>
    </w:p>
    <w:p>
      <w:pPr>
        <w:pStyle w:val="ListBullet"/>
      </w:pPr>
      <w:r>
        <w:t>red-team założeń i konfliktów interesów;</w:t>
      </w:r>
    </w:p>
    <w:p>
      <w:pPr>
        <w:pStyle w:val="ListBullet"/>
      </w:pPr>
      <w:r>
        <w:t>przegląd zmian prawa, finansowania i instrumentów UE/NATO;</w:t>
      </w:r>
    </w:p>
    <w:p>
      <w:pPr>
        <w:pStyle w:val="ListBullet"/>
      </w:pPr>
      <w:r>
        <w:t>przegląd danych o rynku pracy i produkcji;</w:t>
      </w:r>
    </w:p>
    <w:p>
      <w:pPr>
        <w:pStyle w:val="ListBullet"/>
      </w:pPr>
      <w:r>
        <w:t>aktualizacja rejestru luk i ryzyk.</w:t>
      </w:r>
    </w:p>
    <w:p>
      <w:pPr>
        <w:pStyle w:val="Heading3"/>
      </w:pPr>
      <w:r>
        <w:t>Rocznie</w:t>
      </w:r>
    </w:p>
    <w:p>
      <w:pPr>
        <w:pStyle w:val="ListBullet"/>
      </w:pPr>
      <w:r>
        <w:t>raport dla Rady Ministrów;</w:t>
      </w:r>
    </w:p>
    <w:p>
      <w:pPr>
        <w:pStyle w:val="ListBullet"/>
      </w:pPr>
      <w:r>
        <w:t>strategiczny przegląd z Prezydentem/BBN w granicach kompetencji;</w:t>
      </w:r>
    </w:p>
    <w:p>
      <w:pPr>
        <w:pStyle w:val="ListBullet"/>
      </w:pPr>
      <w:r>
        <w:t>publiczna księga wyników i projektów zamkniętych;</w:t>
      </w:r>
    </w:p>
    <w:p>
      <w:pPr>
        <w:pStyle w:val="ListBullet"/>
      </w:pPr>
      <w:r>
        <w:t>ponowna walidacja źródeł, baz i targetów;</w:t>
      </w:r>
    </w:p>
    <w:p>
      <w:pPr>
        <w:pStyle w:val="ListBullet"/>
      </w:pPr>
      <w:r>
        <w:t>decyzja o budżecie i portfelu kolejnego roku.</w:t>
      </w:r>
    </w:p>
    <w:p>
      <w:pPr>
        <w:pStyle w:val="Heading2"/>
      </w:pPr>
      <w:r>
        <w:t>10. Dashboard i słownik KPI</w:t>
      </w:r>
    </w:p>
    <w:p>
      <w:pPr>
        <w:pStyle w:val="Heading3"/>
      </w:pPr>
      <w:r>
        <w:t>Reguły miernika</w:t>
      </w:r>
    </w:p>
    <w:p>
      <w:r>
        <w:t>Każdy KPI ma identyfikator, definicję, licznik, mianownik, jednostkę, bazę, cel, tolerancję, właściciela danych, częstotliwość, datę ważności i koszt pomiaru. Zmiana definicji tworzy nową wersję; nie przepisuje historii.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</w:tcPr>
          <w:p>
            <w:r>
              <w:t>ID</w:t>
            </w:r>
          </w:p>
        </w:tc>
        <w:tc>
          <w:tcPr>
            <w:tcW w:type="dxa" w:w="2400"/>
          </w:tcPr>
          <w:p>
            <w:r>
              <w:t>KPI</w:t>
            </w:r>
          </w:p>
        </w:tc>
        <w:tc>
          <w:tcPr>
            <w:tcW w:type="dxa" w:w="2400"/>
          </w:tcPr>
          <w:p>
            <w:r>
              <w:t>Definicja</w:t>
            </w:r>
          </w:p>
        </w:tc>
        <w:tc>
          <w:tcPr>
            <w:tcW w:type="dxa" w:w="2400"/>
          </w:tcPr>
          <w:p>
            <w:r>
              <w:t>Antywzorzec</w:t>
            </w:r>
          </w:p>
        </w:tc>
      </w:tr>
      <w:tr>
        <w:tc>
          <w:tcPr>
            <w:tcW w:type="dxa" w:w="2400"/>
          </w:tcPr>
          <w:p>
            <w:r>
              <w:t>KPI-01</w:t>
            </w:r>
          </w:p>
        </w:tc>
        <w:tc>
          <w:tcPr>
            <w:tcW w:type="dxa" w:w="2400"/>
          </w:tcPr>
          <w:p>
            <w:r>
              <w:t>czas do B1</w:t>
            </w:r>
          </w:p>
        </w:tc>
        <w:tc>
          <w:tcPr>
            <w:tcW w:type="dxa" w:w="2400"/>
          </w:tcPr>
          <w:p>
            <w:r>
              <w:t>mediana dni kalendarzowych od zaakceptowanego B0</w:t>
            </w:r>
          </w:p>
        </w:tc>
        <w:tc>
          <w:tcPr>
            <w:tcW w:type="dxa" w:w="2400"/>
          </w:tcPr>
          <w:p>
            <w:r>
              <w:t>liczenie od dowolnej późniejszej daty</w:t>
            </w:r>
          </w:p>
        </w:tc>
      </w:tr>
      <w:tr>
        <w:tc>
          <w:tcPr>
            <w:tcW w:type="dxa" w:w="2400"/>
          </w:tcPr>
          <w:p>
            <w:r>
              <w:t>KPI-02</w:t>
            </w:r>
          </w:p>
        </w:tc>
        <w:tc>
          <w:tcPr>
            <w:tcW w:type="dxa" w:w="2400"/>
          </w:tcPr>
          <w:p>
            <w:r>
              <w:t>czas B1→B3</w:t>
            </w:r>
          </w:p>
        </w:tc>
        <w:tc>
          <w:tcPr>
            <w:tcW w:type="dxa" w:w="2400"/>
          </w:tcPr>
          <w:p>
            <w:r>
              <w:t>mediana do zakończonego testu użytkownika</w:t>
            </w:r>
          </w:p>
        </w:tc>
        <w:tc>
          <w:tcPr>
            <w:tcW w:type="dxa" w:w="2400"/>
          </w:tcPr>
          <w:p>
            <w:r>
              <w:t>uznanie demonstracji dostawcy za test</w:t>
            </w:r>
          </w:p>
        </w:tc>
      </w:tr>
      <w:tr>
        <w:tc>
          <w:tcPr>
            <w:tcW w:type="dxa" w:w="2400"/>
          </w:tcPr>
          <w:p>
            <w:r>
              <w:t>KPI-03</w:t>
            </w:r>
          </w:p>
        </w:tc>
        <w:tc>
          <w:tcPr>
            <w:tcW w:type="dxa" w:w="2400"/>
          </w:tcPr>
          <w:p>
            <w:r>
              <w:t>konwersja do małej partii</w:t>
            </w:r>
          </w:p>
        </w:tc>
        <w:tc>
          <w:tcPr>
            <w:tcW w:type="dxa" w:w="2400"/>
          </w:tcPr>
          <w:p>
            <w:r>
              <w:t>B4 / projekty zakończone w B3</w:t>
            </w:r>
          </w:p>
        </w:tc>
        <w:tc>
          <w:tcPr>
            <w:tcW w:type="dxa" w:w="2400"/>
          </w:tcPr>
          <w:p>
            <w:r>
              <w:t>maksymalizacja wskaźnika bez zamykania słabych projektów</w:t>
            </w:r>
          </w:p>
        </w:tc>
      </w:tr>
      <w:tr>
        <w:tc>
          <w:tcPr>
            <w:tcW w:type="dxa" w:w="2400"/>
          </w:tcPr>
          <w:p>
            <w:r>
              <w:t>KPI-04</w:t>
            </w:r>
          </w:p>
        </w:tc>
        <w:tc>
          <w:tcPr>
            <w:tcW w:type="dxa" w:w="2400"/>
          </w:tcPr>
          <w:p>
            <w:r>
              <w:t>dyscyplina zamknięć</w:t>
            </w:r>
          </w:p>
        </w:tc>
        <w:tc>
          <w:tcPr>
            <w:tcW w:type="dxa" w:w="2400"/>
          </w:tcPr>
          <w:p>
            <w:r>
              <w:t>projekty zamknięte z powodem / wszystkie decyzje końcowe</w:t>
            </w:r>
          </w:p>
        </w:tc>
        <w:tc>
          <w:tcPr>
            <w:tcW w:type="dxa" w:w="2400"/>
          </w:tcPr>
          <w:p>
            <w:r>
              <w:t>traktowanie zera zamknięć jako sukcesu</w:t>
            </w:r>
          </w:p>
        </w:tc>
      </w:tr>
      <w:tr>
        <w:tc>
          <w:tcPr>
            <w:tcW w:type="dxa" w:w="2400"/>
          </w:tcPr>
          <w:p>
            <w:r>
              <w:t>KPI-05</w:t>
            </w:r>
          </w:p>
        </w:tc>
        <w:tc>
          <w:tcPr>
            <w:tcW w:type="dxa" w:w="2400"/>
          </w:tcPr>
          <w:p>
            <w:r>
              <w:t>koszt dowodu</w:t>
            </w:r>
          </w:p>
        </w:tc>
        <w:tc>
          <w:tcPr>
            <w:tcW w:type="dxa" w:w="2400"/>
          </w:tcPr>
          <w:p>
            <w:r>
              <w:t>koszt do B3 / potencjalna wartość zobowiązania</w:t>
            </w:r>
          </w:p>
        </w:tc>
        <w:tc>
          <w:tcPr>
            <w:tcW w:type="dxa" w:w="2400"/>
          </w:tcPr>
          <w:p>
            <w:r>
              <w:t>brak wartości potencjalnego zobowiązania</w:t>
            </w:r>
          </w:p>
        </w:tc>
      </w:tr>
      <w:tr>
        <w:tc>
          <w:tcPr>
            <w:tcW w:type="dxa" w:w="2400"/>
          </w:tcPr>
          <w:p>
            <w:r>
              <w:t>KPI-06</w:t>
            </w:r>
          </w:p>
        </w:tc>
        <w:tc>
          <w:tcPr>
            <w:tcW w:type="dxa" w:w="2400"/>
          </w:tcPr>
          <w:p>
            <w:r>
              <w:t>testowana substytucja</w:t>
            </w:r>
          </w:p>
        </w:tc>
        <w:tc>
          <w:tcPr>
            <w:tcW w:type="dxa" w:w="2400"/>
          </w:tcPr>
          <w:p>
            <w:r>
              <w:t>krytyczne elementy z zaliczoną zmianą / elementy w zakresie</w:t>
            </w:r>
          </w:p>
        </w:tc>
        <w:tc>
          <w:tcPr>
            <w:tcW w:type="dxa" w:w="2400"/>
          </w:tcPr>
          <w:p>
            <w:r>
              <w:t>deklaracja alternatywy bez testu</w:t>
            </w:r>
          </w:p>
        </w:tc>
      </w:tr>
      <w:tr>
        <w:tc>
          <w:tcPr>
            <w:tcW w:type="dxa" w:w="2400"/>
          </w:tcPr>
          <w:p>
            <w:r>
              <w:t>KPI-07</w:t>
            </w:r>
          </w:p>
        </w:tc>
        <w:tc>
          <w:tcPr>
            <w:tcW w:type="dxa" w:w="2400"/>
          </w:tcPr>
          <w:p>
            <w:r>
              <w:t>czas serwisu</w:t>
            </w:r>
          </w:p>
        </w:tc>
        <w:tc>
          <w:tcPr>
            <w:tcW w:type="dxa" w:w="2400"/>
          </w:tcPr>
          <w:p>
            <w:r>
              <w:t>mediana przywrócenia według klasy</w:t>
            </w:r>
          </w:p>
        </w:tc>
        <w:tc>
          <w:tcPr>
            <w:tcW w:type="dxa" w:w="2400"/>
          </w:tcPr>
          <w:p>
            <w:r>
              <w:t>mieszanie klas i usuwanie trudnych przypadków</w:t>
            </w:r>
          </w:p>
        </w:tc>
      </w:tr>
      <w:tr>
        <w:tc>
          <w:tcPr>
            <w:tcW w:type="dxa" w:w="2400"/>
          </w:tcPr>
          <w:p>
            <w:r>
              <w:t>KPI-08</w:t>
            </w:r>
          </w:p>
        </w:tc>
        <w:tc>
          <w:tcPr>
            <w:tcW w:type="dxa" w:w="2400"/>
          </w:tcPr>
          <w:p>
            <w:r>
              <w:t>kontrola konfiguracji</w:t>
            </w:r>
          </w:p>
        </w:tc>
        <w:tc>
          <w:tcPr>
            <w:tcW w:type="dxa" w:w="2400"/>
          </w:tcPr>
          <w:p>
            <w:r>
              <w:t>systemy z pełnym śladem wersji / systemy w zakresie</w:t>
            </w:r>
          </w:p>
        </w:tc>
        <w:tc>
          <w:tcPr>
            <w:tcW w:type="dxa" w:w="2400"/>
          </w:tcPr>
          <w:p>
            <w:r>
              <w:t>audyt tylko dokumentacji zakupowej</w:t>
            </w:r>
          </w:p>
        </w:tc>
      </w:tr>
      <w:tr>
        <w:tc>
          <w:tcPr>
            <w:tcW w:type="dxa" w:w="2400"/>
          </w:tcPr>
          <w:p>
            <w:r>
              <w:t>KPI-09</w:t>
            </w:r>
          </w:p>
        </w:tc>
        <w:tc>
          <w:tcPr>
            <w:tcW w:type="dxa" w:w="2400"/>
          </w:tcPr>
          <w:p>
            <w:r>
              <w:t>odpowiedzialne AI</w:t>
            </w:r>
          </w:p>
        </w:tc>
        <w:tc>
          <w:tcPr>
            <w:tcW w:type="dxa" w:w="2400"/>
          </w:tcPr>
          <w:p>
            <w:r>
              <w:t>modele z kartą, testem i monitoringiem / modele w zakresie</w:t>
            </w:r>
          </w:p>
        </w:tc>
        <w:tc>
          <w:tcPr>
            <w:tcW w:type="dxa" w:w="2400"/>
          </w:tcPr>
          <w:p>
            <w:r>
              <w:t>deklaracja zgodności bez dowodów</w:t>
            </w:r>
          </w:p>
        </w:tc>
      </w:tr>
      <w:tr>
        <w:tc>
          <w:tcPr>
            <w:tcW w:type="dxa" w:w="2400"/>
          </w:tcPr>
          <w:p>
            <w:r>
              <w:t>KPI-10</w:t>
            </w:r>
          </w:p>
        </w:tc>
        <w:tc>
          <w:tcPr>
            <w:tcW w:type="dxa" w:w="2400"/>
          </w:tcPr>
          <w:p>
            <w:r>
              <w:t>retencja kadr</w:t>
            </w:r>
          </w:p>
        </w:tc>
        <w:tc>
          <w:tcPr>
            <w:tcW w:type="dxa" w:w="2400"/>
          </w:tcPr>
          <w:p>
            <w:r>
              <w:t>osoby w docelowej roli po 12/24 miesiącach / absolwenci</w:t>
            </w:r>
          </w:p>
        </w:tc>
        <w:tc>
          <w:tcPr>
            <w:tcW w:type="dxa" w:w="2400"/>
          </w:tcPr>
          <w:p>
            <w:r>
              <w:t>liczba uczestników szkolenia</w:t>
            </w:r>
          </w:p>
        </w:tc>
      </w:tr>
      <w:tr>
        <w:tc>
          <w:tcPr>
            <w:tcW w:type="dxa" w:w="2400"/>
          </w:tcPr>
          <w:p>
            <w:r>
              <w:t>KPI-11</w:t>
            </w:r>
          </w:p>
        </w:tc>
        <w:tc>
          <w:tcPr>
            <w:tcW w:type="dxa" w:w="2400"/>
          </w:tcPr>
          <w:p>
            <w:r>
              <w:t>popyt po pilotażu</w:t>
            </w:r>
          </w:p>
        </w:tc>
        <w:tc>
          <w:tcPr>
            <w:tcW w:type="dxa" w:w="2400"/>
          </w:tcPr>
          <w:p>
            <w:r>
              <w:t>pilotaże kontynuowane z budżetu właściciela / zakończone</w:t>
            </w:r>
          </w:p>
        </w:tc>
        <w:tc>
          <w:tcPr>
            <w:tcW w:type="dxa" w:w="2400"/>
          </w:tcPr>
          <w:p>
            <w:r>
              <w:t>kontynuacja wyłącznie kolejną dotacją</w:t>
            </w:r>
          </w:p>
        </w:tc>
      </w:tr>
      <w:tr>
        <w:tc>
          <w:tcPr>
            <w:tcW w:type="dxa" w:w="2400"/>
          </w:tcPr>
          <w:p>
            <w:r>
              <w:t>KPI-12</w:t>
            </w:r>
          </w:p>
        </w:tc>
        <w:tc>
          <w:tcPr>
            <w:tcW w:type="dxa" w:w="2400"/>
          </w:tcPr>
          <w:p>
            <w:r>
              <w:t>wykonany eksport</w:t>
            </w:r>
          </w:p>
        </w:tc>
        <w:tc>
          <w:tcPr>
            <w:tcW w:type="dxa" w:w="2400"/>
          </w:tcPr>
          <w:p>
            <w:r>
              <w:t>przychód, dostawy i serwis na rynkach zgodnych</w:t>
            </w:r>
          </w:p>
        </w:tc>
        <w:tc>
          <w:tcPr>
            <w:tcW w:type="dxa" w:w="2400"/>
          </w:tcPr>
          <w:p>
            <w:r>
              <w:t>liczba memorandum i konferencji</w:t>
            </w:r>
          </w:p>
        </w:tc>
      </w:tr>
    </w:tbl>
    <w:p>
      <w:pPr>
        <w:pStyle w:val="Heading3"/>
      </w:pPr>
      <w:r>
        <w:t>Dashboard publiczny</w:t>
      </w:r>
    </w:p>
    <w:p>
      <w:r>
        <w:t>Publikuje definicje, zagregowane czasy, liczby projektów według bramki, udział zamknięć, wykorzystanie infrastruktury, programy kompetencyjne i zatwierdzone informacje finansowe. Nie publikuje szczegółowych luk, wolumenów, podatności, zapasów, lokalizacji ani wyników umożliwiających odtworzenie metody przeciwdziałania.</w:t>
      </w:r>
    </w:p>
    <w:p>
      <w:pPr>
        <w:pStyle w:val="Heading2"/>
      </w:pPr>
      <w:r>
        <w:t>11. Zarządzanie zależnościami</w:t>
      </w:r>
    </w:p>
    <w:p>
      <w:pPr>
        <w:pStyle w:val="Heading3"/>
      </w:pPr>
      <w:r>
        <w:t>Zależności krytyczne</w:t>
      </w:r>
    </w:p>
    <w:p>
      <w:pPr>
        <w:pStyle w:val="ListBullet"/>
      </w:pPr>
      <w:r>
        <w:t>WP03 nie skaluje bez WP02, WP05, WP06, WP07 i WP11;</w:t>
      </w:r>
    </w:p>
    <w:p>
      <w:pPr>
        <w:pStyle w:val="ListBullet"/>
      </w:pPr>
      <w:r>
        <w:t>WP04 nie uruchamia danych bez właściciela, podstawy prawnej i cyber;</w:t>
      </w:r>
    </w:p>
    <w:p>
      <w:pPr>
        <w:pStyle w:val="ListBullet"/>
      </w:pPr>
      <w:r>
        <w:t>WP06 nie uzasadnia fabryki bez popytu z WP02/WP03 i finansowania WP10;</w:t>
      </w:r>
    </w:p>
    <w:p>
      <w:pPr>
        <w:pStyle w:val="ListBullet"/>
      </w:pPr>
      <w:r>
        <w:t>WP08 nie skaluje kierunków bez popytu kompetencyjnego z WP03/WP06;</w:t>
      </w:r>
    </w:p>
    <w:p>
      <w:pPr>
        <w:pStyle w:val="ListBullet"/>
      </w:pPr>
      <w:r>
        <w:t>WP09 nie podpisuje partnerstwa bez WP05/WP11 i praw do cyklu życia;</w:t>
      </w:r>
    </w:p>
    <w:p>
      <w:pPr>
        <w:pStyle w:val="ListBullet"/>
      </w:pPr>
      <w:r>
        <w:t>WP12 nie ogłasza wpływu gospodarczego bez metodologii WP10.</w:t>
      </w:r>
    </w:p>
    <w:p>
      <w:pPr>
        <w:pStyle w:val="Heading3"/>
      </w:pPr>
      <w:r>
        <w:t>Reguła eskalacji</w:t>
      </w:r>
    </w:p>
    <w:p>
      <w:r>
        <w:t>Blokada jest eskalowana, gdy właściciel nie może jej usunąć w swoich kompetencjach, wpływa na bramkę albo przekracza tolerancję czasu/kosztu/ryzyka. Eskalacja zawiera trzy elementy: decyzję potrzebną, warianty oraz skutek braku decyzji. Nie zawiera wielostronicowego raportu bez rekomendacji.</w:t>
      </w:r>
    </w:p>
    <w:p>
      <w:pPr>
        <w:pStyle w:val="Heading2"/>
      </w:pPr>
      <w:r>
        <w:t>12. Rejestr ryzyk wykonawczych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</w:tcPr>
          <w:p>
            <w:r>
              <w:t>Ryzyko</w:t>
            </w:r>
          </w:p>
        </w:tc>
        <w:tc>
          <w:tcPr>
            <w:tcW w:type="dxa" w:w="2400"/>
          </w:tcPr>
          <w:p>
            <w:r>
              <w:t>Wczesny sygnał</w:t>
            </w:r>
          </w:p>
        </w:tc>
        <w:tc>
          <w:tcPr>
            <w:tcW w:type="dxa" w:w="2400"/>
          </w:tcPr>
          <w:p>
            <w:r>
              <w:t>Odpowiedź</w:t>
            </w:r>
          </w:p>
        </w:tc>
        <w:tc>
          <w:tcPr>
            <w:tcW w:type="dxa" w:w="2400"/>
          </w:tcPr>
          <w:p>
            <w:r>
              <w:t>Stop-rule</w:t>
            </w:r>
          </w:p>
        </w:tc>
      </w:tr>
      <w:tr>
        <w:tc>
          <w:tcPr>
            <w:tcW w:type="dxa" w:w="2400"/>
          </w:tcPr>
          <w:p>
            <w:r>
              <w:t>program staje się grantem</w:t>
            </w:r>
          </w:p>
        </w:tc>
        <w:tc>
          <w:tcPr>
            <w:tcW w:type="dxa" w:w="2400"/>
          </w:tcPr>
          <w:p>
            <w:r>
              <w:t>rośnie liczba naborów bez testów użytkownika</w:t>
            </w:r>
          </w:p>
        </w:tc>
        <w:tc>
          <w:tcPr>
            <w:tcW w:type="dxa" w:w="2400"/>
          </w:tcPr>
          <w:p>
            <w:r>
              <w:t>powiązać wypłatę z bramkami</w:t>
            </w:r>
          </w:p>
        </w:tc>
        <w:tc>
          <w:tcPr>
            <w:tcW w:type="dxa" w:w="2400"/>
          </w:tcPr>
          <w:p>
            <w:r>
              <w:t>brak użytkownika kończy projekt</w:t>
            </w:r>
          </w:p>
        </w:tc>
      </w:tr>
      <w:tr>
        <w:tc>
          <w:tcPr>
            <w:tcW w:type="dxa" w:w="2400"/>
          </w:tcPr>
          <w:p>
            <w:r>
              <w:t>konflikt kompetencji</w:t>
            </w:r>
          </w:p>
        </w:tc>
        <w:tc>
          <w:tcPr>
            <w:tcW w:type="dxa" w:w="2400"/>
          </w:tcPr>
          <w:p>
            <w:r>
              <w:t>dwa A w RACI, decyzje wracają</w:t>
            </w:r>
          </w:p>
        </w:tc>
        <w:tc>
          <w:tcPr>
            <w:tcW w:type="dxa" w:w="2400"/>
          </w:tcPr>
          <w:p>
            <w:r>
              <w:t>rozbić produkt i eskalować</w:t>
            </w:r>
          </w:p>
        </w:tc>
        <w:tc>
          <w:tcPr>
            <w:tcW w:type="dxa" w:w="2400"/>
          </w:tcPr>
          <w:p>
            <w:r>
              <w:t>brak właściciela wyłącza działanie</w:t>
            </w:r>
          </w:p>
        </w:tc>
      </w:tr>
      <w:tr>
        <w:tc>
          <w:tcPr>
            <w:tcW w:type="dxa" w:w="2400"/>
          </w:tcPr>
          <w:p>
            <w:r>
              <w:t>przeskalowanie</w:t>
            </w:r>
          </w:p>
        </w:tc>
        <w:tc>
          <w:tcPr>
            <w:tcW w:type="dxa" w:w="2400"/>
          </w:tcPr>
          <w:p>
            <w:r>
              <w:t>duże CAPEX przed bazą i popytem</w:t>
            </w:r>
          </w:p>
        </w:tc>
        <w:tc>
          <w:tcPr>
            <w:tcW w:type="dxa" w:w="2400"/>
          </w:tcPr>
          <w:p>
            <w:r>
              <w:t>modułowy pilotaż i opcje</w:t>
            </w:r>
          </w:p>
        </w:tc>
        <w:tc>
          <w:tcPr>
            <w:tcW w:type="dxa" w:w="2400"/>
          </w:tcPr>
          <w:p>
            <w:r>
              <w:t>brak dowodu popytu zatrzymuje inwestycję</w:t>
            </w:r>
          </w:p>
        </w:tc>
      </w:tr>
      <w:tr>
        <w:tc>
          <w:tcPr>
            <w:tcW w:type="dxa" w:w="2400"/>
          </w:tcPr>
          <w:p>
            <w:r>
              <w:t>tajność blokuje rynek</w:t>
            </w:r>
          </w:p>
        </w:tc>
        <w:tc>
          <w:tcPr>
            <w:tcW w:type="dxa" w:w="2400"/>
          </w:tcPr>
          <w:p>
            <w:r>
              <w:t>problem nie ma jawnej części</w:t>
            </w:r>
          </w:p>
        </w:tc>
        <w:tc>
          <w:tcPr>
            <w:tcW w:type="dxa" w:w="2400"/>
          </w:tcPr>
          <w:p>
            <w:r>
              <w:t>abstrakcja i kontrolowany pokój danych</w:t>
            </w:r>
          </w:p>
        </w:tc>
        <w:tc>
          <w:tcPr>
            <w:tcW w:type="dxa" w:w="2400"/>
          </w:tcPr>
          <w:p>
            <w:r>
              <w:t>brak legalnego dostępu zatrzymuje test</w:t>
            </w:r>
          </w:p>
        </w:tc>
      </w:tr>
      <w:tr>
        <w:tc>
          <w:tcPr>
            <w:tcW w:type="dxa" w:w="2400"/>
          </w:tcPr>
          <w:p>
            <w:r>
              <w:t>jawność zwiększa ryzyko</w:t>
            </w:r>
          </w:p>
        </w:tc>
        <w:tc>
          <w:tcPr>
            <w:tcW w:type="dxa" w:w="2400"/>
          </w:tcPr>
          <w:p>
            <w:r>
              <w:t>dashboard ujawnia szczegóły</w:t>
            </w:r>
          </w:p>
        </w:tc>
        <w:tc>
          <w:tcPr>
            <w:tcW w:type="dxa" w:w="2400"/>
          </w:tcPr>
          <w:p>
            <w:r>
              <w:t>sanitizacja i właściciel informacji</w:t>
            </w:r>
          </w:p>
        </w:tc>
        <w:tc>
          <w:tcPr>
            <w:tcW w:type="dxa" w:w="2400"/>
          </w:tcPr>
          <w:p>
            <w:r>
              <w:t>negatywna ocena bezpieczeństwa blokuje publikację</w:t>
            </w:r>
          </w:p>
        </w:tc>
      </w:tr>
      <w:tr>
        <w:tc>
          <w:tcPr>
            <w:tcW w:type="dxa" w:w="2400"/>
          </w:tcPr>
          <w:p>
            <w:r>
              <w:t>vendor lock-in</w:t>
            </w:r>
          </w:p>
        </w:tc>
        <w:tc>
          <w:tcPr>
            <w:tcW w:type="dxa" w:w="2400"/>
          </w:tcPr>
          <w:p>
            <w:r>
              <w:t>brak praw i alternatyw</w:t>
            </w:r>
          </w:p>
        </w:tc>
        <w:tc>
          <w:tcPr>
            <w:tcW w:type="dxa" w:w="2400"/>
          </w:tcPr>
          <w:p>
            <w:r>
              <w:t>interfejsy, escrow, test migracji</w:t>
            </w:r>
          </w:p>
        </w:tc>
        <w:tc>
          <w:tcPr>
            <w:tcW w:type="dxa" w:w="2400"/>
          </w:tcPr>
          <w:p>
            <w:r>
              <w:t>nieakceptowalny koszt wyjścia blokuje skalę</w:t>
            </w:r>
          </w:p>
        </w:tc>
      </w:tr>
      <w:tr>
        <w:tc>
          <w:tcPr>
            <w:tcW w:type="dxa" w:w="2400"/>
          </w:tcPr>
          <w:p>
            <w:r>
              <w:t>pozorna lokalizacja</w:t>
            </w:r>
          </w:p>
        </w:tc>
        <w:tc>
          <w:tcPr>
            <w:tcW w:type="dxa" w:w="2400"/>
          </w:tcPr>
          <w:p>
            <w:r>
              <w:t>montaż bez praw/komponentów/serwisu</w:t>
            </w:r>
          </w:p>
        </w:tc>
        <w:tc>
          <w:tcPr>
            <w:tcW w:type="dxa" w:w="2400"/>
          </w:tcPr>
          <w:p>
            <w:r>
              <w:t>rachunek wartości i zależności</w:t>
            </w:r>
          </w:p>
        </w:tc>
        <w:tc>
          <w:tcPr>
            <w:tcW w:type="dxa" w:w="2400"/>
          </w:tcPr>
          <w:p>
            <w:r>
              <w:t>brak kontroli cyklu życia zmienia klasyfikację</w:t>
            </w:r>
          </w:p>
        </w:tc>
      </w:tr>
      <w:tr>
        <w:tc>
          <w:tcPr>
            <w:tcW w:type="dxa" w:w="2400"/>
          </w:tcPr>
          <w:p>
            <w:r>
              <w:t>drenaż kadr</w:t>
            </w:r>
          </w:p>
        </w:tc>
        <w:tc>
          <w:tcPr>
            <w:tcW w:type="dxa" w:w="2400"/>
          </w:tcPr>
          <w:p>
            <w:r>
              <w:t>wysoka rekrutacja, niska retencja</w:t>
            </w:r>
          </w:p>
        </w:tc>
        <w:tc>
          <w:tcPr>
            <w:tcW w:type="dxa" w:w="2400"/>
          </w:tcPr>
          <w:p>
            <w:r>
              <w:t>projekty, płace, mobilność i ścieżka kariery</w:t>
            </w:r>
          </w:p>
        </w:tc>
        <w:tc>
          <w:tcPr>
            <w:tcW w:type="dxa" w:w="2400"/>
          </w:tcPr>
          <w:p>
            <w:r>
              <w:t>program bez zatrudnienia nie skaluje się</w:t>
            </w:r>
          </w:p>
        </w:tc>
      </w:tr>
      <w:tr>
        <w:tc>
          <w:tcPr>
            <w:tcW w:type="dxa" w:w="2400"/>
          </w:tcPr>
          <w:p>
            <w:r>
              <w:t>podwójne finansowanie</w:t>
            </w:r>
          </w:p>
        </w:tc>
        <w:tc>
          <w:tcPr>
            <w:tcW w:type="dxa" w:w="2400"/>
          </w:tcPr>
          <w:p>
            <w:r>
              <w:t>ten sam koszt w wielu wnioskach</w:t>
            </w:r>
          </w:p>
        </w:tc>
        <w:tc>
          <w:tcPr>
            <w:tcW w:type="dxa" w:w="2400"/>
          </w:tcPr>
          <w:p>
            <w:r>
              <w:t>unikalny identyfikator kosztu</w:t>
            </w:r>
          </w:p>
        </w:tc>
        <w:tc>
          <w:tcPr>
            <w:tcW w:type="dxa" w:w="2400"/>
          </w:tcPr>
          <w:p>
            <w:r>
              <w:t>nierozwiązana kolizja blokuje płatność</w:t>
            </w:r>
          </w:p>
        </w:tc>
      </w:tr>
      <w:tr>
        <w:tc>
          <w:tcPr>
            <w:tcW w:type="dxa" w:w="2400"/>
          </w:tcPr>
          <w:p>
            <w:r>
              <w:t>brak aktualizacji</w:t>
            </w:r>
          </w:p>
        </w:tc>
        <w:tc>
          <w:tcPr>
            <w:tcW w:type="dxa" w:w="2400"/>
          </w:tcPr>
          <w:p>
            <w:r>
              <w:t>produkt przechodzi test, ale nie ma maintenance</w:t>
            </w:r>
          </w:p>
        </w:tc>
        <w:tc>
          <w:tcPr>
            <w:tcW w:type="dxa" w:w="2400"/>
          </w:tcPr>
          <w:p>
            <w:r>
              <w:t>koszt cyklu życia i SLA</w:t>
            </w:r>
          </w:p>
        </w:tc>
        <w:tc>
          <w:tcPr>
            <w:tcW w:type="dxa" w:w="2400"/>
          </w:tcPr>
          <w:p>
            <w:r>
              <w:t>brak planu utrzymania blokuje B5</w:t>
            </w:r>
          </w:p>
        </w:tc>
      </w:tr>
    </w:tbl>
    <w:p>
      <w:pPr>
        <w:pStyle w:val="Heading2"/>
      </w:pPr>
      <w:r>
        <w:t>13. Dane wymagane do zamrożenia harmonogramu i budżetu</w:t>
      </w:r>
    </w:p>
    <w:p>
      <w:pPr>
        <w:pStyle w:val="Heading3"/>
      </w:pPr>
      <w:r>
        <w:t>Jawne lub możliwe do publikacji w agregacie</w:t>
      </w:r>
    </w:p>
    <w:p>
      <w:pPr>
        <w:pStyle w:val="ListBullet"/>
      </w:pPr>
      <w:r>
        <w:t>liczba i czas projektów według bramek;</w:t>
      </w:r>
    </w:p>
    <w:p>
      <w:pPr>
        <w:pStyle w:val="ListBullet"/>
      </w:pPr>
      <w:r>
        <w:t>wykorzystanie laboratoriów i środowisk testowych;</w:t>
      </w:r>
    </w:p>
    <w:p>
      <w:pPr>
        <w:pStyle w:val="ListBullet"/>
      </w:pPr>
      <w:r>
        <w:t>dostępne programy finansowania i zobowiązania;</w:t>
      </w:r>
    </w:p>
    <w:p>
      <w:pPr>
        <w:pStyle w:val="ListBullet"/>
      </w:pPr>
      <w:r>
        <w:t>kompetencje, wynagrodzenia, liczba prowadzących i retencja;</w:t>
      </w:r>
    </w:p>
    <w:p>
      <w:pPr>
        <w:pStyle w:val="ListBullet"/>
      </w:pPr>
      <w:r>
        <w:t>import/eksport według bezpiecznej klasyfikacji;</w:t>
      </w:r>
    </w:p>
    <w:p>
      <w:pPr>
        <w:pStyle w:val="ListBullet"/>
      </w:pPr>
      <w:r>
        <w:t>koszty pilotaży regionalnych i popyt po pilotażu;</w:t>
      </w:r>
    </w:p>
    <w:p>
      <w:pPr>
        <w:pStyle w:val="ListBullet"/>
      </w:pPr>
      <w:r>
        <w:t>udział MŚP i czas płatności;</w:t>
      </w:r>
    </w:p>
    <w:p>
      <w:pPr>
        <w:pStyle w:val="ListBullet"/>
      </w:pPr>
      <w:r>
        <w:t>wyniki kontroli konfliktów interesów.</w:t>
      </w:r>
    </w:p>
    <w:p>
      <w:pPr>
        <w:pStyle w:val="Heading3"/>
      </w:pPr>
      <w:r>
        <w:t>Do obiegu autoryzowanego</w:t>
      </w:r>
    </w:p>
    <w:p>
      <w:pPr>
        <w:pStyle w:val="ListBullet"/>
      </w:pPr>
      <w:r>
        <w:t>luki zdolnościowe i scenariusze;</w:t>
      </w:r>
    </w:p>
    <w:p>
      <w:pPr>
        <w:pStyle w:val="ListBullet"/>
      </w:pPr>
      <w:r>
        <w:t>wymagane wolumeny, zapasy i tempo odtworzenia;</w:t>
      </w:r>
    </w:p>
    <w:p>
      <w:pPr>
        <w:pStyle w:val="ListBullet"/>
      </w:pPr>
      <w:r>
        <w:t>szczegółowe moce, lokalizacje i pojedyncze punkty awarii;</w:t>
      </w:r>
    </w:p>
    <w:p>
      <w:pPr>
        <w:pStyle w:val="ListBullet"/>
      </w:pPr>
      <w:r>
        <w:t>dane operacyjne i biblioteki testowe;</w:t>
      </w:r>
    </w:p>
    <w:p>
      <w:pPr>
        <w:pStyle w:val="ListBullet"/>
      </w:pPr>
      <w:r>
        <w:t>wyniki ujawniające podatność lub metodę przeciwdziałania;</w:t>
      </w:r>
    </w:p>
    <w:p>
      <w:pPr>
        <w:pStyle w:val="ListBullet"/>
      </w:pPr>
      <w:r>
        <w:t>informacje kontrwywiadowcze i szczegóły due diligence.</w:t>
      </w:r>
    </w:p>
    <w:p>
      <w:r>
        <w:t>Brak odpowiedzi w obiegu jawnym nie oznacza braku danych w państwie. Biuro Realizacji rejestruje tylko status: dostępne, niedostępne, chronione, sprzeczne albo wymagające decyzji.</w:t>
      </w:r>
    </w:p>
    <w:p>
      <w:pPr>
        <w:pStyle w:val="Heading2"/>
      </w:pPr>
      <w:r>
        <w:t>14. Definicja ukończenia v0.1 i przejścia do wykonania</w:t>
      </w:r>
    </w:p>
    <w:p>
      <w:r>
        <w:t>Plan v0.1 byłby gotowy do formalnej konsultacji, jeżeli:</w:t>
      </w:r>
    </w:p>
    <w:p>
      <w:pPr>
        <w:pStyle w:val="ListBullet"/>
      </w:pPr>
      <w:r>
        <w:t>ma właścicieli funkcjonalnych i potwierdzoną ścieżkę prawną;</w:t>
      </w:r>
    </w:p>
    <w:p>
      <w:pPr>
        <w:pStyle w:val="ListBullet"/>
      </w:pPr>
      <w:r>
        <w:t>wszystkie ważne fakty mają zweryfikowane źródła i datę;</w:t>
      </w:r>
    </w:p>
    <w:p>
      <w:pPr>
        <w:pStyle w:val="ListBullet"/>
      </w:pPr>
      <w:r>
        <w:t>cele liczbowe mają bazy albo są oznaczone jako scenariusz;</w:t>
      </w:r>
    </w:p>
    <w:p>
      <w:pPr>
        <w:pStyle w:val="ListBullet"/>
      </w:pPr>
      <w:r>
        <w:t>koszt zawiera zobowiązania istniejące i koszt alternatywny;</w:t>
      </w:r>
    </w:p>
    <w:p>
      <w:pPr>
        <w:pStyle w:val="ListBullet"/>
      </w:pPr>
      <w:r>
        <w:t>każdy WP ma produkt, bramkę i regułę zamknięcia;</w:t>
      </w:r>
    </w:p>
    <w:p>
      <w:pPr>
        <w:pStyle w:val="ListBullet"/>
      </w:pPr>
      <w:r>
        <w:t>red-team nie wskazuje nierozwiązanego P0/P1;</w:t>
      </w:r>
    </w:p>
    <w:p>
      <w:pPr>
        <w:pStyle w:val="ListBullet"/>
      </w:pPr>
      <w:r>
        <w:t>wersja jawna przeszła kontrolę bezpieczeństwa informacji;</w:t>
      </w:r>
    </w:p>
    <w:p>
      <w:pPr>
        <w:pStyle w:val="ListBullet"/>
      </w:pPr>
      <w:r>
        <w:t>Rada Ministrów otrzymuje konkretne warianty i decyzje, a nie manifest.</w:t>
      </w:r>
    </w:p>
    <w:p>
      <w:r>
        <w:rPr>
          <w:b/>
        </w:rPr>
        <w:t>Bieżący wynik:</w:t>
      </w:r>
      <w:r>
        <w:t xml:space="preserve"> warunki nie są spełnione, ponieważ formalny właściciel i ścieżka prawna pozostają </w:t>
      </w:r>
      <w:r>
        <w:t>UNKNOWN</w:t>
      </w:r>
      <w:r>
        <w:t xml:space="preserve"> (</w:t>
      </w:r>
      <w:r>
        <w:rPr>
          <w:b/>
        </w:rPr>
        <w:t>GAP-0011</w:t>
      </w:r>
      <w:r>
        <w:t>). Wydanie służy zatem konsultacji eksperckiej przed mandatem; nie jest harmonogramem wiążącym administrację.</w:t>
      </w:r>
    </w:p>
    <w:p>
      <w:pPr>
        <w:pStyle w:val="Heading2"/>
      </w:pPr>
      <w:r>
        <w:t>15. Kandydackie następne kroki po ewentualnym przyjęciu planu</w:t>
      </w:r>
    </w:p>
    <w:p>
      <w:pPr>
        <w:pStyle w:val="ListNumber"/>
      </w:pPr>
      <w:r>
        <w:t>Zatwierdzić D0 i opublikować jawny mandat.</w:t>
      </w:r>
    </w:p>
    <w:p>
      <w:pPr>
        <w:pStyle w:val="ListNumber"/>
      </w:pPr>
      <w:r>
        <w:t>Wyznaczyć osoby odpowiedzialne za WP01–WP12.</w:t>
      </w:r>
    </w:p>
    <w:p>
      <w:pPr>
        <w:pStyle w:val="ListNumber"/>
      </w:pPr>
      <w:r>
        <w:t>Przeprowadzić G0 w ciągu pierwszych 30 dni.</w:t>
      </w:r>
    </w:p>
    <w:p>
      <w:pPr>
        <w:pStyle w:val="ListNumber"/>
      </w:pPr>
      <w:r>
        <w:t>Zamrozić schemat danych i rozpocząć audyt bazowy.</w:t>
      </w:r>
    </w:p>
    <w:p>
      <w:pPr>
        <w:pStyle w:val="ListNumber"/>
      </w:pPr>
      <w:r>
        <w:t>Wybrać problemy według wartości i wykonalności testu.</w:t>
      </w:r>
    </w:p>
    <w:p>
      <w:pPr>
        <w:pStyle w:val="ListNumber"/>
      </w:pPr>
      <w:r>
        <w:t>Uruchomić pilotaże danych, testów i kontraktów etapowych.</w:t>
      </w:r>
    </w:p>
    <w:p>
      <w:pPr>
        <w:pStyle w:val="ListNumber"/>
      </w:pPr>
      <w:r>
        <w:t>Zakończyć G1 do D100 z publicznym raportem luk.</w:t>
      </w:r>
    </w:p>
    <w:p>
      <w:pPr>
        <w:pStyle w:val="ListNumber"/>
      </w:pPr>
      <w:r>
        <w:t>Przeprowadzić G2 po sześciu miesiącach.</w:t>
      </w:r>
    </w:p>
    <w:p>
      <w:pPr>
        <w:pStyle w:val="ListNumber"/>
      </w:pPr>
      <w:r>
        <w:t>Przedstawić G3 i plan roku drugiego do 12 miesięcy.</w:t>
      </w:r>
    </w:p>
    <w:p>
      <w:pPr>
        <w:pStyle w:val="ListNumber"/>
      </w:pPr>
      <w:r>
        <w:t>Powtarzać pętlę corocznie, zmniejszając część centralną, gdy proces staje się rutynowy.</w:t>
      </w:r>
    </w:p>
    <w:p>
      <w:pPr>
        <w:pStyle w:val="Heading2"/>
      </w:pPr>
      <w:r>
        <w:t>Dalsze pytania</w:t>
      </w:r>
    </w:p>
    <w:p>
      <w:pPr>
        <w:pStyle w:val="ListBullet"/>
      </w:pPr>
      <w:r>
        <w:t>Jaka jest realna pojemność jednostek testowych i zakupowych w pierwszym roku?</w:t>
      </w:r>
    </w:p>
    <w:p>
      <w:pPr>
        <w:pStyle w:val="ListBullet"/>
      </w:pPr>
      <w:r>
        <w:t>Które wartości bazowe można opublikować bez tworzenia ryzyka?</w:t>
      </w:r>
    </w:p>
    <w:p>
      <w:pPr>
        <w:pStyle w:val="ListBullet"/>
      </w:pPr>
      <w:r>
        <w:t>Jakie istniejące programy można połączyć, a które muszą pozostać odrębne prawnie?</w:t>
      </w:r>
    </w:p>
    <w:p>
      <w:pPr>
        <w:pStyle w:val="ListBullet"/>
      </w:pPr>
      <w:r>
        <w:t>Kto ponosi koszt nieudanego, lecz prawidłowo przeprowadzonego eksperymentu?</w:t>
      </w:r>
    </w:p>
    <w:p>
      <w:pPr>
        <w:pStyle w:val="ListBullet"/>
      </w:pPr>
      <w:r>
        <w:t>Jak zapewnić konkurencję, gdy test wymaga danych ograniczonych?</w:t>
      </w:r>
    </w:p>
    <w:p>
      <w:pPr>
        <w:pStyle w:val="ListBullet"/>
      </w:pPr>
      <w:r>
        <w:t>Jak często należy ponownie kwalifikować alternatywny komponent i dostawcę?</w:t>
      </w:r>
    </w:p>
    <w:p>
      <w:pPr>
        <w:pStyle w:val="ListBullet"/>
      </w:pPr>
      <w:r>
        <w:t>Jak mierzyć korzyść z instrumentów UE bez przypisywania całej wartości finansowania do nowego programu?</w:t>
      </w:r>
    </w:p>
    <w:p>
      <w:pPr>
        <w:pStyle w:val="ListBullet"/>
      </w:pPr>
      <w:r>
        <w:t>Kiedy Biuro Realizacji powinno zostać zmniejszone lub rozwiązane?</w:t>
      </w:r>
    </w:p>
    <w:p>
      <w:pPr>
        <w:pStyle w:val="Heading2"/>
      </w:pPr>
      <w:r>
        <w:t>Zastrzeżenia i założenia</w:t>
      </w:r>
    </w:p>
    <w:p>
      <w:pPr>
        <w:pStyle w:val="ListBullet"/>
      </w:pPr>
      <w:r>
        <w:t>RACI jest modelem funkcjonalnym i wymaga weryfikacji kompetencji przez właściwe organy.</w:t>
      </w:r>
    </w:p>
    <w:p>
      <w:pPr>
        <w:pStyle w:val="ListBullet"/>
      </w:pPr>
      <w:r>
        <w:t>Terminy są celami zarządczymi liczonymi od D0; nie są zobowiązaniem instytucji przed formalną decyzją.</w:t>
      </w:r>
    </w:p>
    <w:p>
      <w:pPr>
        <w:pStyle w:val="ListBullet"/>
      </w:pPr>
      <w:r>
        <w:t>Liczba i zakres pilotaży zależą od danych, bezpieczeństwa, użytkowników, testów i nabywców.</w:t>
      </w:r>
    </w:p>
    <w:p>
      <w:pPr>
        <w:pStyle w:val="ListBullet"/>
      </w:pPr>
      <w:r>
        <w:t>Plan nie gwarantuje finansowania ani kwalifikowalności kosztów w SAFE, EDF, EUDIS, STEP lub instrumentach krajowych.</w:t>
      </w:r>
    </w:p>
    <w:p>
      <w:pPr>
        <w:pStyle w:val="ListBullet"/>
      </w:pPr>
      <w:r>
        <w:t>Plan po 2030 r. podlega corocznej aktualizacji; informacji chronionych nie wolno kopiować do repozytorium ani odtwarzać z agregatów.</w:t>
      </w:r>
    </w:p>
    <w:sectPr w:rsidR="00FC693F" w:rsidRPr="0006063C" w:rsidSect="00034616">
      <w:footerReference w:type="default" r:id="rId10"/>
      <w:pgSz w:w="11906" w:h="16838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Polska 2040 · draft v0.1 · 2026-07-21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