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Poland 2040: Technology Sovereignty — Executive Brief</w:t>
      </w:r>
    </w:p>
    <w:p>
      <w:r>
        <w:rPr>
          <w:b/>
          <w:color w:val="A75C00"/>
        </w:rPr>
        <w:t>Independent public-source analytical draft — no classified material — not a government document.</w:t>
      </w:r>
    </w:p>
    <w:p>
      <w:r>
        <w:rPr>
          <w:b/>
        </w:rPr>
        <w:t>Status:</w:t>
      </w:r>
      <w:r>
        <w:t xml:space="preserve"> independent, non-partisan expert draft v0.1</w:t>
      </w:r>
      <w:r/>
      <w:r>
        <w:br/>
      </w:r>
      <w:r>
        <w:rPr>
          <w:b/>
        </w:rPr>
        <w:t>Evidence cut-off:</w:t>
      </w:r>
      <w:r>
        <w:t xml:space="preserve"> 21 July 2026</w:t>
      </w:r>
      <w:r/>
      <w:r>
        <w:br/>
      </w:r>
      <w:r>
        <w:rPr>
          <w:b/>
        </w:rPr>
        <w:t>Scope:</w:t>
      </w:r>
      <w:r>
        <w:t xml:space="preserve"> public-source strategy; no classified or operationally sensitive material</w:t>
      </w:r>
    </w:p>
    <w:p>
      <w:pPr>
        <w:pStyle w:val="Heading2"/>
      </w:pPr>
      <w:r>
        <w:t>Executive Summary</w:t>
      </w:r>
    </w:p>
    <w:p>
      <w:pPr>
        <w:pStyle w:val="Heading3"/>
      </w:pPr>
      <w:r>
        <w:t>Proposition</w:t>
      </w:r>
    </w:p>
    <w:p>
      <w:r>
        <w:t xml:space="preserve">Poland should build a cross-government </w:t>
      </w:r>
      <w:r>
        <w:rPr>
          <w:b/>
        </w:rPr>
        <w:t>technology-sovereignty delivery system</w:t>
      </w:r>
      <w:r>
        <w:t>, not a single drone programme. The system would connect public needs, controlled data, independent testing, staged procurement, production, service, talent, finance and export in one measurable loop.</w:t>
      </w:r>
    </w:p>
    <w:p>
      <w:pPr>
        <w:pStyle w:val="Heading3"/>
      </w:pPr>
      <w:r>
        <w:t>What sovereignty means</w:t>
      </w:r>
    </w:p>
    <w:p>
      <w:r>
        <w:t>Technology sovereignty is resilience rather than autarky. Poland should control the critical data, interfaces, configuration and lifecycle rights required to make sovereign decisions, maintain services during disruption, qualify alternatives and scale production. Other layers can be sourced from diversified, trusted allied supply chains where domestic production would be uneconomic.</w:t>
      </w:r>
    </w:p>
    <w:p>
      <w:pPr>
        <w:pStyle w:val="Heading3"/>
      </w:pPr>
      <w:r>
        <w:t>First decision</w:t>
      </w:r>
    </w:p>
    <w:p>
      <w:r>
        <w:t>Launch a six-month strategic review and a limited, reversible pilot portfolio. Designate a formal strategy owner and a separate delivery-integration function at the centre of government. Return to the Council of Ministers with verified baselines, projects tested or closed, three financing scenarios and an independent red-team assessment before approving major capital commitments.</w:t>
      </w:r>
    </w:p>
    <w:p>
      <w:pPr>
        <w:pStyle w:val="Heading2"/>
      </w:pPr>
      <w:r>
        <w:t>Why this matters now</w:t>
      </w:r>
    </w:p>
    <w:p>
      <w:r>
        <w:t>Poland signed a EUR 43.7 billion SAFE loan agreement on 8 May 2026 and is the instrument's largest beneficiary. This is loan financing, not a grant or evidence that the full amount has been disbursed (</w:t>
      </w:r>
      <w:r>
        <w:t>Polish Ministry of Finance</w:t>
      </w:r>
      <w:r>
        <w:t xml:space="preserve">, </w:t>
      </w:r>
      <w:r>
        <w:rPr>
          <w:b/>
        </w:rPr>
        <w:t>CLM-1208</w:t>
      </w:r>
      <w:r>
        <w:t>). The Prime Minister's Office states that 89% of the funds are intended for the Polish defence industry and economy; this is a plan that requires an ex-ante definition and ex-post measurement, not yet an achieved result (</w:t>
      </w:r>
      <w:r>
        <w:t>Polish Prime Minister's Office</w:t>
      </w:r>
      <w:r>
        <w:t xml:space="preserve">, </w:t>
      </w:r>
      <w:r>
        <w:rPr>
          <w:b/>
        </w:rPr>
        <w:t>CLM-1209</w:t>
      </w:r>
      <w:r>
        <w:t>).</w:t>
      </w:r>
    </w:p>
    <w:p>
      <w:r>
        <w:t>Poland is already listed as a participating country in BraveTech EU. The initiative has a stated total budget of EUR 100 million and aims to connect EU industry with Ukrainian operational learning (</w:t>
      </w:r>
      <w:r>
        <w:t>European Defence Agency</w:t>
      </w:r>
      <w:r>
        <w:t xml:space="preserve">, </w:t>
      </w:r>
      <w:r>
        <w:rPr>
          <w:b/>
        </w:rPr>
        <w:t>CLM-1213</w:t>
      </w:r>
      <w:r>
        <w:t xml:space="preserve">, </w:t>
      </w:r>
      <w:r>
        <w:rPr>
          <w:b/>
        </w:rPr>
        <w:t>CLM-1214</w:t>
      </w:r>
      <w:r>
        <w:t>). The policy question is therefore how Poland will convert participation into tested products, follow-on contracts, investment, IP, production and service capacity.</w:t>
      </w:r>
    </w:p>
    <w:p>
      <w:pPr>
        <w:pStyle w:val="Heading2"/>
      </w:pPr>
      <w:r>
        <w:t>The delivery model</w:t>
      </w:r>
    </w:p>
    <w:p>
      <w:r>
        <w:t>Every project should pass through explicit gates:</w:t>
      </w:r>
    </w:p>
    <w:p>
      <w:pPr>
        <w:pStyle w:val="ListNumber"/>
      </w:pPr>
      <w:r>
        <w:rPr>
          <w:b/>
        </w:rPr>
        <w:t>Need:</w:t>
      </w:r>
      <w:r>
        <w:t xml:space="preserve"> an accountable owner, a real user, a baseline and a measurable outcome.</w:t>
      </w:r>
    </w:p>
    <w:p>
      <w:pPr>
        <w:pStyle w:val="ListNumber"/>
      </w:pPr>
      <w:r>
        <w:rPr>
          <w:b/>
        </w:rPr>
        <w:t>Feasibility:</w:t>
      </w:r>
      <w:r>
        <w:t xml:space="preserve"> lawful access to data, a security model, market analysis and a low-cost proof plan.</w:t>
      </w:r>
    </w:p>
    <w:p>
      <w:pPr>
        <w:pStyle w:val="ListNumber"/>
      </w:pPr>
      <w:r>
        <w:rPr>
          <w:b/>
        </w:rPr>
        <w:t>Prototype:</w:t>
      </w:r>
      <w:r>
        <w:t xml:space="preserve"> evidence in a controlled environment and documented limitations.</w:t>
      </w:r>
    </w:p>
    <w:p>
      <w:pPr>
        <w:pStyle w:val="ListNumber"/>
      </w:pPr>
      <w:r>
        <w:rPr>
          <w:b/>
        </w:rPr>
        <w:t>User test:</w:t>
      </w:r>
      <w:r>
        <w:t xml:space="preserve"> an independently approved protocol and comparison with a reference option.</w:t>
      </w:r>
    </w:p>
    <w:p>
      <w:pPr>
        <w:pStyle w:val="ListNumber"/>
      </w:pPr>
      <w:r>
        <w:rPr>
          <w:b/>
        </w:rPr>
        <w:t>Limited batch:</w:t>
      </w:r>
      <w:r>
        <w:t xml:space="preserve"> reliability, repeatability, service and lifecycle-cost evidence.</w:t>
      </w:r>
    </w:p>
    <w:p>
      <w:pPr>
        <w:pStyle w:val="ListNumber"/>
      </w:pPr>
      <w:r>
        <w:rPr>
          <w:b/>
        </w:rPr>
        <w:t>Scale:</w:t>
      </w:r>
      <w:r>
        <w:t xml:space="preserve"> production, cybersecurity, interoperability, training, supply-chain alternatives and exit rights.</w:t>
      </w:r>
    </w:p>
    <w:p>
      <w:pPr>
        <w:pStyle w:val="ListNumber"/>
      </w:pPr>
      <w:r>
        <w:rPr>
          <w:b/>
        </w:rPr>
        <w:t>Lifecycle review:</w:t>
      </w:r>
      <w:r>
        <w:t xml:space="preserve"> update, compete, retain for a narrow role or close.</w:t>
      </w:r>
    </w:p>
    <w:p>
      <w:r>
        <w:t>Closing a project after a valid negative test is a governance result. A portfolio that reports only launches and grants hides its most valuable learning.</w:t>
      </w:r>
    </w:p>
    <w:p>
      <w:pPr>
        <w:pStyle w:val="Heading2"/>
      </w:pPr>
      <w:r>
        <w:t>Industrial resilience</w:t>
      </w:r>
    </w:p>
    <w:p>
      <w:r>
        <w:t>The recommended model is a distributed network: final integrators; electronics and RF; power, propulsion and energy systems; optics and sensors; precision mechanics and composites; secure software and AI; repair, logistics and recycling. Each layer is classified as:</w:t>
      </w:r>
    </w:p>
    <w:p>
      <w:pPr>
        <w:pStyle w:val="ListBullet"/>
      </w:pPr>
      <w:r>
        <w:t>control domestically;</w:t>
      </w:r>
    </w:p>
    <w:p>
      <w:pPr>
        <w:pStyle w:val="ListBullet"/>
      </w:pPr>
      <w:r>
        <w:t>co-control with a trusted ally;</w:t>
      </w:r>
    </w:p>
    <w:p>
      <w:pPr>
        <w:pStyle w:val="ListBullet"/>
      </w:pPr>
      <w:r>
        <w:t>diversify imports and test substitution;</w:t>
      </w:r>
    </w:p>
    <w:p>
      <w:pPr>
        <w:pStyle w:val="ListBullet"/>
      </w:pPr>
      <w:r>
        <w:t>consciously accept dependency with a named risk owner.</w:t>
      </w:r>
    </w:p>
    <w:p>
      <w:r>
        <w:t>Strategic contracts should cover configuration management, interface access, security, documentation, repair, updates, alternative-component qualification, service and defined continuity rights. Final assembly in Poland is not sufficient evidence of sovereign lifecycle control.</w:t>
      </w:r>
    </w:p>
    <w:p>
      <w:pPr>
        <w:pStyle w:val="Heading2"/>
      </w:pPr>
      <w:r>
        <w:t>Secure data and responsible AI</w:t>
      </w:r>
    </w:p>
    <w:p>
      <w:r>
        <w:t>Poland's published national AI policy refers to Piast and Gaia AI Factories, PLGrid compute vouchers and regulatory sandboxes (</w:t>
      </w:r>
      <w:r>
        <w:t>Polish Ministry of Digital Affairs</w:t>
      </w:r>
      <w:r>
        <w:t xml:space="preserve">, </w:t>
      </w:r>
      <w:r>
        <w:rPr>
          <w:b/>
        </w:rPr>
        <w:t>CLM-1217</w:t>
      </w:r>
      <w:r>
        <w:t xml:space="preserve">). </w:t>
      </w:r>
      <w:r>
        <w:rPr>
          <w:b/>
        </w:rPr>
        <w:t>Limited INFERENCE — CLM-1218:</w:t>
      </w:r>
      <w:r>
        <w:t xml:space="preserve"> the scope of that public document does not itself document a complete defence data-and-model stack. This is an assessment only of the cited document's public scope; it is not evidence that the Polish Ministry of National Defence or any other authorised body lacks relevant solutions.</w:t>
      </w:r>
    </w:p>
    <w:p>
      <w:r>
        <w:t>The programme should establish a federation of data owners rather than one unrestricted data lake. Minimum controls include purpose and legal basis, controlled environments without free copying, versioned data/code/models, separated test sets, model cards, monitoring, rollback and incident response. NATO's six Principles of Responsible Use — lawfulness; responsibility and accountability; explainability and traceability; reliability; governability; and bias mitigation — should be treated as an admission and monitoring baseline (</w:t>
      </w:r>
      <w:r>
        <w:t>NATO</w:t>
      </w:r>
      <w:r>
        <w:t xml:space="preserve">, </w:t>
      </w:r>
      <w:r>
        <w:rPr>
          <w:b/>
        </w:rPr>
        <w:t>CLM-1220</w:t>
      </w:r>
      <w:r>
        <w:t>).</w:t>
      </w:r>
    </w:p>
    <w:p>
      <w:pPr>
        <w:pStyle w:val="Heading2"/>
      </w:pPr>
      <w:r>
        <w:t>Poland–Ukraine cooperation</w:t>
      </w:r>
    </w:p>
    <w:p>
      <w:r>
        <w:t>The bilateral security agreement provides a framework for production-chain integration, choosing production locations in Poland or Ukraine, exploring joint production and protecting IP. It does not create a particular joint venture or select a company (</w:t>
      </w:r>
      <w:r>
        <w:t>President of Ukraine</w:t>
      </w:r>
      <w:r>
        <w:t xml:space="preserve">, </w:t>
      </w:r>
      <w:r>
        <w:rPr>
          <w:b/>
        </w:rPr>
        <w:t>CLM-1212</w:t>
      </w:r>
      <w:r>
        <w:t>).</w:t>
      </w:r>
    </w:p>
    <w:p>
      <w:r>
        <w:t>An official EU communication of 16 July 2026 states that Ukraine was fully associated with EDF and EDIP and announced an EU–Ukraine Defence Industrial Partnership covering barriers, standards, procurement, IP and industrial cooperation, including JVs (</w:t>
      </w:r>
      <w:r>
        <w:t>European External Action Service</w:t>
      </w:r>
      <w:r>
        <w:t xml:space="preserve">, </w:t>
      </w:r>
      <w:r>
        <w:rPr>
          <w:b/>
        </w:rPr>
        <w:t>CLM-0809</w:t>
      </w:r>
      <w:r>
        <w:t xml:space="preserve">, </w:t>
      </w:r>
      <w:r>
        <w:rPr>
          <w:b/>
        </w:rPr>
        <w:t>CLM-0817</w:t>
      </w:r>
      <w:r>
        <w:t>). This records the announced framework; it does not establish the eligibility, funding or preferential status of any Polish–Ukrainian consortium.</w:t>
      </w:r>
    </w:p>
    <w:p>
      <w:r>
        <w:t>Partnerships should form a portfolio of R&amp;D, testing, licensing, contract production, product-specific JVs, talent programmes and EU projects. Each requires ownership and sanctions checks, IP separation, cybersecurity, export control, end-use assurance, key-person risk, continuity, dispute resolution and exit provisions. Operational learning must be accessed through authorised procedures; this repository must never contain battlefield datasets, vulnerabilities or classified requirements.</w:t>
      </w:r>
    </w:p>
    <w:p>
      <w:pPr>
        <w:pStyle w:val="Heading2"/>
      </w:pPr>
      <w:r>
        <w:t>Talent and civil productivity</w:t>
      </w:r>
    </w:p>
    <w:p>
      <w:r>
        <w:t xml:space="preserve">Poland should use a network of existing universities, technical schools, institutes and companies rather than build a new specialist university. </w:t>
      </w:r>
      <w:r>
        <w:rPr>
          <w:b/>
        </w:rPr>
        <w:t>Working hypothesis to test:</w:t>
      </w:r>
      <w:r>
        <w:t xml:space="preserve"> reskilling current electronics, automation, software, manufacturing and telecommunications professionals may produce measurable capacity earlier than creating a new institution. The comparison requires a baseline, costs, completion and employment outcomes, and 12/24-month retention; it is not treated here as an established causal result. Practical assessment, long placements and mobility between research, industry and users remain candidate design features.</w:t>
      </w:r>
    </w:p>
    <w:p>
      <w:r>
        <w:t>Civil value should be demand-led. Candidate areas include energy and infrastructure inspection, logistics, rail, precision agriculture, emergency response, maritime operations, environmental monitoring and construction. A pilot needs a process owner, a baseline, lawful data, a post-pilot buyer and a stop rule. Not every defence product needs a forced civilian business case.</w:t>
      </w:r>
    </w:p>
    <w:p>
      <w:pPr>
        <w:pStyle w:val="Heading2"/>
      </w:pPr>
      <w:r>
        <w:t>Governance and finance</w:t>
      </w:r>
    </w:p>
    <w:p>
      <w:r>
        <w:t>The formal strategy owner, central delivery integrator, sectoral owners, users, buyers, security/legal functions and independent red-team must have separate roles. Suppliers may contribute evidence but may not unilaterally define the need, choose the mechanism and accept their own product.</w:t>
      </w:r>
    </w:p>
    <w:p>
      <w:r>
        <w:t>Funding should match risk: grants or small R&amp;D contracts for uncertainty; staged procurement for prototypes and limited batches; contracts, loans, guarantees or equity for proven production; and compliant export finance for executed demand. Every cost needs a unique identifier to prevent double funding. The model should show low/base/high scenarios, total lifecycle cost, additionality, fiscal exposure, opportunity cost and sensitivity — without invented numbers.</w:t>
      </w:r>
    </w:p>
    <w:p>
      <w:pPr>
        <w:pStyle w:val="Heading2"/>
      </w:pPr>
      <w:r>
        <w:t>First-year outcomes</w:t>
      </w:r>
    </w:p>
    <w:p>
      <w:pPr>
        <w:pStyle w:val="ListBullet"/>
      </w:pPr>
      <w:r>
        <w:t>a formal mandate, responsibility map and shared portfolio register;</w:t>
      </w:r>
    </w:p>
    <w:p>
      <w:pPr>
        <w:pStyle w:val="ListBullet"/>
      </w:pPr>
      <w:r>
        <w:t>a verified industrial, talent, data and financing baseline;</w:t>
      </w:r>
    </w:p>
    <w:p>
      <w:pPr>
        <w:pStyle w:val="ListBullet"/>
      </w:pPr>
      <w:r>
        <w:t>a public challenge portfolio and authorised requirement layer;</w:t>
      </w:r>
    </w:p>
    <w:p>
      <w:pPr>
        <w:pStyle w:val="ListBullet"/>
      </w:pPr>
      <w:r>
        <w:t>a secure-data pilot and common evaluation protocol;</w:t>
      </w:r>
    </w:p>
    <w:p>
      <w:pPr>
        <w:pStyle w:val="ListBullet"/>
      </w:pPr>
      <w:r>
        <w:t>staged contracts with explicit scale and stop conditions;</w:t>
      </w:r>
    </w:p>
    <w:p>
      <w:pPr>
        <w:pStyle w:val="ListBullet"/>
      </w:pPr>
      <w:r>
        <w:t>projects closed as well as progressed;</w:t>
      </w:r>
    </w:p>
    <w:p>
      <w:pPr>
        <w:pStyle w:val="ListBullet"/>
      </w:pPr>
      <w:r>
        <w:t>a Poland–Ukraine/EU partnership pipeline after due diligence;</w:t>
      </w:r>
    </w:p>
    <w:p>
      <w:pPr>
        <w:pStyle w:val="ListBullet"/>
      </w:pPr>
      <w:r>
        <w:t>financing scenarios and a public methodology for domestic value added;</w:t>
      </w:r>
    </w:p>
    <w:p>
      <w:pPr>
        <w:pStyle w:val="ListBullet"/>
      </w:pPr>
      <w:r>
        <w:t>a decision package for the Council of Ministers and a strategic resilience review for the President/BBN.</w:t>
      </w:r>
    </w:p>
    <w:p>
      <w:pPr>
        <w:pStyle w:val="Heading2"/>
      </w:pPr>
      <w:r>
        <w:t>Candidate partnership value proposition — not an official offer</w:t>
      </w:r>
    </w:p>
    <w:p>
      <w:r>
        <w:t>Subject to Polish government approval, legal review and security due diligence, a candidate value proposition is that Poland could offer access to a large allied market, industrial capacity, EU frameworks, research infrastructure and a security-assessed location for production and certification. Potential partners could contribute authorised operational learning, specialised technology, standards, investment, test access and compliant export channels. This is not an invitation, commitment, procurement notice or expression of official Polish support. Any cooperation would need to be product-specific, measurable and reversible, with clear ownership and lifecycle rights.</w:t>
      </w:r>
    </w:p>
    <w:p>
      <w:pPr>
        <w:pStyle w:val="Heading2"/>
      </w:pPr>
      <w:r>
        <w:t>Caveats and assumptions</w:t>
      </w:r>
    </w:p>
    <w:p>
      <w:pPr>
        <w:pStyle w:val="ListBullet"/>
      </w:pPr>
      <w:r>
        <w:t>This is not an official Polish government document or an expression of institutional support.</w:t>
      </w:r>
    </w:p>
    <w:p>
      <w:pPr>
        <w:pStyle w:val="ListBullet"/>
      </w:pPr>
      <w:r>
        <w:t>It uses public sources only and does not assess classified Polish or allied capabilities.</w:t>
      </w:r>
    </w:p>
    <w:p>
      <w:pPr>
        <w:pStyle w:val="ListBullet"/>
      </w:pPr>
      <w:r>
        <w:t>Programme rules, funding eligibility and institutional competences must be rechecked at the date of formal submission.</w:t>
      </w:r>
    </w:p>
    <w:p>
      <w:pPr>
        <w:pStyle w:val="ListBullet"/>
      </w:pPr>
      <w:r>
        <w:t>Quantitative targets and budgets remain scenarios until baselines, definitions and costs are verified.</w:t>
      </w:r>
    </w:p>
    <w:p>
      <w:pPr>
        <w:pStyle w:val="ListBullet"/>
      </w:pPr>
      <w:r>
        <w:t>Publication, transmission to an institution or external representation requires human approval and security review.</w:t>
      </w:r>
    </w:p>
    <w:sectPr w:rsidR="00FC693F" w:rsidRPr="0006063C" w:rsidSect="00034616">
      <w:footerReference w:type="default" r:id="rId9"/>
      <w:pgSz w:w="11906"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Polska 2040 · draft v0.1 · 2026-07-21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