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Nota decyzyjna dla Premiera i Rady Ministrów</w:t>
      </w:r>
    </w:p>
    <w:p>
      <w:r>
        <w:rPr>
          <w:b/>
          <w:color w:val="A75C00"/>
        </w:rPr>
        <w:t>Niezależny jawnoźródłowy projekt analityczny — bez materiałów niejawnych — nie jest dokumentem rządowym.</w:t>
      </w:r>
    </w:p>
    <w:p>
      <w:r>
        <w:rPr>
          <w:b/>
        </w:rPr>
        <w:t>Sprawa:</w:t>
      </w:r>
      <w:r>
        <w:t xml:space="preserve"> uruchomienie przeglądu „Polska 2040: Suwerenność technologiczna”</w:t>
      </w:r>
      <w:r/>
      <w:r>
        <w:br/>
      </w:r>
      <w:r>
        <w:rPr>
          <w:b/>
        </w:rPr>
        <w:t>Status:</w:t>
      </w:r>
      <w:r>
        <w:t xml:space="preserve"> niezależny materiał przedmandatowy v0.1 do konsultacji — nie jest dokumentem rządowym ani formalnym przedłożeniem RM</w:t>
      </w:r>
      <w:r/>
      <w:r>
        <w:br/>
      </w:r>
      <w:r>
        <w:rPr>
          <w:b/>
        </w:rPr>
        <w:t>Stan wiedzy:</w:t>
      </w:r>
      <w:r>
        <w:t xml:space="preserve"> 21 lipca 2026 r.</w:t>
      </w:r>
      <w:r>
        <w:br/>
        <w:t>Decyzja: kierunkowa, procesowa i odwracalna; bez zatwierdzania docelowego budżetu</w:t>
      </w:r>
    </w:p>
    <w:p>
      <w:pPr>
        <w:pStyle w:val="Heading2"/>
      </w:pPr>
      <w:r>
        <w:t>Executive Summary / Streszczenie wykonawcze</w:t>
      </w:r>
    </w:p>
    <w:p>
      <w:pPr>
        <w:pStyle w:val="Heading3"/>
      </w:pPr>
      <w:r>
        <w:t>Rekomendacja</w:t>
      </w:r>
    </w:p>
    <w:p>
      <w:r>
        <w:t xml:space="preserve">Rozpatrzyć kandydat </w:t>
      </w:r>
      <w:r>
        <w:rPr>
          <w:b/>
        </w:rPr>
        <w:t>DEC-0001</w:t>
      </w:r>
      <w:r>
        <w:t>: sześciomiesięczny, ponadresortowy przegląd i ograniczony portfel pilotaży. Nie tworzyć na starcie nowej uczelni, megafabryki, agencji ani szerokiej ustawy. Wykorzystać istniejącą zdolność koordynacji centrum rządu, formalnie wskazać ministra odpowiedzialnego za dokument strategiczny i po dwóch kwartałach zdecydować, czy obecny mechanizm wymaga wzmocnienia. Do rozstrzygnięcia właściwości i podstawy procesu (</w:t>
      </w:r>
      <w:r>
        <w:rPr>
          <w:b/>
        </w:rPr>
        <w:t>GAP-0011</w:t>
      </w:r>
      <w:r>
        <w:t>) nota służy konsultacji, nie wniesieniu pod obrady RM.</w:t>
      </w:r>
    </w:p>
    <w:p>
      <w:pPr>
        <w:pStyle w:val="Heading3"/>
      </w:pPr>
      <w:r>
        <w:t>Dlaczego teraz</w:t>
      </w:r>
    </w:p>
    <w:p>
      <w:pPr>
        <w:pStyle w:val="ListBullet"/>
      </w:pPr>
      <w:r>
        <w:t>Polska podpisała 8 maja 2026 r. umowę pożyczki SAFE o wartości 43,7 mld EUR i jest największym beneficjentem instrumentu; nie jest to jednak dotacja ani potwierdzenie wypłaty całej kwoty (</w:t>
      </w:r>
      <w:r>
        <w:t>Ministerstwo Finansów</w:t>
      </w:r>
      <w:r>
        <w:t xml:space="preserve">, </w:t>
      </w:r>
      <w:r>
        <w:rPr>
          <w:b/>
        </w:rPr>
        <w:t>CLM-1208</w:t>
      </w:r>
      <w:r>
        <w:t>).</w:t>
      </w:r>
    </w:p>
    <w:p>
      <w:pPr>
        <w:pStyle w:val="ListBullet"/>
      </w:pPr>
      <w:r>
        <w:t>KPRM deklaruje, że 89% środków ma trafić do polskiego przemysłu i gospodarki; jest to cel planistyczny, którego wykonanie trzeba mierzyć według uzgodnionej metodologii (</w:t>
      </w:r>
      <w:r>
        <w:t>KPRM</w:t>
      </w:r>
      <w:r>
        <w:t xml:space="preserve">, </w:t>
      </w:r>
      <w:r>
        <w:rPr>
          <w:b/>
        </w:rPr>
        <w:t>CLM-1209</w:t>
      </w:r>
      <w:r>
        <w:t>).</w:t>
      </w:r>
    </w:p>
    <w:p>
      <w:pPr>
        <w:pStyle w:val="ListBullet"/>
      </w:pPr>
      <w:r>
        <w:t>Polska już uczestniczy w BraveTech EU, więc decyzja dotyczy jakości polskiego portfela i korzyści, a nie samego „wejścia” do inicjatywy (</w:t>
      </w:r>
      <w:r>
        <w:t>EDA</w:t>
      </w:r>
      <w:r>
        <w:t xml:space="preserve">, </w:t>
      </w:r>
      <w:r>
        <w:rPr>
          <w:b/>
        </w:rPr>
        <w:t>CLM-1213</w:t>
      </w:r>
      <w:r>
        <w:t xml:space="preserve">, </w:t>
      </w:r>
      <w:r>
        <w:rPr>
          <w:b/>
        </w:rPr>
        <w:t>CLM-1214</w:t>
      </w:r>
      <w:r>
        <w:t>).</w:t>
      </w:r>
    </w:p>
    <w:p>
      <w:pPr>
        <w:pStyle w:val="ListBullet"/>
      </w:pPr>
      <w:r>
        <w:t>Polska polityka AI przewiduje Piast, Gaia, vouchery PLGrid i piaskownice (</w:t>
      </w:r>
      <w:r>
        <w:rPr>
          <w:b/>
        </w:rPr>
        <w:t>CLM-1217</w:t>
      </w:r>
      <w:r>
        <w:t xml:space="preserve">). </w:t>
      </w:r>
      <w:r>
        <w:rPr>
          <w:b/>
        </w:rPr>
        <w:t>INFERENCE o ograniczonym zakresie:</w:t>
      </w:r>
      <w:r>
        <w:t xml:space="preserve"> jawny dokument polityki sam nie definiuje kompletnego obronnego stosu danych i modeli (</w:t>
      </w:r>
      <w:r>
        <w:rPr>
          <w:b/>
        </w:rPr>
        <w:t>CLM-1218</w:t>
      </w:r>
      <w:r>
        <w:t>); nie jest to dowód braku rozwiązań MON lub zdolności niejawnych (</w:t>
      </w:r>
      <w:r>
        <w:t>Ministerstwo Cyfryzacji</w:t>
      </w:r>
      <w:r>
        <w:t>).</w:t>
      </w:r>
    </w:p>
    <w:p>
      <w:pPr>
        <w:pStyle w:val="Heading3"/>
      </w:pPr>
      <w:r>
        <w:t>Decyzja, o którą chodzi</w:t>
      </w:r>
    </w:p>
    <w:p>
      <w:r>
        <w:t xml:space="preserve">Rada Ministrów nie zatwierdza dziś kwoty ani listy preferowanych dostawców. Zatwierdza </w:t>
      </w:r>
      <w:r>
        <w:rPr>
          <w:b/>
        </w:rPr>
        <w:t>sposób dochodzenia do decyzji</w:t>
      </w:r>
      <w:r>
        <w:t>: odpowiedzialność, audyt bazowy, wspólne bramki, bezpieczne dane, test użytkownika, małą partię, pomiar kosztu cyklu życia i możliwość zamknięcia projektu.</w:t>
      </w:r>
    </w:p>
    <w:p>
      <w:pPr>
        <w:pStyle w:val="Heading2"/>
      </w:pPr>
      <w:r>
        <w:t>1. Proponowane rozstrzygnięcia Rady Ministrów</w:t>
      </w:r>
    </w:p>
    <w:p>
      <w:pPr>
        <w:pStyle w:val="ListNumber"/>
      </w:pPr>
      <w:r>
        <w:rPr>
          <w:b/>
        </w:rPr>
        <w:t>DEC-0001 — mandat:</w:t>
      </w:r>
      <w:r>
        <w:t xml:space="preserve"> rozpatrzyć uruchomienie przeglądu i portfela pilotażowego na sześć miesięcy.</w:t>
      </w:r>
    </w:p>
    <w:p>
      <w:pPr>
        <w:pStyle w:val="ListNumber"/>
      </w:pPr>
      <w:r>
        <w:rPr>
          <w:b/>
        </w:rPr>
        <w:t>DEC-0002 — właściciel:</w:t>
      </w:r>
      <w:r>
        <w:t xml:space="preserve"> wskazać właściwego ministra dla projektu strategii oraz odrębnie integratora realizacji przy KPRM.</w:t>
      </w:r>
    </w:p>
    <w:p>
      <w:pPr>
        <w:pStyle w:val="ListNumber"/>
      </w:pPr>
      <w:r>
        <w:rPr>
          <w:b/>
        </w:rPr>
        <w:t>DEC-0003 — problemy i governance:</w:t>
      </w:r>
      <w:r>
        <w:t xml:space="preserve"> przyjąć jeden </w:t>
      </w:r>
      <w:r>
        <w:t>A</w:t>
      </w:r>
      <w:r>
        <w:t>, rejestr konfliktów interesów, rytm miesięczny, bramki i ograniczony katalog potrzeb użytkowników bez wskazywania wykonawcy z góry.</w:t>
      </w:r>
    </w:p>
    <w:p>
      <w:pPr>
        <w:pStyle w:val="ListNumber"/>
      </w:pPr>
      <w:r>
        <w:rPr>
          <w:b/>
        </w:rPr>
        <w:t>DEC-0004 — dane/AI:</w:t>
      </w:r>
      <w:r>
        <w:t xml:space="preserve"> rozpatrzyć pilotaż federacyjnej, bezpiecznej przestrzeni danych i wspólnego standardu ewaluacji modeli.</w:t>
      </w:r>
    </w:p>
    <w:p>
      <w:pPr>
        <w:pStyle w:val="ListNumber"/>
      </w:pPr>
      <w:r>
        <w:rPr>
          <w:b/>
        </w:rPr>
        <w:t>DEC-0005 — baza przemysłowa:</w:t>
      </w:r>
      <w:r>
        <w:t xml:space="preserve"> zlecić audyt komponentów, serwisu, zależności oraz scenariuszy zwiększenia produkcji.</w:t>
      </w:r>
    </w:p>
    <w:p>
      <w:pPr>
        <w:pStyle w:val="ListNumber"/>
      </w:pPr>
      <w:r>
        <w:rPr>
          <w:b/>
        </w:rPr>
        <w:t>DEC-0006 — kadry:</w:t>
      </w:r>
      <w:r>
        <w:t xml:space="preserve"> zaprojektować sieć kształcenia dopiero po audycie kompetencji, popytu i infrastruktury.</w:t>
      </w:r>
    </w:p>
    <w:p>
      <w:pPr>
        <w:pStyle w:val="ListNumber"/>
      </w:pPr>
      <w:r>
        <w:rPr>
          <w:b/>
        </w:rPr>
        <w:t>DEC-0007 — partnerstwa:</w:t>
      </w:r>
      <w:r>
        <w:t xml:space="preserve"> zbudować portfolio Polska–Ukraina/UE z due diligence, rozdzieleniem IP, cyber, kontrolą eksportu i ciągłością.</w:t>
      </w:r>
    </w:p>
    <w:p>
      <w:pPr>
        <w:pStyle w:val="ListNumber"/>
      </w:pPr>
      <w:r>
        <w:rPr>
          <w:b/>
        </w:rPr>
        <w:t>DEC-0008 — finanse:</w:t>
      </w:r>
      <w:r>
        <w:t xml:space="preserve"> skonsolidować istniejące zobowiązania i warianty bez podwójnego liczenia.</w:t>
      </w:r>
    </w:p>
    <w:p>
      <w:pPr>
        <w:pStyle w:val="ListNumber"/>
      </w:pPr>
      <w:r>
        <w:rPr>
          <w:b/>
        </w:rPr>
        <w:t>DEC-0009 — prawo:</w:t>
      </w:r>
      <w:r>
        <w:t xml:space="preserve"> przygotować stopniowany pakiet zmian dopiero po mapie barier i opinii prawnej.</w:t>
      </w:r>
    </w:p>
    <w:p>
      <w:pPr>
        <w:pStyle w:val="ListNumber"/>
      </w:pPr>
      <w:r>
        <w:rPr>
          <w:b/>
        </w:rPr>
        <w:t>DEC-0010 — rozliczalność:</w:t>
      </w:r>
      <w:r>
        <w:t xml:space="preserve"> po sześciu miesiącach przedstawić projekty skalowane, poprawiane i zamknięte oraz trzy scenariusze finansowe.</w:t>
      </w:r>
    </w:p>
    <w:p>
      <w:r>
        <w:t xml:space="preserve">Wszystkie powyższe rekordy mają w v0.1 status </w:t>
      </w:r>
      <w:r>
        <w:t>candidate</w:t>
      </w:r>
      <w:r>
        <w:t>. Nie dokumentują decyzji podjętej przez Radę Ministrów.</w:t>
      </w:r>
    </w:p>
    <w:p>
      <w:pPr>
        <w:pStyle w:val="Heading2"/>
      </w:pPr>
      <w:r>
        <w:t>2. Warianty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0"/>
        <w:gridCol w:w="1920"/>
        <w:gridCol w:w="1920"/>
        <w:gridCol w:w="1920"/>
        <w:gridCol w:w="1920"/>
      </w:tblGrid>
      <w:tr>
        <w:tc>
          <w:tcPr>
            <w:tcW w:type="dxa" w:w="1920"/>
          </w:tcPr>
          <w:p>
            <w:r>
              <w:t>Wariant</w:t>
            </w:r>
          </w:p>
        </w:tc>
        <w:tc>
          <w:tcPr>
            <w:tcW w:type="dxa" w:w="1920"/>
          </w:tcPr>
          <w:p>
            <w:r>
              <w:t>Zakres</w:t>
            </w:r>
          </w:p>
        </w:tc>
        <w:tc>
          <w:tcPr>
            <w:tcW w:type="dxa" w:w="1920"/>
          </w:tcPr>
          <w:p>
            <w:r>
              <w:t>Korzyść</w:t>
            </w:r>
          </w:p>
        </w:tc>
        <w:tc>
          <w:tcPr>
            <w:tcW w:type="dxa" w:w="1920"/>
          </w:tcPr>
          <w:p>
            <w:r>
              <w:t>Ryzyko</w:t>
            </w:r>
          </w:p>
        </w:tc>
        <w:tc>
          <w:tcPr>
            <w:tcW w:type="dxa" w:w="1920"/>
          </w:tcPr>
          <w:p>
            <w:r>
              <w:t>Rekomendacja</w:t>
            </w:r>
          </w:p>
        </w:tc>
      </w:tr>
      <w:tr>
        <w:tc>
          <w:tcPr>
            <w:tcW w:type="dxa" w:w="1920"/>
          </w:tcPr>
          <w:p>
            <w:r>
              <w:t>status quo+</w:t>
            </w:r>
          </w:p>
        </w:tc>
        <w:tc>
          <w:tcPr>
            <w:tcW w:type="dxa" w:w="1920"/>
          </w:tcPr>
          <w:p>
            <w:r>
              <w:t>koordynacja istniejących działań bez wspólnego portfela</w:t>
            </w:r>
          </w:p>
        </w:tc>
        <w:tc>
          <w:tcPr>
            <w:tcW w:type="dxa" w:w="1920"/>
          </w:tcPr>
          <w:p>
            <w:r>
              <w:t>niski koszt</w:t>
            </w:r>
          </w:p>
        </w:tc>
        <w:tc>
          <w:tcPr>
            <w:tcW w:type="dxa" w:w="1920"/>
          </w:tcPr>
          <w:p>
            <w:r>
              <w:t>utrzymanie fragmentacji i nieporównywalnych danych</w:t>
            </w:r>
          </w:p>
        </w:tc>
        <w:tc>
          <w:tcPr>
            <w:tcW w:type="dxa" w:w="1920"/>
          </w:tcPr>
          <w:p>
            <w:r>
              <w:t>niewystarczający</w:t>
            </w:r>
          </w:p>
        </w:tc>
      </w:tr>
      <w:tr>
        <w:tc>
          <w:tcPr>
            <w:tcW w:type="dxa" w:w="1920"/>
          </w:tcPr>
          <w:p>
            <w:r>
              <w:t>edukacja jako rdzeń</w:t>
            </w:r>
          </w:p>
        </w:tc>
        <w:tc>
          <w:tcPr>
            <w:tcW w:type="dxa" w:w="1920"/>
          </w:tcPr>
          <w:p>
            <w:r>
              <w:t>kierunki, stypendia i laboratoria</w:t>
            </w:r>
          </w:p>
        </w:tc>
        <w:tc>
          <w:tcPr>
            <w:tcW w:type="dxa" w:w="1920"/>
          </w:tcPr>
          <w:p>
            <w:r>
              <w:t>szybki sygnał polityczny</w:t>
            </w:r>
          </w:p>
        </w:tc>
        <w:tc>
          <w:tcPr>
            <w:tcW w:type="dxa" w:w="1920"/>
          </w:tcPr>
          <w:p>
            <w:r>
              <w:t>absolwenci bez popytu, testów i produkcji</w:t>
            </w:r>
          </w:p>
        </w:tc>
        <w:tc>
          <w:tcPr>
            <w:tcW w:type="dxa" w:w="1920"/>
          </w:tcPr>
          <w:p>
            <w:r>
              <w:t>tylko element pomocniczy</w:t>
            </w:r>
          </w:p>
        </w:tc>
      </w:tr>
      <w:tr>
        <w:tc>
          <w:tcPr>
            <w:tcW w:type="dxa" w:w="1920"/>
          </w:tcPr>
          <w:p>
            <w:r>
              <w:t>megafabryka</w:t>
            </w:r>
          </w:p>
        </w:tc>
        <w:tc>
          <w:tcPr>
            <w:tcW w:type="dxa" w:w="1920"/>
          </w:tcPr>
          <w:p>
            <w:r>
              <w:t>duży zakład i jeden produkt</w:t>
            </w:r>
          </w:p>
        </w:tc>
        <w:tc>
          <w:tcPr>
            <w:tcW w:type="dxa" w:w="1920"/>
          </w:tcPr>
          <w:p>
            <w:r>
              <w:t>widoczna skala</w:t>
            </w:r>
          </w:p>
        </w:tc>
        <w:tc>
          <w:tcPr>
            <w:tcW w:type="dxa" w:w="1920"/>
          </w:tcPr>
          <w:p>
            <w:r>
              <w:t>blokada technologiczna i koncentracja ryzyka</w:t>
            </w:r>
          </w:p>
        </w:tc>
        <w:tc>
          <w:tcPr>
            <w:tcW w:type="dxa" w:w="1920"/>
          </w:tcPr>
          <w:p>
            <w:r>
              <w:t>odrzucić jako model główny</w:t>
            </w:r>
          </w:p>
        </w:tc>
      </w:tr>
      <w:tr>
        <w:tc>
          <w:tcPr>
            <w:tcW w:type="dxa" w:w="1920"/>
          </w:tcPr>
          <w:p>
            <w:r>
              <w:t>portfel realizacyjny</w:t>
            </w:r>
          </w:p>
        </w:tc>
        <w:tc>
          <w:tcPr>
            <w:tcW w:type="dxa" w:w="1920"/>
          </w:tcPr>
          <w:p>
            <w:r>
              <w:t>potrzeby, dane, testy, małe partie, przemysł i kadry</w:t>
            </w:r>
          </w:p>
        </w:tc>
        <w:tc>
          <w:tcPr>
            <w:tcW w:type="dxa" w:w="1920"/>
          </w:tcPr>
          <w:p>
            <w:r>
              <w:t>uczenie przed skalą, odwracalność</w:t>
            </w:r>
          </w:p>
        </w:tc>
        <w:tc>
          <w:tcPr>
            <w:tcW w:type="dxa" w:w="1920"/>
          </w:tcPr>
          <w:p>
            <w:r>
              <w:t>wymaga silnej dyscypliny międzyresortowej</w:t>
            </w:r>
          </w:p>
        </w:tc>
        <w:tc>
          <w:tcPr>
            <w:tcW w:type="dxa" w:w="1920"/>
          </w:tcPr>
          <w:p>
            <w:r>
              <w:t>rekomendowany</w:t>
            </w:r>
          </w:p>
        </w:tc>
      </w:tr>
      <w:tr>
        <w:tc>
          <w:tcPr>
            <w:tcW w:type="dxa" w:w="1920"/>
          </w:tcPr>
          <w:p>
            <w:r>
              <w:t>mobilizacja maksymalna</w:t>
            </w:r>
          </w:p>
        </w:tc>
        <w:tc>
          <w:tcPr>
            <w:tcW w:type="dxa" w:w="1920"/>
          </w:tcPr>
          <w:p>
            <w:r>
              <w:t>szeroki CAPEX i moce od początku</w:t>
            </w:r>
          </w:p>
        </w:tc>
        <w:tc>
          <w:tcPr>
            <w:tcW w:type="dxa" w:w="1920"/>
          </w:tcPr>
          <w:p>
            <w:r>
              <w:t>szybkość przy trafnej diagnozie</w:t>
            </w:r>
          </w:p>
        </w:tc>
        <w:tc>
          <w:tcPr>
            <w:tcW w:type="dxa" w:w="1920"/>
          </w:tcPr>
          <w:p>
            <w:r>
              <w:t>najwyższy koszt błędu i wypieranie wydatków</w:t>
            </w:r>
          </w:p>
        </w:tc>
        <w:tc>
          <w:tcPr>
            <w:tcW w:type="dxa" w:w="1920"/>
          </w:tcPr>
          <w:p>
            <w:r>
              <w:t>tylko po danych i osobnej decyzji</w:t>
            </w:r>
          </w:p>
        </w:tc>
      </w:tr>
    </w:tbl>
    <w:p>
      <w:pPr>
        <w:pStyle w:val="Heading2"/>
      </w:pPr>
      <w:r>
        <w:t>3. Pierwsze 100 dni</w:t>
      </w:r>
    </w:p>
    <w:p>
      <w:pPr>
        <w:pStyle w:val="Heading3"/>
      </w:pPr>
      <w:r>
        <w:t>D0–D30</w:t>
      </w:r>
    </w:p>
    <w:p>
      <w:pPr>
        <w:pStyle w:val="ListBullet"/>
      </w:pPr>
      <w:r>
        <w:t xml:space="preserve">mandat, właściciele i jeden </w:t>
      </w:r>
      <w:r>
        <w:t>A</w:t>
      </w:r>
      <w:r>
        <w:t xml:space="preserve"> dla każdego rezultatu;</w:t>
      </w:r>
    </w:p>
    <w:p>
      <w:pPr>
        <w:pStyle w:val="ListBullet"/>
      </w:pPr>
      <w:r>
        <w:t>formalna mapa kompetencji i właściwego trybu dokumentu;</w:t>
      </w:r>
    </w:p>
    <w:p>
      <w:pPr>
        <w:pStyle w:val="ListBullet"/>
      </w:pPr>
      <w:r>
        <w:t>polityka informacji jawnych i autoryzowanych;</w:t>
      </w:r>
    </w:p>
    <w:p>
      <w:pPr>
        <w:pStyle w:val="ListBullet"/>
      </w:pPr>
      <w:r>
        <w:t>wspólny słownik kosztów, KPI i statusów;</w:t>
      </w:r>
    </w:p>
    <w:p>
      <w:pPr>
        <w:pStyle w:val="ListBullet"/>
      </w:pPr>
      <w:r>
        <w:t>katalog problemów i zakres audytu bazowego.</w:t>
      </w:r>
    </w:p>
    <w:p>
      <w:pPr>
        <w:pStyle w:val="Heading3"/>
      </w:pPr>
      <w:r>
        <w:t>D31–D60</w:t>
      </w:r>
    </w:p>
    <w:p>
      <w:pPr>
        <w:pStyle w:val="ListBullet"/>
      </w:pPr>
      <w:r>
        <w:t>pierwsza wersja audytu i mapa istniejących zobowiązań;</w:t>
      </w:r>
    </w:p>
    <w:p>
      <w:pPr>
        <w:pStyle w:val="ListBullet"/>
      </w:pPr>
      <w:r>
        <w:t>protokoły testów i wzory kontraktów etapowych;</w:t>
      </w:r>
    </w:p>
    <w:p>
      <w:pPr>
        <w:pStyle w:val="ListBullet"/>
      </w:pPr>
      <w:r>
        <w:t>pilotaż przestrzeni danych na najmniej wrażliwym wystarczającym zakresie;</w:t>
      </w:r>
    </w:p>
    <w:p>
      <w:pPr>
        <w:pStyle w:val="ListBullet"/>
      </w:pPr>
      <w:r>
        <w:t>pipeline due diligence partnerów;</w:t>
      </w:r>
    </w:p>
    <w:p>
      <w:pPr>
        <w:pStyle w:val="ListBullet"/>
      </w:pPr>
      <w:r>
        <w:t>metodologia wartości dodanej w Polsce i pełnego kosztu cyklu życia.</w:t>
      </w:r>
    </w:p>
    <w:p>
      <w:pPr>
        <w:pStyle w:val="Heading3"/>
      </w:pPr>
      <w:r>
        <w:t>D61–D100</w:t>
      </w:r>
    </w:p>
    <w:p>
      <w:pPr>
        <w:pStyle w:val="ListBullet"/>
      </w:pPr>
      <w:r>
        <w:t>uruchomienie ograniczonych testów/kontraktów dowodowych;</w:t>
      </w:r>
    </w:p>
    <w:p>
      <w:pPr>
        <w:pStyle w:val="ListBullet"/>
      </w:pPr>
      <w:r>
        <w:t>pierwsze ćwiczenie zależności i serwisu;</w:t>
      </w:r>
    </w:p>
    <w:p>
      <w:pPr>
        <w:pStyle w:val="ListBullet"/>
      </w:pPr>
      <w:r>
        <w:t>koszt działań odwracalnych i jakościowe scenariusze finansowe;</w:t>
      </w:r>
    </w:p>
    <w:p>
      <w:pPr>
        <w:pStyle w:val="ListBullet"/>
      </w:pPr>
      <w:r>
        <w:t>raport luk, sprzeczności i projektów niewchodzących do pilotażu;</w:t>
      </w:r>
    </w:p>
    <w:p>
      <w:pPr>
        <w:pStyle w:val="ListBullet"/>
      </w:pPr>
      <w:r>
        <w:t>decyzja G1: kontynuuj, ogranicz, przeprojektuj albo zakończ strumień.</w:t>
      </w:r>
    </w:p>
    <w:p>
      <w:pPr>
        <w:pStyle w:val="Heading2"/>
      </w:pPr>
      <w:r>
        <w:t>4. Zabezpieczenia finansowe</w:t>
      </w:r>
    </w:p>
    <w:p>
      <w:pPr>
        <w:pStyle w:val="ListBullet"/>
      </w:pPr>
      <w:r>
        <w:t>SAFE jest finansowaniem pożyczkowym; każda pozycja musi pokazać kwalifikowalność, harmonogram, koszt finansowania i dodatkowość (</w:t>
      </w:r>
      <w:r>
        <w:rPr>
          <w:b/>
        </w:rPr>
        <w:t>CLM-1208</w:t>
      </w:r>
      <w:r>
        <w:t>).</w:t>
      </w:r>
    </w:p>
    <w:p>
      <w:pPr>
        <w:pStyle w:val="ListBullet"/>
      </w:pPr>
      <w:r>
        <w:t>Każdy koszt otrzymuje unikalny identyfikator, aby zapobiegać podwójnemu finansowaniu.</w:t>
      </w:r>
    </w:p>
    <w:p>
      <w:pPr>
        <w:pStyle w:val="ListBullet"/>
      </w:pPr>
      <w:r>
        <w:t>Budżet dzieli się na badanie, prototyp, test, małą partię, skalę, infrastrukturę i eksport.</w:t>
      </w:r>
    </w:p>
    <w:p>
      <w:pPr>
        <w:pStyle w:val="ListBullet"/>
      </w:pPr>
      <w:r>
        <w:t>Decyzja skali wymaga pełnego kosztu cyklu życia, serwisu, aktualizacji, alternatyw i kosztu wyjścia.</w:t>
      </w:r>
    </w:p>
    <w:p>
      <w:pPr>
        <w:pStyle w:val="ListBullet"/>
      </w:pPr>
      <w:r>
        <w:t>Scenariusze niski/bazowy/wysoki pozostają bez liczb, dopóki audyt nie ustali baz i istniejących zobowiązań.</w:t>
      </w:r>
    </w:p>
    <w:p>
      <w:pPr>
        <w:pStyle w:val="ListBullet"/>
      </w:pPr>
      <w:r>
        <w:t>Wartość dla Polski mierzy się metodologią wartości dodanej i cyklu życia, nie miejscem wystawienia faktury.</w:t>
      </w:r>
    </w:p>
    <w:p>
      <w:pPr>
        <w:pStyle w:val="Heading2"/>
      </w:pPr>
      <w:r>
        <w:t>5. Governance i odpowiedzialność</w:t>
      </w:r>
    </w:p>
    <w:p>
      <w:r>
        <w:t xml:space="preserve">Rekomendowany jest model </w:t>
      </w:r>
      <w:r>
        <w:rPr>
          <w:b/>
        </w:rPr>
        <w:t>właściwy minister + integrator realizacji KPRM + właściciele resortowi + niezależny red-team</w:t>
      </w:r>
      <w:r>
        <w:t>. „Biuro Realizacji” powinno początkowo oznaczać małą funkcję sekretariatu w istniejącej administracji, nie nowy urząd. Nowy pełnomocnik lub agencja wymagają dowodu, że przez dwa cykle kwartalne istniejący mechanizm nie uzyskuje danych i decyzji mimo korekty mandatu oraz RACI.</w:t>
      </w:r>
    </w:p>
    <w:p>
      <w:r>
        <w:t>Prezydent i BBN otrzymują roczny przegląd odporności, interoperacyjności i ciągłości programu. Dostawcy mogą konsultować standardy i przedstawiać dowody, ale nie definiują samodzielnie potrzeb, nie wybierają własnego instrumentu i nie oceniają własnego produktu.</w:t>
      </w:r>
    </w:p>
    <w:p>
      <w:pPr>
        <w:pStyle w:val="Heading2"/>
      </w:pPr>
      <w:r>
        <w:t>6. Ryzyka, które mogą wykoleić program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1"/>
        <w:gridCol w:w="3201"/>
        <w:gridCol w:w="3201"/>
      </w:tblGrid>
      <w:tr>
        <w:tc>
          <w:tcPr>
            <w:tcW w:type="dxa" w:w="3201"/>
          </w:tcPr>
          <w:p>
            <w:r>
              <w:t>Ryzyko</w:t>
            </w:r>
          </w:p>
        </w:tc>
        <w:tc>
          <w:tcPr>
            <w:tcW w:type="dxa" w:w="3201"/>
          </w:tcPr>
          <w:p>
            <w:r>
              <w:t>Wczesny sygnał</w:t>
            </w:r>
          </w:p>
        </w:tc>
        <w:tc>
          <w:tcPr>
            <w:tcW w:type="dxa" w:w="3201"/>
          </w:tcPr>
          <w:p>
            <w:r>
              <w:t>Odpowiedź</w:t>
            </w:r>
          </w:p>
        </w:tc>
      </w:tr>
      <w:tr>
        <w:tc>
          <w:tcPr>
            <w:tcW w:type="dxa" w:w="3201"/>
          </w:tcPr>
          <w:p>
            <w:r>
              <w:t>grantyzacja</w:t>
            </w:r>
          </w:p>
        </w:tc>
        <w:tc>
          <w:tcPr>
            <w:tcW w:type="dxa" w:w="3201"/>
          </w:tcPr>
          <w:p>
            <w:r>
              <w:t>rośnie liczba naborów bez testów użytkownika</w:t>
            </w:r>
          </w:p>
        </w:tc>
        <w:tc>
          <w:tcPr>
            <w:tcW w:type="dxa" w:w="3201"/>
          </w:tcPr>
          <w:p>
            <w:r>
              <w:t>wypłata i kontynuacja po bramkach</w:t>
            </w:r>
          </w:p>
        </w:tc>
      </w:tr>
      <w:tr>
        <w:tc>
          <w:tcPr>
            <w:tcW w:type="dxa" w:w="3201"/>
          </w:tcPr>
          <w:p>
            <w:r>
              <w:t>nowy silos KPRM</w:t>
            </w:r>
          </w:p>
        </w:tc>
        <w:tc>
          <w:tcPr>
            <w:tcW w:type="dxa" w:w="3201"/>
          </w:tcPr>
          <w:p>
            <w:r>
              <w:t>centrum przejmuje zadania resortów</w:t>
            </w:r>
          </w:p>
        </w:tc>
        <w:tc>
          <w:tcPr>
            <w:tcW w:type="dxa" w:w="3201"/>
          </w:tcPr>
          <w:p>
            <w:r>
              <w:t>funkcjonalne RACI i mały sekretariat</w:t>
            </w:r>
          </w:p>
        </w:tc>
      </w:tr>
      <w:tr>
        <w:tc>
          <w:tcPr>
            <w:tcW w:type="dxa" w:w="3201"/>
          </w:tcPr>
          <w:p>
            <w:r>
              <w:t>vendor lock-in</w:t>
            </w:r>
          </w:p>
        </w:tc>
        <w:tc>
          <w:tcPr>
            <w:tcW w:type="dxa" w:w="3201"/>
          </w:tcPr>
          <w:p>
            <w:r>
              <w:t>brak praw do danych, naprawy i interfejsów</w:t>
            </w:r>
          </w:p>
        </w:tc>
        <w:tc>
          <w:tcPr>
            <w:tcW w:type="dxa" w:w="3201"/>
          </w:tcPr>
          <w:p>
            <w:r>
              <w:t>opcje, escrow, test alternatywy</w:t>
            </w:r>
          </w:p>
        </w:tc>
      </w:tr>
      <w:tr>
        <w:tc>
          <w:tcPr>
            <w:tcW w:type="dxa" w:w="3201"/>
          </w:tcPr>
          <w:p>
            <w:r>
              <w:t>fałszywa lokalizacja</w:t>
            </w:r>
          </w:p>
        </w:tc>
        <w:tc>
          <w:tcPr>
            <w:tcW w:type="dxa" w:w="3201"/>
          </w:tcPr>
          <w:p>
            <w:r>
              <w:t>montaż bez cyklu życia i komponentów</w:t>
            </w:r>
          </w:p>
        </w:tc>
        <w:tc>
          <w:tcPr>
            <w:tcW w:type="dxa" w:w="3201"/>
          </w:tcPr>
          <w:p>
            <w:r>
              <w:t>metodologia wartości dodanej i zależności</w:t>
            </w:r>
          </w:p>
        </w:tc>
      </w:tr>
      <w:tr>
        <w:tc>
          <w:tcPr>
            <w:tcW w:type="dxa" w:w="3201"/>
          </w:tcPr>
          <w:p>
            <w:r>
              <w:t>skala przed dowodem</w:t>
            </w:r>
          </w:p>
        </w:tc>
        <w:tc>
          <w:tcPr>
            <w:tcW w:type="dxa" w:w="3201"/>
          </w:tcPr>
          <w:p>
            <w:r>
              <w:t>CAPEX bez popytu i bazy</w:t>
            </w:r>
          </w:p>
        </w:tc>
        <w:tc>
          <w:tcPr>
            <w:tcW w:type="dxa" w:w="3201"/>
          </w:tcPr>
          <w:p>
            <w:r>
              <w:t>mała partia i opcja skali</w:t>
            </w:r>
          </w:p>
        </w:tc>
      </w:tr>
      <w:tr>
        <w:tc>
          <w:tcPr>
            <w:tcW w:type="dxa" w:w="3201"/>
          </w:tcPr>
          <w:p>
            <w:r>
              <w:t>dane/AI bez kontroli</w:t>
            </w:r>
          </w:p>
        </w:tc>
        <w:tc>
          <w:tcPr>
            <w:tcW w:type="dxa" w:w="3201"/>
          </w:tcPr>
          <w:p>
            <w:r>
              <w:t>brak wersji, benchmarku i właściciela</w:t>
            </w:r>
          </w:p>
        </w:tc>
        <w:tc>
          <w:tcPr>
            <w:tcW w:type="dxa" w:w="3201"/>
          </w:tcPr>
          <w:p>
            <w:r>
              <w:t>karta modelu, monitoring i prawo wstrzymania</w:t>
            </w:r>
          </w:p>
        </w:tc>
      </w:tr>
      <w:tr>
        <w:tc>
          <w:tcPr>
            <w:tcW w:type="dxa" w:w="3201"/>
          </w:tcPr>
          <w:p>
            <w:r>
              <w:t>podwójne finansowanie</w:t>
            </w:r>
          </w:p>
        </w:tc>
        <w:tc>
          <w:tcPr>
            <w:tcW w:type="dxa" w:w="3201"/>
          </w:tcPr>
          <w:p>
            <w:r>
              <w:t>ten sam koszt w wielu instrumentach</w:t>
            </w:r>
          </w:p>
        </w:tc>
        <w:tc>
          <w:tcPr>
            <w:tcW w:type="dxa" w:w="3201"/>
          </w:tcPr>
          <w:p>
            <w:r>
              <w:t>centralny rejestr kosztów</w:t>
            </w:r>
          </w:p>
        </w:tc>
      </w:tr>
      <w:tr>
        <w:tc>
          <w:tcPr>
            <w:tcW w:type="dxa" w:w="3201"/>
          </w:tcPr>
          <w:p>
            <w:r>
              <w:t>utrzymanie porażki</w:t>
            </w:r>
          </w:p>
        </w:tc>
        <w:tc>
          <w:tcPr>
            <w:tcW w:type="dxa" w:w="3201"/>
          </w:tcPr>
          <w:p>
            <w:r>
              <w:t>brak projektów zamkniętych</w:t>
            </w:r>
          </w:p>
        </w:tc>
        <w:tc>
          <w:tcPr>
            <w:tcW w:type="dxa" w:w="3201"/>
          </w:tcPr>
          <w:p>
            <w:r>
              <w:t>publiczny raport stop-rules</w:t>
            </w:r>
          </w:p>
        </w:tc>
      </w:tr>
      <w:tr>
        <w:tc>
          <w:tcPr>
            <w:tcW w:type="dxa" w:w="3201"/>
          </w:tcPr>
          <w:p>
            <w:r>
              <w:t>nadmierna jawność/tajność</w:t>
            </w:r>
          </w:p>
        </w:tc>
        <w:tc>
          <w:tcPr>
            <w:tcW w:type="dxa" w:w="3201"/>
          </w:tcPr>
          <w:p>
            <w:r>
              <w:t>ujawnienie ryzyka albo brak konkurencji</w:t>
            </w:r>
          </w:p>
        </w:tc>
        <w:tc>
          <w:tcPr>
            <w:tcW w:type="dxa" w:w="3201"/>
          </w:tcPr>
          <w:p>
            <w:r>
              <w:t>najmniejszy konieczny zakres ochrony</w:t>
            </w:r>
          </w:p>
        </w:tc>
      </w:tr>
      <w:tr>
        <w:tc>
          <w:tcPr>
            <w:tcW w:type="dxa" w:w="3201"/>
          </w:tcPr>
          <w:p>
            <w:r>
              <w:t>edukacja bez popytu</w:t>
            </w:r>
          </w:p>
        </w:tc>
        <w:tc>
          <w:tcPr>
            <w:tcW w:type="dxa" w:w="3201"/>
          </w:tcPr>
          <w:p>
            <w:r>
              <w:t>liczba miejsc zamiast zatrudnienia</w:t>
            </w:r>
          </w:p>
        </w:tc>
        <w:tc>
          <w:tcPr>
            <w:tcW w:type="dxa" w:w="3201"/>
          </w:tcPr>
          <w:p>
            <w:r>
              <w:t>pilotaż i retencja 12/24 miesiące</w:t>
            </w:r>
          </w:p>
        </w:tc>
      </w:tr>
    </w:tbl>
    <w:p>
      <w:pPr>
        <w:pStyle w:val="Heading2"/>
      </w:pPr>
      <w:r>
        <w:t>7. Kryteria decyzji po sześciu miesiącach</w:t>
      </w:r>
    </w:p>
    <w:p>
      <w:r>
        <w:t>Rada Ministrów powinna rozszerzyć program tylko wtedy, gdy:</w:t>
      </w:r>
    </w:p>
    <w:p>
      <w:pPr>
        <w:pStyle w:val="ListBullet"/>
      </w:pPr>
      <w:r>
        <w:t>audyt daje wystarczającą bazę lub precyzyjny plan luk;</w:t>
      </w:r>
    </w:p>
    <w:p>
      <w:pPr>
        <w:pStyle w:val="ListBullet"/>
      </w:pPr>
      <w:r>
        <w:t>co najmniej część projektów przeszła niezależny test użytkownika;</w:t>
      </w:r>
    </w:p>
    <w:p>
      <w:pPr>
        <w:pStyle w:val="ListBullet"/>
      </w:pPr>
      <w:r>
        <w:t>system potrafił również zamknąć projekt;</w:t>
      </w:r>
    </w:p>
    <w:p>
      <w:pPr>
        <w:pStyle w:val="ListBullet"/>
      </w:pPr>
      <w:r>
        <w:t>istnieje kontrolowany dostęp do danych i mierzalna ewaluacja;</w:t>
      </w:r>
    </w:p>
    <w:p>
      <w:pPr>
        <w:pStyle w:val="ListBullet"/>
      </w:pPr>
      <w:r>
        <w:t>wybrane inwestycje mają popyt, TCO, serwis i plan substytucji;</w:t>
      </w:r>
    </w:p>
    <w:p>
      <w:pPr>
        <w:pStyle w:val="ListBullet"/>
      </w:pPr>
      <w:r>
        <w:t>finansowanie jest dodatkowe i nie policzono go dwukrotnie;</w:t>
      </w:r>
    </w:p>
    <w:p>
      <w:pPr>
        <w:pStyle w:val="ListBullet"/>
      </w:pPr>
      <w:r>
        <w:t>partnerstwa przeszły due diligence, IP, cyber i kontrolę eksportu;</w:t>
      </w:r>
    </w:p>
    <w:p>
      <w:pPr>
        <w:pStyle w:val="ListBullet"/>
      </w:pPr>
      <w:r>
        <w:t>formalna ścieżka strategii i prawa jest potwierdzona;</w:t>
      </w:r>
    </w:p>
    <w:p>
      <w:pPr>
        <w:pStyle w:val="ListBullet"/>
      </w:pPr>
      <w:r>
        <w:t>red-team nie wskazuje nierozwiązanego ryzyka P0/P1.</w:t>
      </w:r>
    </w:p>
    <w:p>
      <w:pPr>
        <w:pStyle w:val="Heading2"/>
      </w:pPr>
      <w:r>
        <w:t>8. Co nie jest przedmiotem obecnej decyzji</w:t>
      </w:r>
    </w:p>
    <w:p>
      <w:pPr>
        <w:pStyle w:val="ListBullet"/>
      </w:pPr>
      <w:r>
        <w:t>docelowa kwota i wolumeny;</w:t>
      </w:r>
    </w:p>
    <w:p>
      <w:pPr>
        <w:pStyle w:val="ListBullet"/>
      </w:pPr>
      <w:r>
        <w:t>preferowany producent lub ukraińska firma;</w:t>
      </w:r>
    </w:p>
    <w:p>
      <w:pPr>
        <w:pStyle w:val="ListBullet"/>
      </w:pPr>
      <w:r>
        <w:t>budowa fabryki procesorów;</w:t>
      </w:r>
    </w:p>
    <w:p>
      <w:pPr>
        <w:pStyle w:val="ListBullet"/>
      </w:pPr>
      <w:r>
        <w:t>tworzenie nowej uczelni;</w:t>
      </w:r>
    </w:p>
    <w:p>
      <w:pPr>
        <w:pStyle w:val="ListBullet"/>
      </w:pPr>
      <w:r>
        <w:t>automatyczne utworzenie pełnomocnika lub agencji;</w:t>
      </w:r>
    </w:p>
    <w:p>
      <w:pPr>
        <w:pStyle w:val="ListBullet"/>
      </w:pPr>
      <w:r>
        <w:t>publikacja informacji niejawnych lub operacyjnie wrażliwych;</w:t>
      </w:r>
    </w:p>
    <w:p>
      <w:pPr>
        <w:pStyle w:val="ListBullet"/>
      </w:pPr>
      <w:r>
        <w:t>przyjęcie liczbowych celów edukacyjnych bez bazy i kosztu;</w:t>
      </w:r>
    </w:p>
    <w:p>
      <w:pPr>
        <w:pStyle w:val="ListBullet"/>
      </w:pPr>
      <w:r>
        <w:t>stwierdzenie oficjalnego poparcia państwa dla projektu.</w:t>
      </w:r>
    </w:p>
    <w:p>
      <w:pPr>
        <w:pStyle w:val="Heading2"/>
      </w:pPr>
      <w:r>
        <w:t>Dalsze pytania dla RM</w:t>
      </w:r>
    </w:p>
    <w:p>
      <w:pPr>
        <w:pStyle w:val="ListNumber"/>
      </w:pPr>
      <w:r>
        <w:t>Który minister powinien formalnie prowadzić dokument i w jakim trybie?</w:t>
      </w:r>
    </w:p>
    <w:p>
      <w:pPr>
        <w:pStyle w:val="ListNumber"/>
      </w:pPr>
      <w:r>
        <w:t>Jaki zakres finansowania jest już zobowiązany i nie jest nowym kosztem?</w:t>
      </w:r>
    </w:p>
    <w:p>
      <w:pPr>
        <w:pStyle w:val="ListNumber"/>
      </w:pPr>
      <w:r>
        <w:t>Które problemy mają użytkownika, dane i pojemność testową w pierwszym roku?</w:t>
      </w:r>
    </w:p>
    <w:p>
      <w:pPr>
        <w:pStyle w:val="ListNumber"/>
      </w:pPr>
      <w:r>
        <w:t>Które zależności wymagają krajowej kontroli, a gdzie wystarczy dywersyfikacja sojusznicza?</w:t>
      </w:r>
    </w:p>
    <w:p>
      <w:pPr>
        <w:pStyle w:val="ListNumber"/>
      </w:pPr>
      <w:r>
        <w:t>Jakie agregaty można raportować publicznie bez zwiększenia ryzyka?</w:t>
      </w:r>
    </w:p>
    <w:p>
      <w:pPr>
        <w:pStyle w:val="Heading2"/>
      </w:pPr>
      <w:r>
        <w:t>Zastrzeżenia i założenia</w:t>
      </w:r>
    </w:p>
    <w:p>
      <w:pPr>
        <w:pStyle w:val="ListBullet"/>
      </w:pPr>
      <w:r>
        <w:t>Nota wykorzystuje wyłącznie źródła jawne i nie ocenia niejawnych zdolności.</w:t>
      </w:r>
    </w:p>
    <w:p>
      <w:pPr>
        <w:pStyle w:val="ListBullet"/>
      </w:pPr>
      <w:r>
        <w:t>Model governance wymaga aktualnej opinii prawnej i potwierdzenia właściwości organów.</w:t>
      </w:r>
    </w:p>
    <w:p>
      <w:pPr>
        <w:pStyle w:val="ListBullet"/>
      </w:pPr>
      <w:r>
        <w:t>Cele ilościowe i budżety nie są rekomendowane do czasu audytu bazowego.</w:t>
      </w:r>
    </w:p>
    <w:p>
      <w:pPr>
        <w:pStyle w:val="ListBullet"/>
      </w:pPr>
      <w:r>
        <w:t>Informacje z komunikatów urzędowych są deklaracją lub planem, nie automatycznie dowodem wykonania.</w:t>
      </w:r>
    </w:p>
    <w:p>
      <w:pPr>
        <w:pStyle w:val="ListBullet"/>
      </w:pPr>
      <w:r>
        <w:t>Publikacja, wysłanie lub przedstawienie noty wymaga akceptacji człowieka.</w:t>
      </w:r>
    </w:p>
    <w:sectPr w:rsidR="00FC693F" w:rsidRPr="0006063C" w:rsidSect="00034616">
      <w:footerReference w:type="default" r:id="rId9"/>
      <w:pgSz w:w="11906" w:h="16838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Polska 2040 · draft v0.1 · 2026-07-21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