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7A2A6F" w14:textId="22C6EC99" w:rsidR="0003696E" w:rsidRDefault="0073740F">
      <w:r>
        <w:t xml:space="preserve">Based on the insights discovered thus far, I would like to address the Vice President of Marketing and the Senior Vice President of Sales and bring to their attention the type of games that are performing well for the last few years and which region is expected to lead in sales.  </w:t>
      </w:r>
    </w:p>
    <w:p w14:paraId="02B8CF16" w14:textId="77777777" w:rsidR="0073740F" w:rsidRDefault="0073740F"/>
    <w:p w14:paraId="3C26C9CC" w14:textId="19B613E4" w:rsidR="007F1C85" w:rsidRDefault="0073740F">
      <w:r>
        <w:t xml:space="preserve">I’ve analyzed the data </w:t>
      </w:r>
      <w:r w:rsidR="00FF084A">
        <w:t>of games sold across various genres for the last 10 years</w:t>
      </w:r>
      <w:r w:rsidR="001F5E20">
        <w:t xml:space="preserve"> (2006-2016) and uncovered</w:t>
      </w:r>
      <w:r w:rsidR="009C510C">
        <w:t xml:space="preserve"> </w:t>
      </w:r>
      <w:r w:rsidR="00F06A99">
        <w:t>those global sales</w:t>
      </w:r>
      <w:r w:rsidR="003B2970">
        <w:t xml:space="preserve"> </w:t>
      </w:r>
      <w:r w:rsidR="00F06A99">
        <w:t>have</w:t>
      </w:r>
      <w:r w:rsidR="003B2970">
        <w:t xml:space="preserve"> declined </w:t>
      </w:r>
      <w:r w:rsidR="00170CB6">
        <w:t xml:space="preserve">across some of the most popular game </w:t>
      </w:r>
      <w:r w:rsidR="002E1F9A">
        <w:t xml:space="preserve">genres. </w:t>
      </w:r>
      <w:r w:rsidR="00584AEA">
        <w:t xml:space="preserve">If we look the line graph (figure 1) </w:t>
      </w:r>
      <w:r w:rsidR="00AF7DE9">
        <w:t xml:space="preserve">the sales figure </w:t>
      </w:r>
      <w:r w:rsidR="00967F1C">
        <w:t>was</w:t>
      </w:r>
      <w:r w:rsidR="00AF7DE9">
        <w:t xml:space="preserve"> quite stable until 201</w:t>
      </w:r>
      <w:r w:rsidR="00A71532">
        <w:t>5</w:t>
      </w:r>
      <w:r w:rsidR="003C0899">
        <w:t xml:space="preserve"> but in 2016 we have seen the </w:t>
      </w:r>
      <w:r w:rsidR="00416BAE">
        <w:t xml:space="preserve">biggest down trend where sales have fallen below the </w:t>
      </w:r>
      <w:r w:rsidR="003C74F3">
        <w:t xml:space="preserve">20 million </w:t>
      </w:r>
      <w:proofErr w:type="gramStart"/>
      <w:r w:rsidR="003C74F3">
        <w:t>mark</w:t>
      </w:r>
      <w:proofErr w:type="gramEnd"/>
      <w:r w:rsidR="003C74F3">
        <w:t xml:space="preserve"> for the </w:t>
      </w:r>
      <w:r w:rsidR="00E42502">
        <w:t xml:space="preserve">most popular </w:t>
      </w:r>
      <w:r w:rsidR="003C74F3">
        <w:t xml:space="preserve">genres. </w:t>
      </w:r>
      <w:r w:rsidR="00F20569">
        <w:t xml:space="preserve">This data </w:t>
      </w:r>
      <w:r w:rsidR="003B67D5">
        <w:t>suggests</w:t>
      </w:r>
      <w:r w:rsidR="00F20569">
        <w:t xml:space="preserve"> </w:t>
      </w:r>
      <w:r w:rsidR="00B82938">
        <w:t>allocating</w:t>
      </w:r>
      <w:r w:rsidR="00F20569">
        <w:t xml:space="preserve"> </w:t>
      </w:r>
      <w:r w:rsidR="00DE3ADA">
        <w:t xml:space="preserve">sales resources and </w:t>
      </w:r>
      <w:r w:rsidR="00D15093">
        <w:t xml:space="preserve">to serving the market to regain the </w:t>
      </w:r>
      <w:r w:rsidR="006A2643">
        <w:t xml:space="preserve">sales. </w:t>
      </w:r>
    </w:p>
    <w:p w14:paraId="011739A3" w14:textId="77777777" w:rsidR="00696FDD" w:rsidRDefault="00696FDD"/>
    <w:p w14:paraId="7C9B9089" w14:textId="77777777" w:rsidR="00696FDD" w:rsidRDefault="00696FDD"/>
    <w:p w14:paraId="37AB4446" w14:textId="7EE919F7" w:rsidR="007F1C85" w:rsidRDefault="005A341E">
      <w:r>
        <w:rPr>
          <w:noProof/>
        </w:rPr>
        <w:drawing>
          <wp:inline distT="0" distB="0" distL="0" distR="0" wp14:anchorId="2DD2DEFE" wp14:editId="321B48DA">
            <wp:extent cx="5943600" cy="3234690"/>
            <wp:effectExtent l="0" t="0" r="12700" b="16510"/>
            <wp:docPr id="1710979753" name="Chart 1">
              <a:extLst xmlns:a="http://schemas.openxmlformats.org/drawingml/2006/main">
                <a:ext uri="{FF2B5EF4-FFF2-40B4-BE49-F238E27FC236}">
                  <a16:creationId xmlns:a16="http://schemas.microsoft.com/office/drawing/2014/main" id="{D6145590-24BF-99CF-39A5-5F2D6F9AAC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3ED6DB61" w14:textId="1867361C" w:rsidR="00144300" w:rsidRDefault="00144300" w:rsidP="00144300">
      <w:pPr>
        <w:jc w:val="center"/>
      </w:pPr>
      <w:r>
        <w:t>Figure 1</w:t>
      </w:r>
    </w:p>
    <w:p w14:paraId="65C65519" w14:textId="77777777" w:rsidR="00F27341" w:rsidRDefault="00F27341" w:rsidP="00514B10"/>
    <w:p w14:paraId="16920847" w14:textId="77777777" w:rsidR="002A6222" w:rsidRDefault="002A6222" w:rsidP="00514B10"/>
    <w:p w14:paraId="6D64A532" w14:textId="77777777" w:rsidR="002A6222" w:rsidRDefault="002A6222" w:rsidP="00514B10"/>
    <w:p w14:paraId="48F4BC72" w14:textId="77777777" w:rsidR="002A6222" w:rsidRDefault="002A6222" w:rsidP="00514B10"/>
    <w:p w14:paraId="24077FE5" w14:textId="77777777" w:rsidR="002A6222" w:rsidRDefault="002A6222" w:rsidP="00514B10"/>
    <w:p w14:paraId="0DC2AB65" w14:textId="77777777" w:rsidR="002A6222" w:rsidRDefault="002A6222" w:rsidP="00514B10"/>
    <w:p w14:paraId="30C64766" w14:textId="77777777" w:rsidR="002A6222" w:rsidRDefault="002A6222" w:rsidP="00514B10"/>
    <w:p w14:paraId="460E26F6" w14:textId="77777777" w:rsidR="002A6222" w:rsidRDefault="002A6222" w:rsidP="00514B10"/>
    <w:p w14:paraId="28CEA711" w14:textId="77777777" w:rsidR="002A6222" w:rsidRDefault="002A6222" w:rsidP="00514B10"/>
    <w:p w14:paraId="6CAEDFA0" w14:textId="77777777" w:rsidR="002A6222" w:rsidRDefault="002A6222" w:rsidP="00514B10"/>
    <w:p w14:paraId="411684FE" w14:textId="77777777" w:rsidR="002A6222" w:rsidRDefault="002A6222" w:rsidP="00514B10"/>
    <w:p w14:paraId="05998597" w14:textId="6C3BA286" w:rsidR="002A6222" w:rsidRDefault="00F27341" w:rsidP="00514B10">
      <w:r>
        <w:lastRenderedPageBreak/>
        <w:t>Even though global sales figure</w:t>
      </w:r>
      <w:r w:rsidR="003B67D5">
        <w:t>s</w:t>
      </w:r>
      <w:r>
        <w:t xml:space="preserve"> </w:t>
      </w:r>
      <w:r w:rsidR="003B67D5">
        <w:t>are</w:t>
      </w:r>
      <w:r>
        <w:t xml:space="preserve"> down, </w:t>
      </w:r>
      <w:r w:rsidR="002C2909">
        <w:t>one</w:t>
      </w:r>
      <w:r>
        <w:t xml:space="preserve"> </w:t>
      </w:r>
      <w:r w:rsidR="00A4312B">
        <w:t xml:space="preserve">interesting figure that may catch </w:t>
      </w:r>
      <w:r w:rsidR="003B67D5">
        <w:t>your</w:t>
      </w:r>
      <w:r w:rsidR="00A4312B">
        <w:t xml:space="preserve"> attention is that </w:t>
      </w:r>
      <w:r w:rsidR="009913E5" w:rsidRPr="009913E5">
        <w:t>Europe sales proportions had started gaining traction and has been on a</w:t>
      </w:r>
      <w:r w:rsidR="00564778">
        <w:t xml:space="preserve">n </w:t>
      </w:r>
      <w:r w:rsidR="009913E5" w:rsidRPr="009913E5">
        <w:t>upward trend</w:t>
      </w:r>
      <w:r w:rsidR="008432B0">
        <w:t xml:space="preserve">. </w:t>
      </w:r>
      <w:r w:rsidR="008432B0">
        <w:t>By</w:t>
      </w:r>
      <w:r w:rsidR="00D4747A">
        <w:t xml:space="preserve"> taking the total sales figures </w:t>
      </w:r>
      <w:r w:rsidR="00CA1186">
        <w:t xml:space="preserve">of Europe, North America, Japan and other regions and </w:t>
      </w:r>
      <w:r w:rsidR="002367A0">
        <w:t xml:space="preserve">calculating </w:t>
      </w:r>
      <w:r w:rsidR="00D46510">
        <w:t>that against the total global sales we can see that Eu</w:t>
      </w:r>
      <w:r w:rsidR="00004165">
        <w:t xml:space="preserve">rope sales have eclipsed NA sales </w:t>
      </w:r>
      <w:r w:rsidR="00DB5D02">
        <w:t>for the first time</w:t>
      </w:r>
      <w:r w:rsidR="00B04D65">
        <w:t xml:space="preserve">. 38% to NA’s 32% of the </w:t>
      </w:r>
      <w:r w:rsidR="00241F2B">
        <w:t>global sales.</w:t>
      </w:r>
      <w:r w:rsidR="008432B0">
        <w:t xml:space="preserve"> </w:t>
      </w:r>
      <w:r w:rsidR="002C2909">
        <w:t xml:space="preserve">(figure 2). </w:t>
      </w:r>
    </w:p>
    <w:p w14:paraId="46B50D9C" w14:textId="77777777" w:rsidR="003B2753" w:rsidRDefault="003B2753" w:rsidP="00514B10"/>
    <w:p w14:paraId="2EBF6CEE" w14:textId="28B31136" w:rsidR="002A6222" w:rsidRDefault="002A6222" w:rsidP="00514B10">
      <w:r>
        <w:rPr>
          <w:noProof/>
        </w:rPr>
        <w:drawing>
          <wp:inline distT="0" distB="0" distL="0" distR="0" wp14:anchorId="78A81310" wp14:editId="66B09BD4">
            <wp:extent cx="5943600" cy="2679700"/>
            <wp:effectExtent l="0" t="0" r="12700" b="12700"/>
            <wp:docPr id="103922317" name="Chart 1">
              <a:extLst xmlns:a="http://schemas.openxmlformats.org/drawingml/2006/main">
                <a:ext uri="{FF2B5EF4-FFF2-40B4-BE49-F238E27FC236}">
                  <a16:creationId xmlns:a16="http://schemas.microsoft.com/office/drawing/2014/main" id="{1E6C2741-DDA5-1144-AF52-C6BBE616AD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33CEF9B4" w14:textId="5576E906" w:rsidR="00050450" w:rsidRDefault="00111636" w:rsidP="00144300">
      <w:pPr>
        <w:jc w:val="center"/>
      </w:pPr>
      <w:r>
        <w:t>Figure 2</w:t>
      </w:r>
    </w:p>
    <w:p w14:paraId="20841BA8" w14:textId="77777777" w:rsidR="00050450" w:rsidRDefault="00050450" w:rsidP="00050450"/>
    <w:p w14:paraId="3946DE88" w14:textId="77777777" w:rsidR="003B2753" w:rsidRDefault="003B2753" w:rsidP="00050450"/>
    <w:p w14:paraId="4EC5FE78" w14:textId="77777777" w:rsidR="003B2753" w:rsidRDefault="003B2753" w:rsidP="00050450"/>
    <w:p w14:paraId="0EFAD93E" w14:textId="77777777" w:rsidR="003B2753" w:rsidRDefault="003B2753" w:rsidP="00050450"/>
    <w:p w14:paraId="149399E5" w14:textId="77777777" w:rsidR="003B2753" w:rsidRDefault="003B2753" w:rsidP="00050450"/>
    <w:p w14:paraId="3F17EADC" w14:textId="77777777" w:rsidR="003B2753" w:rsidRDefault="003B2753" w:rsidP="00050450"/>
    <w:p w14:paraId="0E217FBE" w14:textId="77777777" w:rsidR="003B2753" w:rsidRDefault="003B2753" w:rsidP="00050450"/>
    <w:p w14:paraId="288D401B" w14:textId="77777777" w:rsidR="003B2753" w:rsidRDefault="003B2753" w:rsidP="00050450"/>
    <w:p w14:paraId="4FE174D3" w14:textId="77777777" w:rsidR="003B2753" w:rsidRDefault="003B2753" w:rsidP="00050450"/>
    <w:p w14:paraId="49AB6BDC" w14:textId="77777777" w:rsidR="003B2753" w:rsidRDefault="003B2753" w:rsidP="00050450"/>
    <w:p w14:paraId="0425A699" w14:textId="77777777" w:rsidR="003B2753" w:rsidRDefault="003B2753" w:rsidP="00050450"/>
    <w:p w14:paraId="2A9346A3" w14:textId="77777777" w:rsidR="003B2753" w:rsidRDefault="003B2753" w:rsidP="00050450"/>
    <w:p w14:paraId="5F8E0D1F" w14:textId="77777777" w:rsidR="003B2753" w:rsidRDefault="003B2753" w:rsidP="00050450"/>
    <w:p w14:paraId="2671E090" w14:textId="77777777" w:rsidR="003B2753" w:rsidRDefault="003B2753" w:rsidP="00050450"/>
    <w:p w14:paraId="70C36D1A" w14:textId="77777777" w:rsidR="003B2753" w:rsidRDefault="003B2753" w:rsidP="00050450"/>
    <w:p w14:paraId="13CF1379" w14:textId="77777777" w:rsidR="003B2753" w:rsidRDefault="003B2753" w:rsidP="00050450"/>
    <w:p w14:paraId="243863C0" w14:textId="77777777" w:rsidR="003B2753" w:rsidRDefault="003B2753" w:rsidP="00050450"/>
    <w:p w14:paraId="10118BE4" w14:textId="77777777" w:rsidR="003B2753" w:rsidRDefault="003B2753" w:rsidP="00050450"/>
    <w:p w14:paraId="382A577B" w14:textId="77777777" w:rsidR="003B2753" w:rsidRDefault="003B2753" w:rsidP="00050450"/>
    <w:p w14:paraId="5D514CBD" w14:textId="77777777" w:rsidR="003B2753" w:rsidRDefault="003B2753" w:rsidP="00050450"/>
    <w:p w14:paraId="17FD1517" w14:textId="77777777" w:rsidR="003B2753" w:rsidRDefault="003B2753" w:rsidP="00050450"/>
    <w:p w14:paraId="3C77147C" w14:textId="77777777" w:rsidR="008B6429" w:rsidRDefault="008B6429" w:rsidP="00050450"/>
    <w:p w14:paraId="05B2477C" w14:textId="0A8D625E" w:rsidR="0072259F" w:rsidRDefault="008B6429" w:rsidP="00050450">
      <w:r>
        <w:lastRenderedPageBreak/>
        <w:t xml:space="preserve">If we look at the data </w:t>
      </w:r>
      <w:r w:rsidR="00F46504">
        <w:t>a little more closely, we can that</w:t>
      </w:r>
      <w:r w:rsidR="00F46504">
        <w:t xml:space="preserve"> </w:t>
      </w:r>
      <w:r w:rsidR="00F46504">
        <w:t xml:space="preserve">Europe sales have surpassed </w:t>
      </w:r>
      <w:r w:rsidR="00F46504">
        <w:t>North America</w:t>
      </w:r>
      <w:r w:rsidR="00F46504">
        <w:t xml:space="preserve"> </w:t>
      </w:r>
      <w:r w:rsidR="00DD0B70">
        <w:t xml:space="preserve">26.76 to </w:t>
      </w:r>
      <w:r w:rsidR="000E5466">
        <w:t>22.66</w:t>
      </w:r>
      <w:r w:rsidR="0072259F">
        <w:t xml:space="preserve"> (figure3)</w:t>
      </w:r>
      <w:r w:rsidR="000E5466">
        <w:t xml:space="preserve">. </w:t>
      </w:r>
      <w:r w:rsidR="00FC0232">
        <w:t xml:space="preserve">That is a significant difference </w:t>
      </w:r>
      <w:r w:rsidR="00143B5D">
        <w:t>(</w:t>
      </w:r>
      <w:r w:rsidR="00FC0232">
        <w:t>16</w:t>
      </w:r>
      <w:r w:rsidR="004328A6">
        <w:t>.58%</w:t>
      </w:r>
      <w:r w:rsidR="00143B5D">
        <w:t>)</w:t>
      </w:r>
      <w:r w:rsidR="004328A6">
        <w:t xml:space="preserve"> given this is the first time this has ever happened </w:t>
      </w:r>
      <w:r w:rsidR="00AC3DFD">
        <w:t>based on the data</w:t>
      </w:r>
      <w:r w:rsidR="00B41950">
        <w:t xml:space="preserve"> we are analyzing</w:t>
      </w:r>
      <w:r w:rsidR="001E2B22">
        <w:t xml:space="preserve">. </w:t>
      </w:r>
    </w:p>
    <w:p w14:paraId="2C367A79" w14:textId="77777777" w:rsidR="0072259F" w:rsidRDefault="0072259F" w:rsidP="00050450"/>
    <w:p w14:paraId="1FE24041" w14:textId="33E4785F" w:rsidR="008B6429" w:rsidRDefault="0072259F" w:rsidP="00050450">
      <w:r>
        <w:rPr>
          <w:noProof/>
        </w:rPr>
        <w:drawing>
          <wp:inline distT="0" distB="0" distL="0" distR="0" wp14:anchorId="5EEAA00A" wp14:editId="0B9E21CE">
            <wp:extent cx="5943600" cy="3532505"/>
            <wp:effectExtent l="0" t="0" r="12700" b="10795"/>
            <wp:docPr id="1510805527" name="Chart 1">
              <a:extLst xmlns:a="http://schemas.openxmlformats.org/drawingml/2006/main">
                <a:ext uri="{FF2B5EF4-FFF2-40B4-BE49-F238E27FC236}">
                  <a16:creationId xmlns:a16="http://schemas.microsoft.com/office/drawing/2014/main" id="{4BDE9C69-FF34-A788-77DD-302C966807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r w:rsidR="00316CE1">
        <w:t xml:space="preserve"> </w:t>
      </w:r>
    </w:p>
    <w:p w14:paraId="5EBF1420" w14:textId="66D77A36" w:rsidR="0072259F" w:rsidRDefault="0072259F" w:rsidP="0072259F">
      <w:pPr>
        <w:jc w:val="center"/>
      </w:pPr>
      <w:r>
        <w:t>Figure 3</w:t>
      </w:r>
    </w:p>
    <w:p w14:paraId="739EEB91" w14:textId="77777777" w:rsidR="0072259F" w:rsidRDefault="0072259F" w:rsidP="00050450"/>
    <w:p w14:paraId="0F7115B2" w14:textId="77777777" w:rsidR="0072259F" w:rsidRDefault="0072259F" w:rsidP="00050450"/>
    <w:p w14:paraId="17243CAD" w14:textId="77777777" w:rsidR="0072259F" w:rsidRDefault="0072259F" w:rsidP="00050450"/>
    <w:p w14:paraId="0F292C93" w14:textId="77777777" w:rsidR="00D35EDB" w:rsidRDefault="00D35EDB" w:rsidP="0072259F"/>
    <w:p w14:paraId="3D773B96" w14:textId="77777777" w:rsidR="00D35EDB" w:rsidRDefault="00D35EDB" w:rsidP="0072259F"/>
    <w:p w14:paraId="021DB65E" w14:textId="77777777" w:rsidR="00D35EDB" w:rsidRPr="00187BDD" w:rsidRDefault="00D35EDB" w:rsidP="0072259F"/>
    <w:p w14:paraId="5022B9E7" w14:textId="77777777" w:rsidR="00D35EDB" w:rsidRDefault="00D35EDB" w:rsidP="0072259F"/>
    <w:p w14:paraId="1CDEB528" w14:textId="77777777" w:rsidR="00D35EDB" w:rsidRDefault="00D35EDB" w:rsidP="0072259F"/>
    <w:p w14:paraId="5DAECC9F" w14:textId="77777777" w:rsidR="00D35EDB" w:rsidRDefault="00D35EDB" w:rsidP="0072259F"/>
    <w:p w14:paraId="3CC493A7" w14:textId="77777777" w:rsidR="00D35EDB" w:rsidRDefault="00D35EDB" w:rsidP="0072259F"/>
    <w:p w14:paraId="1CECA1C9" w14:textId="77777777" w:rsidR="00D35EDB" w:rsidRDefault="00D35EDB" w:rsidP="0072259F"/>
    <w:p w14:paraId="6010C3D0" w14:textId="77777777" w:rsidR="00D35EDB" w:rsidRDefault="00D35EDB" w:rsidP="0072259F"/>
    <w:p w14:paraId="4C99515B" w14:textId="77777777" w:rsidR="00D35EDB" w:rsidRDefault="00D35EDB" w:rsidP="0072259F"/>
    <w:p w14:paraId="29778ACB" w14:textId="77777777" w:rsidR="00D35EDB" w:rsidRDefault="00D35EDB" w:rsidP="0072259F"/>
    <w:p w14:paraId="294754A7" w14:textId="77777777" w:rsidR="00D35EDB" w:rsidRDefault="00D35EDB" w:rsidP="0072259F"/>
    <w:p w14:paraId="522B034C" w14:textId="77777777" w:rsidR="00D35EDB" w:rsidRDefault="00D35EDB" w:rsidP="0072259F"/>
    <w:p w14:paraId="11326C35" w14:textId="77777777" w:rsidR="00D35EDB" w:rsidRDefault="00D35EDB" w:rsidP="0072259F"/>
    <w:p w14:paraId="509DF43E" w14:textId="77777777" w:rsidR="00D35EDB" w:rsidRDefault="00D35EDB" w:rsidP="0072259F"/>
    <w:p w14:paraId="31C5DC87" w14:textId="77777777" w:rsidR="00D35EDB" w:rsidRDefault="00D35EDB" w:rsidP="0072259F"/>
    <w:p w14:paraId="269B21B2" w14:textId="77777777" w:rsidR="00D35EDB" w:rsidRDefault="00D35EDB" w:rsidP="0072259F"/>
    <w:p w14:paraId="49ABF34A" w14:textId="1F5F1C4C" w:rsidR="0072259F" w:rsidRDefault="0072259F" w:rsidP="0072259F">
      <w:r>
        <w:lastRenderedPageBreak/>
        <w:t xml:space="preserve">If we look deeper into this, we can see that </w:t>
      </w:r>
      <w:r w:rsidR="00FF3AE9">
        <w:t xml:space="preserve">Action, </w:t>
      </w:r>
      <w:r>
        <w:t xml:space="preserve">Strategy, sports and shooting game sales figures contributed the most </w:t>
      </w:r>
      <w:r w:rsidR="006A2274">
        <w:t xml:space="preserve">to the sales figures. </w:t>
      </w:r>
      <w:r>
        <w:t xml:space="preserve">(figure </w:t>
      </w:r>
      <w:r w:rsidR="00D57A9A">
        <w:t>4</w:t>
      </w:r>
      <w:r>
        <w:t xml:space="preserve">). </w:t>
      </w:r>
    </w:p>
    <w:p w14:paraId="64A14774" w14:textId="77777777" w:rsidR="0072259F" w:rsidRDefault="0072259F" w:rsidP="0072259F">
      <w:r>
        <w:rPr>
          <w:noProof/>
        </w:rPr>
        <w:drawing>
          <wp:inline distT="0" distB="0" distL="0" distR="0" wp14:anchorId="0EF0A4CC" wp14:editId="17F8A5DB">
            <wp:extent cx="5943600" cy="3462020"/>
            <wp:effectExtent l="0" t="0" r="12700" b="17780"/>
            <wp:docPr id="1814731629" name="Chart 1">
              <a:extLst xmlns:a="http://schemas.openxmlformats.org/drawingml/2006/main">
                <a:ext uri="{FF2B5EF4-FFF2-40B4-BE49-F238E27FC236}">
                  <a16:creationId xmlns:a16="http://schemas.microsoft.com/office/drawing/2014/main" id="{F8836A7C-CE2F-E0E3-8EC5-249FA21F0B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B77BFD8" w14:textId="397B4211" w:rsidR="004F63D9" w:rsidRDefault="00D57A9A" w:rsidP="00D57A9A">
      <w:pPr>
        <w:jc w:val="center"/>
      </w:pPr>
      <w:r>
        <w:t>Figure 4</w:t>
      </w:r>
    </w:p>
    <w:p w14:paraId="3223E80C" w14:textId="77777777" w:rsidR="004F63D9" w:rsidRDefault="004F63D9" w:rsidP="0072259F"/>
    <w:p w14:paraId="1A3F2AB9" w14:textId="729AFABF" w:rsidR="0072259F" w:rsidRDefault="004F63D9" w:rsidP="0072259F">
      <w:r>
        <w:t xml:space="preserve">If we compare the </w:t>
      </w:r>
      <w:r w:rsidR="00330A8D">
        <w:t xml:space="preserve">sales of these </w:t>
      </w:r>
      <w:r w:rsidR="00702299">
        <w:t>popular</w:t>
      </w:r>
      <w:r w:rsidR="00330A8D">
        <w:t xml:space="preserve"> gen</w:t>
      </w:r>
      <w:r w:rsidR="009A5C43">
        <w:t xml:space="preserve">res </w:t>
      </w:r>
      <w:r w:rsidR="00702299">
        <w:t>from</w:t>
      </w:r>
      <w:r w:rsidR="009A5C43">
        <w:t xml:space="preserve"> the last </w:t>
      </w:r>
      <w:r w:rsidR="00103EBE">
        <w:t xml:space="preserve">few years </w:t>
      </w:r>
      <w:r w:rsidR="009A5C43">
        <w:t xml:space="preserve">between Europe </w:t>
      </w:r>
      <w:r w:rsidR="005A1B77">
        <w:t xml:space="preserve">and North America, </w:t>
      </w:r>
      <w:r w:rsidR="00702299">
        <w:t xml:space="preserve">we can see </w:t>
      </w:r>
      <w:r w:rsidR="00631ACA">
        <w:t xml:space="preserve">that the Europe market </w:t>
      </w:r>
      <w:r w:rsidR="005A1B77">
        <w:t>has overtaken the sales</w:t>
      </w:r>
      <w:r w:rsidR="00D57A9A">
        <w:t xml:space="preserve"> (figure 4)</w:t>
      </w:r>
      <w:r w:rsidR="00C56574">
        <w:t xml:space="preserve">. </w:t>
      </w:r>
    </w:p>
    <w:p w14:paraId="3F3E4AA3" w14:textId="77777777" w:rsidR="00D57A9A" w:rsidRDefault="00D57A9A" w:rsidP="0072259F"/>
    <w:p w14:paraId="5CB0589B" w14:textId="1C707F51" w:rsidR="00D57A9A" w:rsidRDefault="00D57A9A" w:rsidP="0072259F">
      <w:r>
        <w:rPr>
          <w:noProof/>
        </w:rPr>
        <w:drawing>
          <wp:inline distT="0" distB="0" distL="0" distR="0" wp14:anchorId="22D1073E" wp14:editId="235656F6">
            <wp:extent cx="5943600" cy="3152775"/>
            <wp:effectExtent l="0" t="0" r="12700" b="9525"/>
            <wp:docPr id="387578604" name="Chart 1">
              <a:extLst xmlns:a="http://schemas.openxmlformats.org/drawingml/2006/main">
                <a:ext uri="{FF2B5EF4-FFF2-40B4-BE49-F238E27FC236}">
                  <a16:creationId xmlns:a16="http://schemas.microsoft.com/office/drawing/2014/main" id="{C586F573-F198-FD1F-84C3-FC6EF7E09C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5E6A6F1" w14:textId="19AD4DBD" w:rsidR="00066ECA" w:rsidRDefault="00D57A9A" w:rsidP="004E0509">
      <w:pPr>
        <w:jc w:val="center"/>
      </w:pPr>
      <w:r>
        <w:t>Figure 5</w:t>
      </w:r>
    </w:p>
    <w:p w14:paraId="0456BF2C" w14:textId="035889D3" w:rsidR="0072259F" w:rsidRDefault="00AC687D" w:rsidP="0072259F">
      <w:r>
        <w:lastRenderedPageBreak/>
        <w:t>This brings me t</w:t>
      </w:r>
      <w:r w:rsidR="00EC6F84">
        <w:t>o the poin</w:t>
      </w:r>
      <w:r w:rsidR="00BF44E0">
        <w:t xml:space="preserve">t, looking at this data suggests </w:t>
      </w:r>
      <w:r w:rsidR="00E013B8">
        <w:t>there is a shift in the market</w:t>
      </w:r>
      <w:r w:rsidR="00122C09">
        <w:t xml:space="preserve">. </w:t>
      </w:r>
      <w:r w:rsidR="00814632">
        <w:t xml:space="preserve">We can see </w:t>
      </w:r>
      <w:r w:rsidR="0098131D">
        <w:t>the number of video game players increasing in Europe</w:t>
      </w:r>
      <w:r w:rsidR="00F43CC4">
        <w:t>. T</w:t>
      </w:r>
      <w:r w:rsidR="0072076C">
        <w:t xml:space="preserve">he data </w:t>
      </w:r>
      <w:r w:rsidR="00124B44">
        <w:t>also suggests</w:t>
      </w:r>
      <w:r w:rsidR="0072076C">
        <w:t xml:space="preserve"> that we should allocate </w:t>
      </w:r>
      <w:r w:rsidR="002D7A04">
        <w:t xml:space="preserve">marketing and sales resources to </w:t>
      </w:r>
      <w:r w:rsidR="007F6A46">
        <w:t>gain some of the market share</w:t>
      </w:r>
      <w:r w:rsidR="00941AC0">
        <w:t xml:space="preserve">. </w:t>
      </w:r>
    </w:p>
    <w:p w14:paraId="65EDD1AE" w14:textId="77777777" w:rsidR="0072259F" w:rsidRDefault="0072259F" w:rsidP="00050450"/>
    <w:sectPr w:rsidR="0072259F" w:rsidSect="000F00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40F"/>
    <w:rsid w:val="000016BD"/>
    <w:rsid w:val="00004165"/>
    <w:rsid w:val="00004830"/>
    <w:rsid w:val="000138C6"/>
    <w:rsid w:val="0001650A"/>
    <w:rsid w:val="00030491"/>
    <w:rsid w:val="00032E2B"/>
    <w:rsid w:val="0003696E"/>
    <w:rsid w:val="000425C5"/>
    <w:rsid w:val="00050450"/>
    <w:rsid w:val="00055661"/>
    <w:rsid w:val="00066ECA"/>
    <w:rsid w:val="0009202E"/>
    <w:rsid w:val="0009345F"/>
    <w:rsid w:val="000B6804"/>
    <w:rsid w:val="000C0E4E"/>
    <w:rsid w:val="000E5466"/>
    <w:rsid w:val="000F00CF"/>
    <w:rsid w:val="000F04BF"/>
    <w:rsid w:val="00103EBE"/>
    <w:rsid w:val="00111636"/>
    <w:rsid w:val="00112291"/>
    <w:rsid w:val="00122C09"/>
    <w:rsid w:val="00124B44"/>
    <w:rsid w:val="00143B5D"/>
    <w:rsid w:val="00144300"/>
    <w:rsid w:val="001454BB"/>
    <w:rsid w:val="00170CB6"/>
    <w:rsid w:val="00187684"/>
    <w:rsid w:val="00187BDD"/>
    <w:rsid w:val="001905C8"/>
    <w:rsid w:val="001A7ED8"/>
    <w:rsid w:val="001B62AC"/>
    <w:rsid w:val="001E2B22"/>
    <w:rsid w:val="001E48D1"/>
    <w:rsid w:val="001E795D"/>
    <w:rsid w:val="001F5D8A"/>
    <w:rsid w:val="001F5E20"/>
    <w:rsid w:val="00213B82"/>
    <w:rsid w:val="002168FA"/>
    <w:rsid w:val="002367A0"/>
    <w:rsid w:val="00241F2B"/>
    <w:rsid w:val="002946F3"/>
    <w:rsid w:val="00297880"/>
    <w:rsid w:val="002A6222"/>
    <w:rsid w:val="002A6DF0"/>
    <w:rsid w:val="002C2909"/>
    <w:rsid w:val="002D7A04"/>
    <w:rsid w:val="002E1F9A"/>
    <w:rsid w:val="002E5CA4"/>
    <w:rsid w:val="002E7B1B"/>
    <w:rsid w:val="00316CE1"/>
    <w:rsid w:val="00330A8D"/>
    <w:rsid w:val="00353310"/>
    <w:rsid w:val="003674A1"/>
    <w:rsid w:val="003952CD"/>
    <w:rsid w:val="003B2753"/>
    <w:rsid w:val="003B2970"/>
    <w:rsid w:val="003B67D5"/>
    <w:rsid w:val="003C0899"/>
    <w:rsid w:val="003C74F3"/>
    <w:rsid w:val="003E12D6"/>
    <w:rsid w:val="003E2924"/>
    <w:rsid w:val="00405D30"/>
    <w:rsid w:val="00416BAE"/>
    <w:rsid w:val="004232F7"/>
    <w:rsid w:val="004328A6"/>
    <w:rsid w:val="004355A9"/>
    <w:rsid w:val="00453087"/>
    <w:rsid w:val="00454431"/>
    <w:rsid w:val="00477875"/>
    <w:rsid w:val="004966E3"/>
    <w:rsid w:val="004E0509"/>
    <w:rsid w:val="004F213E"/>
    <w:rsid w:val="004F63D9"/>
    <w:rsid w:val="00506092"/>
    <w:rsid w:val="00514B10"/>
    <w:rsid w:val="0052022B"/>
    <w:rsid w:val="00520865"/>
    <w:rsid w:val="0052307F"/>
    <w:rsid w:val="00564778"/>
    <w:rsid w:val="00584AEA"/>
    <w:rsid w:val="00594437"/>
    <w:rsid w:val="0059742F"/>
    <w:rsid w:val="005A065D"/>
    <w:rsid w:val="005A1B77"/>
    <w:rsid w:val="005A341E"/>
    <w:rsid w:val="005C6D9B"/>
    <w:rsid w:val="005F57EA"/>
    <w:rsid w:val="006037F8"/>
    <w:rsid w:val="00631ACA"/>
    <w:rsid w:val="00636DA0"/>
    <w:rsid w:val="00650F83"/>
    <w:rsid w:val="00685EE3"/>
    <w:rsid w:val="00696FDD"/>
    <w:rsid w:val="006A2274"/>
    <w:rsid w:val="006A2643"/>
    <w:rsid w:val="006A3F85"/>
    <w:rsid w:val="006A7FB2"/>
    <w:rsid w:val="006C557B"/>
    <w:rsid w:val="006C6089"/>
    <w:rsid w:val="006C7DD6"/>
    <w:rsid w:val="006D2355"/>
    <w:rsid w:val="006D4E94"/>
    <w:rsid w:val="00702299"/>
    <w:rsid w:val="007165B1"/>
    <w:rsid w:val="0072076C"/>
    <w:rsid w:val="0072259F"/>
    <w:rsid w:val="007352C5"/>
    <w:rsid w:val="0073740F"/>
    <w:rsid w:val="00762830"/>
    <w:rsid w:val="00766A4C"/>
    <w:rsid w:val="007967D6"/>
    <w:rsid w:val="007B1F5D"/>
    <w:rsid w:val="007B2282"/>
    <w:rsid w:val="007E0E3F"/>
    <w:rsid w:val="007E5E1F"/>
    <w:rsid w:val="007E68C5"/>
    <w:rsid w:val="007F1C85"/>
    <w:rsid w:val="007F6A46"/>
    <w:rsid w:val="00814632"/>
    <w:rsid w:val="00814E8C"/>
    <w:rsid w:val="0082113A"/>
    <w:rsid w:val="008432B0"/>
    <w:rsid w:val="00865D40"/>
    <w:rsid w:val="00873219"/>
    <w:rsid w:val="00885F37"/>
    <w:rsid w:val="008B0AC1"/>
    <w:rsid w:val="008B6429"/>
    <w:rsid w:val="008C21CD"/>
    <w:rsid w:val="008E3501"/>
    <w:rsid w:val="00941AC0"/>
    <w:rsid w:val="00946204"/>
    <w:rsid w:val="00967F1C"/>
    <w:rsid w:val="0098131D"/>
    <w:rsid w:val="009867E3"/>
    <w:rsid w:val="009913E5"/>
    <w:rsid w:val="0099672E"/>
    <w:rsid w:val="009A5598"/>
    <w:rsid w:val="009A594B"/>
    <w:rsid w:val="009A5C43"/>
    <w:rsid w:val="009C510C"/>
    <w:rsid w:val="009E4154"/>
    <w:rsid w:val="009E7CB8"/>
    <w:rsid w:val="009F0C37"/>
    <w:rsid w:val="00A034E8"/>
    <w:rsid w:val="00A06212"/>
    <w:rsid w:val="00A4312B"/>
    <w:rsid w:val="00A71532"/>
    <w:rsid w:val="00A72885"/>
    <w:rsid w:val="00A8794B"/>
    <w:rsid w:val="00AA2702"/>
    <w:rsid w:val="00AA3D32"/>
    <w:rsid w:val="00AB112A"/>
    <w:rsid w:val="00AC0980"/>
    <w:rsid w:val="00AC3DFD"/>
    <w:rsid w:val="00AC687D"/>
    <w:rsid w:val="00AD67D2"/>
    <w:rsid w:val="00AF7DE9"/>
    <w:rsid w:val="00B012A5"/>
    <w:rsid w:val="00B04D65"/>
    <w:rsid w:val="00B36045"/>
    <w:rsid w:val="00B41950"/>
    <w:rsid w:val="00B513F7"/>
    <w:rsid w:val="00B652C5"/>
    <w:rsid w:val="00B82938"/>
    <w:rsid w:val="00BB187B"/>
    <w:rsid w:val="00BF0BC7"/>
    <w:rsid w:val="00BF44E0"/>
    <w:rsid w:val="00C01715"/>
    <w:rsid w:val="00C413DE"/>
    <w:rsid w:val="00C56574"/>
    <w:rsid w:val="00C92254"/>
    <w:rsid w:val="00CA1186"/>
    <w:rsid w:val="00CB007A"/>
    <w:rsid w:val="00CB538E"/>
    <w:rsid w:val="00CC0168"/>
    <w:rsid w:val="00D11804"/>
    <w:rsid w:val="00D15093"/>
    <w:rsid w:val="00D35EDB"/>
    <w:rsid w:val="00D46510"/>
    <w:rsid w:val="00D4747A"/>
    <w:rsid w:val="00D57A9A"/>
    <w:rsid w:val="00D92D0A"/>
    <w:rsid w:val="00D973FF"/>
    <w:rsid w:val="00DB5D02"/>
    <w:rsid w:val="00DD0B70"/>
    <w:rsid w:val="00DD2F9F"/>
    <w:rsid w:val="00DE3ADA"/>
    <w:rsid w:val="00E013B8"/>
    <w:rsid w:val="00E21681"/>
    <w:rsid w:val="00E42502"/>
    <w:rsid w:val="00E809BE"/>
    <w:rsid w:val="00E86D7B"/>
    <w:rsid w:val="00E96DD2"/>
    <w:rsid w:val="00EC1169"/>
    <w:rsid w:val="00EC6F84"/>
    <w:rsid w:val="00F0195A"/>
    <w:rsid w:val="00F027CD"/>
    <w:rsid w:val="00F06A99"/>
    <w:rsid w:val="00F100EF"/>
    <w:rsid w:val="00F17742"/>
    <w:rsid w:val="00F20569"/>
    <w:rsid w:val="00F2151A"/>
    <w:rsid w:val="00F27341"/>
    <w:rsid w:val="00F43CC4"/>
    <w:rsid w:val="00F46504"/>
    <w:rsid w:val="00F867CC"/>
    <w:rsid w:val="00F97675"/>
    <w:rsid w:val="00FB2B5B"/>
    <w:rsid w:val="00FC0232"/>
    <w:rsid w:val="00FC0529"/>
    <w:rsid w:val="00FC7461"/>
    <w:rsid w:val="00FD0B83"/>
    <w:rsid w:val="00FD3EC5"/>
    <w:rsid w:val="00FF084A"/>
    <w:rsid w:val="00FF3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AC3FF6"/>
  <w15:chartTrackingRefBased/>
  <w15:docId w15:val="{ACF7CABD-159A-E644-ABDE-6ED64995A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74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4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4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4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4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4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4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4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4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4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4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4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4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4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40F"/>
    <w:rPr>
      <w:rFonts w:eastAsiaTheme="majorEastAsia" w:cstheme="majorBidi"/>
      <w:color w:val="272727" w:themeColor="text1" w:themeTint="D8"/>
    </w:rPr>
  </w:style>
  <w:style w:type="paragraph" w:styleId="Title">
    <w:name w:val="Title"/>
    <w:basedOn w:val="Normal"/>
    <w:next w:val="Normal"/>
    <w:link w:val="TitleChar"/>
    <w:uiPriority w:val="10"/>
    <w:qFormat/>
    <w:rsid w:val="007374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40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4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740F"/>
    <w:rPr>
      <w:i/>
      <w:iCs/>
      <w:color w:val="404040" w:themeColor="text1" w:themeTint="BF"/>
    </w:rPr>
  </w:style>
  <w:style w:type="paragraph" w:styleId="ListParagraph">
    <w:name w:val="List Paragraph"/>
    <w:basedOn w:val="Normal"/>
    <w:uiPriority w:val="34"/>
    <w:qFormat/>
    <w:rsid w:val="0073740F"/>
    <w:pPr>
      <w:ind w:left="720"/>
      <w:contextualSpacing/>
    </w:pPr>
  </w:style>
  <w:style w:type="character" w:styleId="IntenseEmphasis">
    <w:name w:val="Intense Emphasis"/>
    <w:basedOn w:val="DefaultParagraphFont"/>
    <w:uiPriority w:val="21"/>
    <w:qFormat/>
    <w:rsid w:val="0073740F"/>
    <w:rPr>
      <w:i/>
      <w:iCs/>
      <w:color w:val="0F4761" w:themeColor="accent1" w:themeShade="BF"/>
    </w:rPr>
  </w:style>
  <w:style w:type="paragraph" w:styleId="IntenseQuote">
    <w:name w:val="Intense Quote"/>
    <w:basedOn w:val="Normal"/>
    <w:next w:val="Normal"/>
    <w:link w:val="IntenseQuoteChar"/>
    <w:uiPriority w:val="30"/>
    <w:qFormat/>
    <w:rsid w:val="00737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40F"/>
    <w:rPr>
      <w:i/>
      <w:iCs/>
      <w:color w:val="0F4761" w:themeColor="accent1" w:themeShade="BF"/>
    </w:rPr>
  </w:style>
  <w:style w:type="character" w:styleId="IntenseReference">
    <w:name w:val="Intense Reference"/>
    <w:basedOn w:val="DefaultParagraphFont"/>
    <w:uiPriority w:val="32"/>
    <w:qFormat/>
    <w:rsid w:val="007374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5.xml"/><Relationship Id="rId3" Type="http://schemas.openxmlformats.org/officeDocument/2006/relationships/webSettings" Target="webSettings.xml"/><Relationship Id="rId7" Type="http://schemas.openxmlformats.org/officeDocument/2006/relationships/chart" Target="charts/chart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3.xml"/><Relationship Id="rId5" Type="http://schemas.openxmlformats.org/officeDocument/2006/relationships/chart" Target="charts/chart2.xml"/><Relationship Id="rId10" Type="http://schemas.openxmlformats.org/officeDocument/2006/relationships/theme" Target="theme/theme1.xml"/><Relationship Id="rId4" Type="http://schemas.openxmlformats.org/officeDocument/2006/relationships/chart" Target="charts/chart1.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Users/mohammedRusso/Documents/DATA_ANALYST_COURSE/DataAnalyst_Resources/Ex-1.8-MM-templat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mohammedRusso/Documents/DATA_ANALYST_COURSE/DataAnalyst_Resources/Ex-1.8-MM-templat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mohammedRusso/Documents/DATA_ANALYST_COURSE/DataAnalyst_Resources/Ex-1.8-MM-templat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mohammedRusso/Documents/DATA_ANALYST_COURSE/DataAnalyst_Resources/Ex-1.8-MM-templat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mohammedRusso/Documents/DATA_ANALYST_COURSE/DataAnalyst_Resources/Ex-1.8-MM-template.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[Ex-1.8-MM-template.xlsx]Sheet1!PivotTable3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Global sales figures of popular genres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w="28575" cap="rnd">
            <a:solidFill>
              <a:schemeClr val="accent1"/>
            </a:solidFill>
            <a:round/>
          </a:ln>
          <a:effectLst/>
        </c:spPr>
      </c:pivotFmt>
      <c:pivotFmt>
        <c:idx val="2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Sheet1!$B$3:$B$4</c:f>
              <c:strCache>
                <c:ptCount val="1"/>
                <c:pt idx="0">
                  <c:v>Action</c:v>
                </c:pt>
              </c:strCache>
            </c:strRef>
          </c:tx>
          <c:spPr>
            <a:ln w="28575" cap="rnd">
              <a:solidFill>
                <a:schemeClr val="accent1"/>
              </a:solidFill>
              <a:round/>
            </a:ln>
            <a:effectLst/>
          </c:spPr>
          <c:marker>
            <c:symbol val="none"/>
          </c:marker>
          <c:cat>
            <c:strRef>
              <c:f>Sheet1!$A$5:$A$16</c:f>
              <c:strCache>
                <c:ptCount val="11"/>
                <c:pt idx="0">
                  <c:v>2006</c:v>
                </c:pt>
                <c:pt idx="1">
                  <c:v>2007</c:v>
                </c:pt>
                <c:pt idx="2">
                  <c:v>2008</c:v>
                </c:pt>
                <c:pt idx="3">
                  <c:v>2009</c:v>
                </c:pt>
                <c:pt idx="4">
                  <c:v>2010</c:v>
                </c:pt>
                <c:pt idx="5">
                  <c:v>2011</c:v>
                </c:pt>
                <c:pt idx="6">
                  <c:v>2012</c:v>
                </c:pt>
                <c:pt idx="7">
                  <c:v>2013</c:v>
                </c:pt>
                <c:pt idx="8">
                  <c:v>2014</c:v>
                </c:pt>
                <c:pt idx="9">
                  <c:v>2015</c:v>
                </c:pt>
                <c:pt idx="10">
                  <c:v>2016</c:v>
                </c:pt>
              </c:strCache>
            </c:strRef>
          </c:cat>
          <c:val>
            <c:numRef>
              <c:f>Sheet1!$B$5:$B$16</c:f>
              <c:numCache>
                <c:formatCode>General</c:formatCode>
                <c:ptCount val="11"/>
                <c:pt idx="0">
                  <c:v>66.580000000000013</c:v>
                </c:pt>
                <c:pt idx="1">
                  <c:v>106.50000000000004</c:v>
                </c:pt>
                <c:pt idx="2">
                  <c:v>136.3899999999999</c:v>
                </c:pt>
                <c:pt idx="3">
                  <c:v>139.35999999999993</c:v>
                </c:pt>
                <c:pt idx="4">
                  <c:v>117.64000000000006</c:v>
                </c:pt>
                <c:pt idx="5">
                  <c:v>118.96000000000005</c:v>
                </c:pt>
                <c:pt idx="6">
                  <c:v>122.04000000000003</c:v>
                </c:pt>
                <c:pt idx="7">
                  <c:v>125.21999999999997</c:v>
                </c:pt>
                <c:pt idx="8">
                  <c:v>99.02000000000011</c:v>
                </c:pt>
                <c:pt idx="9">
                  <c:v>70.700000000000031</c:v>
                </c:pt>
                <c:pt idx="10">
                  <c:v>19.910000000000004</c:v>
                </c:pt>
              </c:numCache>
            </c:numRef>
          </c:val>
          <c:smooth val="0"/>
          <c:extLst>
            <c:ext xmlns:c16="http://schemas.microsoft.com/office/drawing/2014/chart" uri="{C3380CC4-5D6E-409C-BE32-E72D297353CC}">
              <c16:uniqueId val="{00000000-2A42-5B4B-9810-D60132F5E456}"/>
            </c:ext>
          </c:extLst>
        </c:ser>
        <c:ser>
          <c:idx val="1"/>
          <c:order val="1"/>
          <c:tx>
            <c:strRef>
              <c:f>Sheet1!$C$3:$C$4</c:f>
              <c:strCache>
                <c:ptCount val="1"/>
                <c:pt idx="0">
                  <c:v>Adventure</c:v>
                </c:pt>
              </c:strCache>
            </c:strRef>
          </c:tx>
          <c:spPr>
            <a:ln w="28575" cap="rnd">
              <a:solidFill>
                <a:schemeClr val="accent2"/>
              </a:solidFill>
              <a:round/>
            </a:ln>
            <a:effectLst/>
          </c:spPr>
          <c:marker>
            <c:symbol val="none"/>
          </c:marker>
          <c:cat>
            <c:strRef>
              <c:f>Sheet1!$A$5:$A$16</c:f>
              <c:strCache>
                <c:ptCount val="11"/>
                <c:pt idx="0">
                  <c:v>2006</c:v>
                </c:pt>
                <c:pt idx="1">
                  <c:v>2007</c:v>
                </c:pt>
                <c:pt idx="2">
                  <c:v>2008</c:v>
                </c:pt>
                <c:pt idx="3">
                  <c:v>2009</c:v>
                </c:pt>
                <c:pt idx="4">
                  <c:v>2010</c:v>
                </c:pt>
                <c:pt idx="5">
                  <c:v>2011</c:v>
                </c:pt>
                <c:pt idx="6">
                  <c:v>2012</c:v>
                </c:pt>
                <c:pt idx="7">
                  <c:v>2013</c:v>
                </c:pt>
                <c:pt idx="8">
                  <c:v>2014</c:v>
                </c:pt>
                <c:pt idx="9">
                  <c:v>2015</c:v>
                </c:pt>
                <c:pt idx="10">
                  <c:v>2016</c:v>
                </c:pt>
              </c:strCache>
            </c:strRef>
          </c:cat>
          <c:val>
            <c:numRef>
              <c:f>Sheet1!$C$5:$C$16</c:f>
              <c:numCache>
                <c:formatCode>General</c:formatCode>
                <c:ptCount val="11"/>
                <c:pt idx="0">
                  <c:v>11.429999999999998</c:v>
                </c:pt>
                <c:pt idx="1">
                  <c:v>24.43</c:v>
                </c:pt>
                <c:pt idx="2">
                  <c:v>24.899999999999988</c:v>
                </c:pt>
                <c:pt idx="3">
                  <c:v>20.600000000000009</c:v>
                </c:pt>
                <c:pt idx="4">
                  <c:v>16.489999999999995</c:v>
                </c:pt>
                <c:pt idx="5">
                  <c:v>15.899999999999986</c:v>
                </c:pt>
                <c:pt idx="6">
                  <c:v>5.9900000000000011</c:v>
                </c:pt>
                <c:pt idx="7">
                  <c:v>6.5299999999999967</c:v>
                </c:pt>
                <c:pt idx="8">
                  <c:v>6.0600000000000014</c:v>
                </c:pt>
                <c:pt idx="9">
                  <c:v>7.9899999999999958</c:v>
                </c:pt>
                <c:pt idx="10">
                  <c:v>1.7700000000000002</c:v>
                </c:pt>
              </c:numCache>
            </c:numRef>
          </c:val>
          <c:smooth val="0"/>
          <c:extLst>
            <c:ext xmlns:c16="http://schemas.microsoft.com/office/drawing/2014/chart" uri="{C3380CC4-5D6E-409C-BE32-E72D297353CC}">
              <c16:uniqueId val="{00000001-2A42-5B4B-9810-D60132F5E456}"/>
            </c:ext>
          </c:extLst>
        </c:ser>
        <c:ser>
          <c:idx val="2"/>
          <c:order val="2"/>
          <c:tx>
            <c:strRef>
              <c:f>Sheet1!$D$3:$D$4</c:f>
              <c:strCache>
                <c:ptCount val="1"/>
                <c:pt idx="0">
                  <c:v>Fighting</c:v>
                </c:pt>
              </c:strCache>
            </c:strRef>
          </c:tx>
          <c:spPr>
            <a:ln w="28575" cap="rnd">
              <a:solidFill>
                <a:schemeClr val="accent3"/>
              </a:solidFill>
              <a:round/>
            </a:ln>
            <a:effectLst/>
          </c:spPr>
          <c:marker>
            <c:symbol val="none"/>
          </c:marker>
          <c:cat>
            <c:strRef>
              <c:f>Sheet1!$A$5:$A$16</c:f>
              <c:strCache>
                <c:ptCount val="11"/>
                <c:pt idx="0">
                  <c:v>2006</c:v>
                </c:pt>
                <c:pt idx="1">
                  <c:v>2007</c:v>
                </c:pt>
                <c:pt idx="2">
                  <c:v>2008</c:v>
                </c:pt>
                <c:pt idx="3">
                  <c:v>2009</c:v>
                </c:pt>
                <c:pt idx="4">
                  <c:v>2010</c:v>
                </c:pt>
                <c:pt idx="5">
                  <c:v>2011</c:v>
                </c:pt>
                <c:pt idx="6">
                  <c:v>2012</c:v>
                </c:pt>
                <c:pt idx="7">
                  <c:v>2013</c:v>
                </c:pt>
                <c:pt idx="8">
                  <c:v>2014</c:v>
                </c:pt>
                <c:pt idx="9">
                  <c:v>2015</c:v>
                </c:pt>
                <c:pt idx="10">
                  <c:v>2016</c:v>
                </c:pt>
              </c:strCache>
            </c:strRef>
          </c:cat>
          <c:val>
            <c:numRef>
              <c:f>Sheet1!$D$5:$D$16</c:f>
              <c:numCache>
                <c:formatCode>General</c:formatCode>
                <c:ptCount val="11"/>
                <c:pt idx="0">
                  <c:v>22.54999999999999</c:v>
                </c:pt>
                <c:pt idx="1">
                  <c:v>17.61</c:v>
                </c:pt>
                <c:pt idx="2">
                  <c:v>35.37999999999996</c:v>
                </c:pt>
                <c:pt idx="3">
                  <c:v>32.149999999999991</c:v>
                </c:pt>
                <c:pt idx="4">
                  <c:v>14.890000000000006</c:v>
                </c:pt>
                <c:pt idx="5">
                  <c:v>22.680000000000003</c:v>
                </c:pt>
                <c:pt idx="6">
                  <c:v>9.51</c:v>
                </c:pt>
                <c:pt idx="7">
                  <c:v>7.21</c:v>
                </c:pt>
                <c:pt idx="8">
                  <c:v>16.150000000000002</c:v>
                </c:pt>
                <c:pt idx="9">
                  <c:v>7.7799999999999994</c:v>
                </c:pt>
                <c:pt idx="10">
                  <c:v>3.8599999999999994</c:v>
                </c:pt>
              </c:numCache>
            </c:numRef>
          </c:val>
          <c:smooth val="0"/>
          <c:extLst>
            <c:ext xmlns:c16="http://schemas.microsoft.com/office/drawing/2014/chart" uri="{C3380CC4-5D6E-409C-BE32-E72D297353CC}">
              <c16:uniqueId val="{00000002-2A42-5B4B-9810-D60132F5E456}"/>
            </c:ext>
          </c:extLst>
        </c:ser>
        <c:ser>
          <c:idx val="3"/>
          <c:order val="3"/>
          <c:tx>
            <c:strRef>
              <c:f>Sheet1!$E$3:$E$4</c:f>
              <c:strCache>
                <c:ptCount val="1"/>
                <c:pt idx="0">
                  <c:v>Platform</c:v>
                </c:pt>
              </c:strCache>
            </c:strRef>
          </c:tx>
          <c:spPr>
            <a:ln w="28575" cap="rnd">
              <a:solidFill>
                <a:schemeClr val="accent4"/>
              </a:solidFill>
              <a:round/>
            </a:ln>
            <a:effectLst/>
          </c:spPr>
          <c:marker>
            <c:symbol val="none"/>
          </c:marker>
          <c:cat>
            <c:strRef>
              <c:f>Sheet1!$A$5:$A$16</c:f>
              <c:strCache>
                <c:ptCount val="11"/>
                <c:pt idx="0">
                  <c:v>2006</c:v>
                </c:pt>
                <c:pt idx="1">
                  <c:v>2007</c:v>
                </c:pt>
                <c:pt idx="2">
                  <c:v>2008</c:v>
                </c:pt>
                <c:pt idx="3">
                  <c:v>2009</c:v>
                </c:pt>
                <c:pt idx="4">
                  <c:v>2010</c:v>
                </c:pt>
                <c:pt idx="5">
                  <c:v>2011</c:v>
                </c:pt>
                <c:pt idx="6">
                  <c:v>2012</c:v>
                </c:pt>
                <c:pt idx="7">
                  <c:v>2013</c:v>
                </c:pt>
                <c:pt idx="8">
                  <c:v>2014</c:v>
                </c:pt>
                <c:pt idx="9">
                  <c:v>2015</c:v>
                </c:pt>
                <c:pt idx="10">
                  <c:v>2016</c:v>
                </c:pt>
              </c:strCache>
            </c:strRef>
          </c:cat>
          <c:val>
            <c:numRef>
              <c:f>Sheet1!$E$5:$E$16</c:f>
              <c:numCache>
                <c:formatCode>General</c:formatCode>
                <c:ptCount val="11"/>
                <c:pt idx="0">
                  <c:v>49.800000000000004</c:v>
                </c:pt>
                <c:pt idx="1">
                  <c:v>35.589999999999996</c:v>
                </c:pt>
                <c:pt idx="2">
                  <c:v>35.700000000000017</c:v>
                </c:pt>
                <c:pt idx="3">
                  <c:v>41.090000000000011</c:v>
                </c:pt>
                <c:pt idx="4">
                  <c:v>31.900000000000002</c:v>
                </c:pt>
                <c:pt idx="5">
                  <c:v>28.109999999999992</c:v>
                </c:pt>
                <c:pt idx="6">
                  <c:v>18.549999999999997</c:v>
                </c:pt>
                <c:pt idx="7">
                  <c:v>25.12</c:v>
                </c:pt>
                <c:pt idx="8">
                  <c:v>8.89</c:v>
                </c:pt>
                <c:pt idx="9">
                  <c:v>6.0500000000000016</c:v>
                </c:pt>
                <c:pt idx="10">
                  <c:v>2.0700000000000003</c:v>
                </c:pt>
              </c:numCache>
            </c:numRef>
          </c:val>
          <c:smooth val="0"/>
          <c:extLst>
            <c:ext xmlns:c16="http://schemas.microsoft.com/office/drawing/2014/chart" uri="{C3380CC4-5D6E-409C-BE32-E72D297353CC}">
              <c16:uniqueId val="{00000003-2A42-5B4B-9810-D60132F5E456}"/>
            </c:ext>
          </c:extLst>
        </c:ser>
        <c:ser>
          <c:idx val="4"/>
          <c:order val="4"/>
          <c:tx>
            <c:strRef>
              <c:f>Sheet1!$F$3:$F$4</c:f>
              <c:strCache>
                <c:ptCount val="1"/>
                <c:pt idx="0">
                  <c:v>Racing</c:v>
                </c:pt>
              </c:strCache>
            </c:strRef>
          </c:tx>
          <c:spPr>
            <a:ln w="28575" cap="rnd">
              <a:solidFill>
                <a:schemeClr val="accent5"/>
              </a:solidFill>
              <a:round/>
            </a:ln>
            <a:effectLst/>
          </c:spPr>
          <c:marker>
            <c:symbol val="none"/>
          </c:marker>
          <c:cat>
            <c:strRef>
              <c:f>Sheet1!$A$5:$A$16</c:f>
              <c:strCache>
                <c:ptCount val="11"/>
                <c:pt idx="0">
                  <c:v>2006</c:v>
                </c:pt>
                <c:pt idx="1">
                  <c:v>2007</c:v>
                </c:pt>
                <c:pt idx="2">
                  <c:v>2008</c:v>
                </c:pt>
                <c:pt idx="3">
                  <c:v>2009</c:v>
                </c:pt>
                <c:pt idx="4">
                  <c:v>2010</c:v>
                </c:pt>
                <c:pt idx="5">
                  <c:v>2011</c:v>
                </c:pt>
                <c:pt idx="6">
                  <c:v>2012</c:v>
                </c:pt>
                <c:pt idx="7">
                  <c:v>2013</c:v>
                </c:pt>
                <c:pt idx="8">
                  <c:v>2014</c:v>
                </c:pt>
                <c:pt idx="9">
                  <c:v>2015</c:v>
                </c:pt>
                <c:pt idx="10">
                  <c:v>2016</c:v>
                </c:pt>
              </c:strCache>
            </c:strRef>
          </c:cat>
          <c:val>
            <c:numRef>
              <c:f>Sheet1!$F$5:$F$16</c:f>
              <c:numCache>
                <c:formatCode>General</c:formatCode>
                <c:ptCount val="11"/>
                <c:pt idx="0">
                  <c:v>34.090000000000011</c:v>
                </c:pt>
                <c:pt idx="1">
                  <c:v>39.17</c:v>
                </c:pt>
                <c:pt idx="2">
                  <c:v>70.659999999999982</c:v>
                </c:pt>
                <c:pt idx="3">
                  <c:v>34.189999999999976</c:v>
                </c:pt>
                <c:pt idx="4">
                  <c:v>34.929999999999993</c:v>
                </c:pt>
                <c:pt idx="5">
                  <c:v>35.009999999999984</c:v>
                </c:pt>
                <c:pt idx="6">
                  <c:v>14.459999999999999</c:v>
                </c:pt>
                <c:pt idx="7">
                  <c:v>13.040000000000001</c:v>
                </c:pt>
                <c:pt idx="8">
                  <c:v>16.689999999999998</c:v>
                </c:pt>
                <c:pt idx="9">
                  <c:v>7.92</c:v>
                </c:pt>
                <c:pt idx="10">
                  <c:v>1.6400000000000001</c:v>
                </c:pt>
              </c:numCache>
            </c:numRef>
          </c:val>
          <c:smooth val="0"/>
          <c:extLst>
            <c:ext xmlns:c16="http://schemas.microsoft.com/office/drawing/2014/chart" uri="{C3380CC4-5D6E-409C-BE32-E72D297353CC}">
              <c16:uniqueId val="{00000004-2A42-5B4B-9810-D60132F5E456}"/>
            </c:ext>
          </c:extLst>
        </c:ser>
        <c:ser>
          <c:idx val="5"/>
          <c:order val="5"/>
          <c:tx>
            <c:strRef>
              <c:f>Sheet1!$G$3:$G$4</c:f>
              <c:strCache>
                <c:ptCount val="1"/>
                <c:pt idx="0">
                  <c:v>Role-Playing</c:v>
                </c:pt>
              </c:strCache>
            </c:strRef>
          </c:tx>
          <c:spPr>
            <a:ln w="28575" cap="rnd">
              <a:solidFill>
                <a:schemeClr val="accent6"/>
              </a:solidFill>
              <a:round/>
            </a:ln>
            <a:effectLst/>
          </c:spPr>
          <c:marker>
            <c:symbol val="none"/>
          </c:marker>
          <c:cat>
            <c:strRef>
              <c:f>Sheet1!$A$5:$A$16</c:f>
              <c:strCache>
                <c:ptCount val="11"/>
                <c:pt idx="0">
                  <c:v>2006</c:v>
                </c:pt>
                <c:pt idx="1">
                  <c:v>2007</c:v>
                </c:pt>
                <c:pt idx="2">
                  <c:v>2008</c:v>
                </c:pt>
                <c:pt idx="3">
                  <c:v>2009</c:v>
                </c:pt>
                <c:pt idx="4">
                  <c:v>2010</c:v>
                </c:pt>
                <c:pt idx="5">
                  <c:v>2011</c:v>
                </c:pt>
                <c:pt idx="6">
                  <c:v>2012</c:v>
                </c:pt>
                <c:pt idx="7">
                  <c:v>2013</c:v>
                </c:pt>
                <c:pt idx="8">
                  <c:v>2014</c:v>
                </c:pt>
                <c:pt idx="9">
                  <c:v>2015</c:v>
                </c:pt>
                <c:pt idx="10">
                  <c:v>2016</c:v>
                </c:pt>
              </c:strCache>
            </c:strRef>
          </c:cat>
          <c:val>
            <c:numRef>
              <c:f>Sheet1!$G$5:$G$16</c:f>
              <c:numCache>
                <c:formatCode>General</c:formatCode>
                <c:ptCount val="11"/>
                <c:pt idx="0">
                  <c:v>57.730000000000011</c:v>
                </c:pt>
                <c:pt idx="1">
                  <c:v>43.890000000000015</c:v>
                </c:pt>
                <c:pt idx="2">
                  <c:v>59.830000000000048</c:v>
                </c:pt>
                <c:pt idx="3">
                  <c:v>47.9</c:v>
                </c:pt>
                <c:pt idx="4">
                  <c:v>70.519999999999982</c:v>
                </c:pt>
                <c:pt idx="5">
                  <c:v>53.370000000000019</c:v>
                </c:pt>
                <c:pt idx="6">
                  <c:v>47.809999999999995</c:v>
                </c:pt>
                <c:pt idx="7">
                  <c:v>44.920000000000016</c:v>
                </c:pt>
                <c:pt idx="8">
                  <c:v>45.859999999999971</c:v>
                </c:pt>
                <c:pt idx="9">
                  <c:v>36.440000000000005</c:v>
                </c:pt>
                <c:pt idx="10">
                  <c:v>6.76</c:v>
                </c:pt>
              </c:numCache>
            </c:numRef>
          </c:val>
          <c:smooth val="0"/>
          <c:extLst>
            <c:ext xmlns:c16="http://schemas.microsoft.com/office/drawing/2014/chart" uri="{C3380CC4-5D6E-409C-BE32-E72D297353CC}">
              <c16:uniqueId val="{00000005-2A42-5B4B-9810-D60132F5E456}"/>
            </c:ext>
          </c:extLst>
        </c:ser>
        <c:ser>
          <c:idx val="6"/>
          <c:order val="6"/>
          <c:tx>
            <c:strRef>
              <c:f>Sheet1!$H$3:$H$4</c:f>
              <c:strCache>
                <c:ptCount val="1"/>
                <c:pt idx="0">
                  <c:v>Shooter</c:v>
                </c:pt>
              </c:strCache>
            </c:strRef>
          </c:tx>
          <c:spPr>
            <a:ln w="28575" cap="rnd">
              <a:solidFill>
                <a:schemeClr val="accent1">
                  <a:lumMod val="60000"/>
                </a:schemeClr>
              </a:solidFill>
              <a:round/>
            </a:ln>
            <a:effectLst/>
          </c:spPr>
          <c:marker>
            <c:symbol val="none"/>
          </c:marker>
          <c:cat>
            <c:strRef>
              <c:f>Sheet1!$A$5:$A$16</c:f>
              <c:strCache>
                <c:ptCount val="11"/>
                <c:pt idx="0">
                  <c:v>2006</c:v>
                </c:pt>
                <c:pt idx="1">
                  <c:v>2007</c:v>
                </c:pt>
                <c:pt idx="2">
                  <c:v>2008</c:v>
                </c:pt>
                <c:pt idx="3">
                  <c:v>2009</c:v>
                </c:pt>
                <c:pt idx="4">
                  <c:v>2010</c:v>
                </c:pt>
                <c:pt idx="5">
                  <c:v>2011</c:v>
                </c:pt>
                <c:pt idx="6">
                  <c:v>2012</c:v>
                </c:pt>
                <c:pt idx="7">
                  <c:v>2013</c:v>
                </c:pt>
                <c:pt idx="8">
                  <c:v>2014</c:v>
                </c:pt>
                <c:pt idx="9">
                  <c:v>2015</c:v>
                </c:pt>
                <c:pt idx="10">
                  <c:v>2016</c:v>
                </c:pt>
              </c:strCache>
            </c:strRef>
          </c:cat>
          <c:val>
            <c:numRef>
              <c:f>Sheet1!$H$5:$H$16</c:f>
              <c:numCache>
                <c:formatCode>General</c:formatCode>
                <c:ptCount val="11"/>
                <c:pt idx="0">
                  <c:v>38.370000000000012</c:v>
                </c:pt>
                <c:pt idx="1">
                  <c:v>71.039999999999964</c:v>
                </c:pt>
                <c:pt idx="2">
                  <c:v>59.510000000000012</c:v>
                </c:pt>
                <c:pt idx="3">
                  <c:v>69.890000000000029</c:v>
                </c:pt>
                <c:pt idx="4">
                  <c:v>77.40999999999994</c:v>
                </c:pt>
                <c:pt idx="5">
                  <c:v>99.359999999999971</c:v>
                </c:pt>
                <c:pt idx="6">
                  <c:v>72.86</c:v>
                </c:pt>
                <c:pt idx="7">
                  <c:v>62.799999999999976</c:v>
                </c:pt>
                <c:pt idx="8">
                  <c:v>65.999999999999986</c:v>
                </c:pt>
                <c:pt idx="9">
                  <c:v>66.149999999999991</c:v>
                </c:pt>
                <c:pt idx="10">
                  <c:v>18.219999999999995</c:v>
                </c:pt>
              </c:numCache>
            </c:numRef>
          </c:val>
          <c:smooth val="0"/>
          <c:extLst>
            <c:ext xmlns:c16="http://schemas.microsoft.com/office/drawing/2014/chart" uri="{C3380CC4-5D6E-409C-BE32-E72D297353CC}">
              <c16:uniqueId val="{00000006-2A42-5B4B-9810-D60132F5E456}"/>
            </c:ext>
          </c:extLst>
        </c:ser>
        <c:ser>
          <c:idx val="7"/>
          <c:order val="7"/>
          <c:tx>
            <c:strRef>
              <c:f>Sheet1!$I$3:$I$4</c:f>
              <c:strCache>
                <c:ptCount val="1"/>
                <c:pt idx="0">
                  <c:v>Sports</c:v>
                </c:pt>
              </c:strCache>
            </c:strRef>
          </c:tx>
          <c:spPr>
            <a:ln w="28575" cap="rnd">
              <a:solidFill>
                <a:schemeClr val="accent2">
                  <a:lumMod val="60000"/>
                </a:schemeClr>
              </a:solidFill>
              <a:round/>
            </a:ln>
            <a:effectLst/>
          </c:spPr>
          <c:marker>
            <c:symbol val="none"/>
          </c:marker>
          <c:cat>
            <c:strRef>
              <c:f>Sheet1!$A$5:$A$16</c:f>
              <c:strCache>
                <c:ptCount val="11"/>
                <c:pt idx="0">
                  <c:v>2006</c:v>
                </c:pt>
                <c:pt idx="1">
                  <c:v>2007</c:v>
                </c:pt>
                <c:pt idx="2">
                  <c:v>2008</c:v>
                </c:pt>
                <c:pt idx="3">
                  <c:v>2009</c:v>
                </c:pt>
                <c:pt idx="4">
                  <c:v>2010</c:v>
                </c:pt>
                <c:pt idx="5">
                  <c:v>2011</c:v>
                </c:pt>
                <c:pt idx="6">
                  <c:v>2012</c:v>
                </c:pt>
                <c:pt idx="7">
                  <c:v>2013</c:v>
                </c:pt>
                <c:pt idx="8">
                  <c:v>2014</c:v>
                </c:pt>
                <c:pt idx="9">
                  <c:v>2015</c:v>
                </c:pt>
                <c:pt idx="10">
                  <c:v>2016</c:v>
                </c:pt>
              </c:strCache>
            </c:strRef>
          </c:cat>
          <c:val>
            <c:numRef>
              <c:f>Sheet1!$I$5:$I$16</c:f>
              <c:numCache>
                <c:formatCode>General</c:formatCode>
                <c:ptCount val="11"/>
                <c:pt idx="0">
                  <c:v>136.16</c:v>
                </c:pt>
                <c:pt idx="1">
                  <c:v>98.200000000000031</c:v>
                </c:pt>
                <c:pt idx="2">
                  <c:v>95.339999999999975</c:v>
                </c:pt>
                <c:pt idx="3">
                  <c:v>138.51999999999992</c:v>
                </c:pt>
                <c:pt idx="4">
                  <c:v>92.529999999999987</c:v>
                </c:pt>
                <c:pt idx="5">
                  <c:v>56.990000000000009</c:v>
                </c:pt>
                <c:pt idx="6">
                  <c:v>30.930000000000003</c:v>
                </c:pt>
                <c:pt idx="7">
                  <c:v>41.550000000000004</c:v>
                </c:pt>
                <c:pt idx="8">
                  <c:v>46.66</c:v>
                </c:pt>
                <c:pt idx="9">
                  <c:v>41.540000000000006</c:v>
                </c:pt>
                <c:pt idx="10">
                  <c:v>14.599999999999996</c:v>
                </c:pt>
              </c:numCache>
            </c:numRef>
          </c:val>
          <c:smooth val="0"/>
          <c:extLst>
            <c:ext xmlns:c16="http://schemas.microsoft.com/office/drawing/2014/chart" uri="{C3380CC4-5D6E-409C-BE32-E72D297353CC}">
              <c16:uniqueId val="{00000007-2A42-5B4B-9810-D60132F5E456}"/>
            </c:ext>
          </c:extLst>
        </c:ser>
        <c:dLbls>
          <c:showLegendKey val="0"/>
          <c:showVal val="0"/>
          <c:showCatName val="0"/>
          <c:showSerName val="0"/>
          <c:showPercent val="0"/>
          <c:showBubbleSize val="0"/>
        </c:dLbls>
        <c:smooth val="0"/>
        <c:axId val="1450806815"/>
        <c:axId val="1450330159"/>
      </c:lineChart>
      <c:catAx>
        <c:axId val="14508068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0330159"/>
        <c:crosses val="autoZero"/>
        <c:auto val="1"/>
        <c:lblAlgn val="ctr"/>
        <c:lblOffset val="100"/>
        <c:noMultiLvlLbl val="0"/>
      </c:catAx>
      <c:valAx>
        <c:axId val="145033015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b="1"/>
                  <a:t>Sales</a:t>
                </a:r>
                <a:r>
                  <a:rPr lang="en-US" sz="1200" b="1" baseline="0"/>
                  <a:t> in (million)</a:t>
                </a:r>
                <a:endParaRPr lang="en-US" sz="1200"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5080681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[Ex-1.8-MM-template.xlsx]PivotTable 1!PivotTable21</c:name>
    <c:fmtId val="-1"/>
  </c:pivotSource>
  <c:chart>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'PivotTable 1'!$B$3</c:f>
              <c:strCache>
                <c:ptCount val="1"/>
                <c:pt idx="0">
                  <c:v>Sum of proportion_north_america_sales</c:v>
                </c:pt>
              </c:strCache>
            </c:strRef>
          </c:tx>
          <c:spPr>
            <a:ln w="28575" cap="rnd">
              <a:solidFill>
                <a:schemeClr val="accent1"/>
              </a:solidFill>
              <a:round/>
            </a:ln>
            <a:effectLst/>
          </c:spPr>
          <c:marker>
            <c:symbol val="none"/>
          </c:marker>
          <c:cat>
            <c:strRef>
              <c:f>'PivotTable 1'!$A$4:$A$15</c:f>
              <c:strCache>
                <c:ptCount val="11"/>
                <c:pt idx="0">
                  <c:v>2006</c:v>
                </c:pt>
                <c:pt idx="1">
                  <c:v>2007</c:v>
                </c:pt>
                <c:pt idx="2">
                  <c:v>2008</c:v>
                </c:pt>
                <c:pt idx="3">
                  <c:v>2009</c:v>
                </c:pt>
                <c:pt idx="4">
                  <c:v>2010</c:v>
                </c:pt>
                <c:pt idx="5">
                  <c:v>2011</c:v>
                </c:pt>
                <c:pt idx="6">
                  <c:v>2012</c:v>
                </c:pt>
                <c:pt idx="7">
                  <c:v>2013</c:v>
                </c:pt>
                <c:pt idx="8">
                  <c:v>2014</c:v>
                </c:pt>
                <c:pt idx="9">
                  <c:v>2015</c:v>
                </c:pt>
                <c:pt idx="10">
                  <c:v>2016</c:v>
                </c:pt>
              </c:strCache>
            </c:strRef>
          </c:cat>
          <c:val>
            <c:numRef>
              <c:f>'PivotTable 1'!$B$4:$B$15</c:f>
              <c:numCache>
                <c:formatCode>0%</c:formatCode>
                <c:ptCount val="11"/>
                <c:pt idx="0">
                  <c:v>0.50499001996008297</c:v>
                </c:pt>
                <c:pt idx="1">
                  <c:v>0.51020241326314175</c:v>
                </c:pt>
                <c:pt idx="2">
                  <c:v>0.51691474966170869</c:v>
                </c:pt>
                <c:pt idx="3">
                  <c:v>0.5074199973045459</c:v>
                </c:pt>
                <c:pt idx="4">
                  <c:v>0.50627350484241729</c:v>
                </c:pt>
                <c:pt idx="5">
                  <c:v>0.46717959650381236</c:v>
                </c:pt>
                <c:pt idx="6">
                  <c:v>0.42625295703361421</c:v>
                </c:pt>
                <c:pt idx="7">
                  <c:v>0.41988605534454815</c:v>
                </c:pt>
                <c:pt idx="8">
                  <c:v>0.39154428126390828</c:v>
                </c:pt>
                <c:pt idx="9">
                  <c:v>0.38882166086824832</c:v>
                </c:pt>
                <c:pt idx="10">
                  <c:v>0.31946989990131086</c:v>
                </c:pt>
              </c:numCache>
            </c:numRef>
          </c:val>
          <c:smooth val="0"/>
          <c:extLst>
            <c:ext xmlns:c16="http://schemas.microsoft.com/office/drawing/2014/chart" uri="{C3380CC4-5D6E-409C-BE32-E72D297353CC}">
              <c16:uniqueId val="{00000000-7813-1E4E-BC69-BBACF14FBE76}"/>
            </c:ext>
          </c:extLst>
        </c:ser>
        <c:ser>
          <c:idx val="1"/>
          <c:order val="1"/>
          <c:tx>
            <c:strRef>
              <c:f>'PivotTable 1'!$C$3</c:f>
              <c:strCache>
                <c:ptCount val="1"/>
                <c:pt idx="0">
                  <c:v>Sum of proportion_Europe_sales</c:v>
                </c:pt>
              </c:strCache>
            </c:strRef>
          </c:tx>
          <c:spPr>
            <a:ln w="28575" cap="rnd">
              <a:solidFill>
                <a:schemeClr val="accent2"/>
              </a:solidFill>
              <a:round/>
            </a:ln>
            <a:effectLst/>
          </c:spPr>
          <c:marker>
            <c:symbol val="none"/>
          </c:marker>
          <c:cat>
            <c:strRef>
              <c:f>'PivotTable 1'!$A$4:$A$15</c:f>
              <c:strCache>
                <c:ptCount val="11"/>
                <c:pt idx="0">
                  <c:v>2006</c:v>
                </c:pt>
                <c:pt idx="1">
                  <c:v>2007</c:v>
                </c:pt>
                <c:pt idx="2">
                  <c:v>2008</c:v>
                </c:pt>
                <c:pt idx="3">
                  <c:v>2009</c:v>
                </c:pt>
                <c:pt idx="4">
                  <c:v>2010</c:v>
                </c:pt>
                <c:pt idx="5">
                  <c:v>2011</c:v>
                </c:pt>
                <c:pt idx="6">
                  <c:v>2012</c:v>
                </c:pt>
                <c:pt idx="7">
                  <c:v>2013</c:v>
                </c:pt>
                <c:pt idx="8">
                  <c:v>2014</c:v>
                </c:pt>
                <c:pt idx="9">
                  <c:v>2015</c:v>
                </c:pt>
                <c:pt idx="10">
                  <c:v>2016</c:v>
                </c:pt>
              </c:strCache>
            </c:strRef>
          </c:cat>
          <c:val>
            <c:numRef>
              <c:f>'PivotTable 1'!$C$4:$C$15</c:f>
              <c:numCache>
                <c:formatCode>0%</c:formatCode>
                <c:ptCount val="11"/>
                <c:pt idx="0">
                  <c:v>0.24804237678489408</c:v>
                </c:pt>
                <c:pt idx="1">
                  <c:v>0.26264674144076622</c:v>
                </c:pt>
                <c:pt idx="2">
                  <c:v>0.27163617108901777</c:v>
                </c:pt>
                <c:pt idx="3">
                  <c:v>0.2871112175983489</c:v>
                </c:pt>
                <c:pt idx="4">
                  <c:v>0.29432222850867173</c:v>
                </c:pt>
                <c:pt idx="5">
                  <c:v>0.32450241283745984</c:v>
                </c:pt>
                <c:pt idx="6">
                  <c:v>0.32673158386972551</c:v>
                </c:pt>
                <c:pt idx="7">
                  <c:v>0.34167118827997911</c:v>
                </c:pt>
                <c:pt idx="8">
                  <c:v>0.37279335410176573</c:v>
                </c:pt>
                <c:pt idx="9">
                  <c:v>0.36949780668582521</c:v>
                </c:pt>
                <c:pt idx="10">
                  <c:v>0.37727336810940315</c:v>
                </c:pt>
              </c:numCache>
            </c:numRef>
          </c:val>
          <c:smooth val="0"/>
          <c:extLst>
            <c:ext xmlns:c16="http://schemas.microsoft.com/office/drawing/2014/chart" uri="{C3380CC4-5D6E-409C-BE32-E72D297353CC}">
              <c16:uniqueId val="{00000001-7813-1E4E-BC69-BBACF14FBE76}"/>
            </c:ext>
          </c:extLst>
        </c:ser>
        <c:ser>
          <c:idx val="2"/>
          <c:order val="2"/>
          <c:tx>
            <c:strRef>
              <c:f>'PivotTable 1'!$D$3</c:f>
              <c:strCache>
                <c:ptCount val="1"/>
                <c:pt idx="0">
                  <c:v>Sum of proportion_Japan_sales</c:v>
                </c:pt>
              </c:strCache>
            </c:strRef>
          </c:tx>
          <c:spPr>
            <a:ln w="28575" cap="rnd">
              <a:solidFill>
                <a:schemeClr val="accent3"/>
              </a:solidFill>
              <a:round/>
            </a:ln>
            <a:effectLst/>
          </c:spPr>
          <c:marker>
            <c:symbol val="none"/>
          </c:marker>
          <c:cat>
            <c:strRef>
              <c:f>'PivotTable 1'!$A$4:$A$15</c:f>
              <c:strCache>
                <c:ptCount val="11"/>
                <c:pt idx="0">
                  <c:v>2006</c:v>
                </c:pt>
                <c:pt idx="1">
                  <c:v>2007</c:v>
                </c:pt>
                <c:pt idx="2">
                  <c:v>2008</c:v>
                </c:pt>
                <c:pt idx="3">
                  <c:v>2009</c:v>
                </c:pt>
                <c:pt idx="4">
                  <c:v>2010</c:v>
                </c:pt>
                <c:pt idx="5">
                  <c:v>2011</c:v>
                </c:pt>
                <c:pt idx="6">
                  <c:v>2012</c:v>
                </c:pt>
                <c:pt idx="7">
                  <c:v>2013</c:v>
                </c:pt>
                <c:pt idx="8">
                  <c:v>2014</c:v>
                </c:pt>
                <c:pt idx="9">
                  <c:v>2015</c:v>
                </c:pt>
                <c:pt idx="10">
                  <c:v>2016</c:v>
                </c:pt>
              </c:strCache>
            </c:strRef>
          </c:cat>
          <c:val>
            <c:numRef>
              <c:f>'PivotTable 1'!$D$4:$D$15</c:f>
              <c:numCache>
                <c:formatCode>0%</c:formatCode>
                <c:ptCount val="11"/>
                <c:pt idx="0">
                  <c:v>0.14150545063718797</c:v>
                </c:pt>
                <c:pt idx="1">
                  <c:v>9.8623328210327668E-2</c:v>
                </c:pt>
                <c:pt idx="2">
                  <c:v>8.878037300700195E-2</c:v>
                </c:pt>
                <c:pt idx="3">
                  <c:v>9.2723760463619548E-2</c:v>
                </c:pt>
                <c:pt idx="4">
                  <c:v>9.9044829766699524E-2</c:v>
                </c:pt>
                <c:pt idx="5">
                  <c:v>0.10279268978081013</c:v>
                </c:pt>
                <c:pt idx="6">
                  <c:v>0.14232271551961281</c:v>
                </c:pt>
                <c:pt idx="7">
                  <c:v>0.12919153553988094</c:v>
                </c:pt>
                <c:pt idx="8">
                  <c:v>0.11707461800919775</c:v>
                </c:pt>
                <c:pt idx="9">
                  <c:v>0.12751474814702743</c:v>
                </c:pt>
                <c:pt idx="10">
                  <c:v>0.19314817425630859</c:v>
                </c:pt>
              </c:numCache>
            </c:numRef>
          </c:val>
          <c:smooth val="0"/>
          <c:extLst>
            <c:ext xmlns:c16="http://schemas.microsoft.com/office/drawing/2014/chart" uri="{C3380CC4-5D6E-409C-BE32-E72D297353CC}">
              <c16:uniqueId val="{00000002-7813-1E4E-BC69-BBACF14FBE76}"/>
            </c:ext>
          </c:extLst>
        </c:ser>
        <c:ser>
          <c:idx val="3"/>
          <c:order val="3"/>
          <c:tx>
            <c:strRef>
              <c:f>'PivotTable 1'!$E$3</c:f>
              <c:strCache>
                <c:ptCount val="1"/>
                <c:pt idx="0">
                  <c:v>Sum of proportion_other_sales</c:v>
                </c:pt>
              </c:strCache>
            </c:strRef>
          </c:tx>
          <c:spPr>
            <a:ln w="28575" cap="rnd">
              <a:solidFill>
                <a:schemeClr val="accent4"/>
              </a:solidFill>
              <a:round/>
            </a:ln>
            <a:effectLst/>
          </c:spPr>
          <c:marker>
            <c:symbol val="none"/>
          </c:marker>
          <c:cat>
            <c:strRef>
              <c:f>'PivotTable 1'!$A$4:$A$15</c:f>
              <c:strCache>
                <c:ptCount val="11"/>
                <c:pt idx="0">
                  <c:v>2006</c:v>
                </c:pt>
                <c:pt idx="1">
                  <c:v>2007</c:v>
                </c:pt>
                <c:pt idx="2">
                  <c:v>2008</c:v>
                </c:pt>
                <c:pt idx="3">
                  <c:v>2009</c:v>
                </c:pt>
                <c:pt idx="4">
                  <c:v>2010</c:v>
                </c:pt>
                <c:pt idx="5">
                  <c:v>2011</c:v>
                </c:pt>
                <c:pt idx="6">
                  <c:v>2012</c:v>
                </c:pt>
                <c:pt idx="7">
                  <c:v>2013</c:v>
                </c:pt>
                <c:pt idx="8">
                  <c:v>2014</c:v>
                </c:pt>
                <c:pt idx="9">
                  <c:v>2015</c:v>
                </c:pt>
                <c:pt idx="10">
                  <c:v>2016</c:v>
                </c:pt>
              </c:strCache>
            </c:strRef>
          </c:cat>
          <c:val>
            <c:numRef>
              <c:f>'PivotTable 1'!$E$4:$E$15</c:f>
              <c:numCache>
                <c:formatCode>General</c:formatCode>
                <c:ptCount val="11"/>
                <c:pt idx="0">
                  <c:v>0.10652157224013531</c:v>
                </c:pt>
                <c:pt idx="1">
                  <c:v>0.13001373401785773</c:v>
                </c:pt>
                <c:pt idx="2">
                  <c:v>0.12467494263693958</c:v>
                </c:pt>
                <c:pt idx="3">
                  <c:v>0.11423651147816231</c:v>
                </c:pt>
                <c:pt idx="4">
                  <c:v>0.10141112257463344</c:v>
                </c:pt>
                <c:pt idx="5">
                  <c:v>0.10944591949456399</c:v>
                </c:pt>
                <c:pt idx="6">
                  <c:v>0.11033723936843261</c:v>
                </c:pt>
                <c:pt idx="7">
                  <c:v>0.11483450895279457</c:v>
                </c:pt>
                <c:pt idx="8">
                  <c:v>0.12524847945408696</c:v>
                </c:pt>
                <c:pt idx="9">
                  <c:v>0.12323022235667812</c:v>
                </c:pt>
                <c:pt idx="10">
                  <c:v>0.12680107147892239</c:v>
                </c:pt>
              </c:numCache>
            </c:numRef>
          </c:val>
          <c:smooth val="0"/>
          <c:extLst>
            <c:ext xmlns:c16="http://schemas.microsoft.com/office/drawing/2014/chart" uri="{C3380CC4-5D6E-409C-BE32-E72D297353CC}">
              <c16:uniqueId val="{00000003-7813-1E4E-BC69-BBACF14FBE76}"/>
            </c:ext>
          </c:extLst>
        </c:ser>
        <c:dLbls>
          <c:showLegendKey val="0"/>
          <c:showVal val="0"/>
          <c:showCatName val="0"/>
          <c:showSerName val="0"/>
          <c:showPercent val="0"/>
          <c:showBubbleSize val="0"/>
        </c:dLbls>
        <c:smooth val="0"/>
        <c:axId val="1939290496"/>
        <c:axId val="1878358368"/>
      </c:lineChart>
      <c:catAx>
        <c:axId val="19392904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8358368"/>
        <c:crosses val="autoZero"/>
        <c:auto val="1"/>
        <c:lblAlgn val="ctr"/>
        <c:lblOffset val="100"/>
        <c:noMultiLvlLbl val="0"/>
      </c:catAx>
      <c:valAx>
        <c:axId val="18783583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Proportion</a:t>
                </a:r>
                <a:r>
                  <a:rPr lang="en-US" b="1" baseline="0"/>
                  <a:t> of Sales</a:t>
                </a:r>
                <a:endParaRPr lang="en-US"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3929049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[Ex-1.8-MM-template.xlsx]Sheet5!PivotTable6</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Total</a:t>
            </a:r>
            <a:r>
              <a:rPr lang="en-US" b="1" baseline="0"/>
              <a:t> s</a:t>
            </a:r>
            <a:r>
              <a:rPr lang="en-US" b="1"/>
              <a:t>ales</a:t>
            </a:r>
            <a:r>
              <a:rPr lang="en-US" b="1" baseline="0"/>
              <a:t> figure of EU and NA </a:t>
            </a:r>
            <a:endParaRPr 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percentStacked"/>
        <c:varyColors val="0"/>
        <c:ser>
          <c:idx val="0"/>
          <c:order val="0"/>
          <c:tx>
            <c:strRef>
              <c:f>Sheet5!$B$3</c:f>
              <c:strCache>
                <c:ptCount val="1"/>
                <c:pt idx="0">
                  <c:v>Sum of EU_Sales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Sheet5!$A$4:$A$7</c:f>
              <c:strCache>
                <c:ptCount val="3"/>
                <c:pt idx="0">
                  <c:v>2014</c:v>
                </c:pt>
                <c:pt idx="1">
                  <c:v>2015</c:v>
                </c:pt>
                <c:pt idx="2">
                  <c:v>2016</c:v>
                </c:pt>
              </c:strCache>
            </c:strRef>
          </c:cat>
          <c:val>
            <c:numRef>
              <c:f>Sheet5!$B$4:$B$7</c:f>
              <c:numCache>
                <c:formatCode>General</c:formatCode>
                <c:ptCount val="3"/>
                <c:pt idx="0">
                  <c:v>125.65000000000005</c:v>
                </c:pt>
                <c:pt idx="1">
                  <c:v>97.709999999999923</c:v>
                </c:pt>
                <c:pt idx="2">
                  <c:v>26.759999999999973</c:v>
                </c:pt>
              </c:numCache>
            </c:numRef>
          </c:val>
          <c:extLst>
            <c:ext xmlns:c16="http://schemas.microsoft.com/office/drawing/2014/chart" uri="{C3380CC4-5D6E-409C-BE32-E72D297353CC}">
              <c16:uniqueId val="{00000000-2864-7247-A9DD-00723043D240}"/>
            </c:ext>
          </c:extLst>
        </c:ser>
        <c:ser>
          <c:idx val="1"/>
          <c:order val="1"/>
          <c:tx>
            <c:strRef>
              <c:f>Sheet5!$C$3</c:f>
              <c:strCache>
                <c:ptCount val="1"/>
                <c:pt idx="0">
                  <c:v>Sum of NA_Sales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Sheet5!$A$4:$A$7</c:f>
              <c:strCache>
                <c:ptCount val="3"/>
                <c:pt idx="0">
                  <c:v>2014</c:v>
                </c:pt>
                <c:pt idx="1">
                  <c:v>2015</c:v>
                </c:pt>
                <c:pt idx="2">
                  <c:v>2016</c:v>
                </c:pt>
              </c:strCache>
            </c:strRef>
          </c:cat>
          <c:val>
            <c:numRef>
              <c:f>Sheet5!$C$4:$C$7</c:f>
              <c:numCache>
                <c:formatCode>General</c:formatCode>
                <c:ptCount val="3"/>
                <c:pt idx="0">
                  <c:v>131.96999999999994</c:v>
                </c:pt>
                <c:pt idx="1">
                  <c:v>102.82</c:v>
                </c:pt>
                <c:pt idx="2">
                  <c:v>22.659999999999993</c:v>
                </c:pt>
              </c:numCache>
            </c:numRef>
          </c:val>
          <c:extLst>
            <c:ext xmlns:c16="http://schemas.microsoft.com/office/drawing/2014/chart" uri="{C3380CC4-5D6E-409C-BE32-E72D297353CC}">
              <c16:uniqueId val="{00000001-2864-7247-A9DD-00723043D240}"/>
            </c:ext>
          </c:extLst>
        </c:ser>
        <c:dLbls>
          <c:showLegendKey val="0"/>
          <c:showVal val="0"/>
          <c:showCatName val="0"/>
          <c:showSerName val="0"/>
          <c:showPercent val="0"/>
          <c:showBubbleSize val="0"/>
        </c:dLbls>
        <c:gapWidth val="150"/>
        <c:overlap val="100"/>
        <c:axId val="1474416896"/>
        <c:axId val="1868435855"/>
      </c:barChart>
      <c:catAx>
        <c:axId val="14744168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8435855"/>
        <c:crosses val="autoZero"/>
        <c:auto val="1"/>
        <c:lblAlgn val="ctr"/>
        <c:lblOffset val="100"/>
        <c:noMultiLvlLbl val="0"/>
      </c:catAx>
      <c:valAx>
        <c:axId val="18684358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Sales in (millions)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7441689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[Ex-1.8-MM-template.xlsx]Sheet2!PivotTable4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Top selling</a:t>
            </a:r>
            <a:r>
              <a:rPr lang="en-US" b="1" baseline="0"/>
              <a:t> genres in Europe </a:t>
            </a:r>
            <a:endParaRPr 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6"/>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7"/>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8"/>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9"/>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30"/>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31"/>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32"/>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33"/>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34"/>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35"/>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36"/>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37"/>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38"/>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39"/>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40"/>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41"/>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42"/>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43"/>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44"/>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45"/>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46"/>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47"/>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48"/>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49"/>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50"/>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51"/>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52"/>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53"/>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54"/>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5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Sheet2!$B$3:$B$4</c:f>
              <c:strCache>
                <c:ptCount val="1"/>
                <c:pt idx="0">
                  <c:v>Strategy</c:v>
                </c:pt>
              </c:strCache>
            </c:strRef>
          </c:tx>
          <c:spPr>
            <a:solidFill>
              <a:schemeClr val="accent1"/>
            </a:solidFill>
            <a:ln>
              <a:noFill/>
            </a:ln>
            <a:effectLst/>
          </c:spPr>
          <c:invertIfNegative val="0"/>
          <c:cat>
            <c:strRef>
              <c:f>Sheet2!$A$5:$A$16</c:f>
              <c:strCache>
                <c:ptCount val="11"/>
                <c:pt idx="0">
                  <c:v>2006</c:v>
                </c:pt>
                <c:pt idx="1">
                  <c:v>2007</c:v>
                </c:pt>
                <c:pt idx="2">
                  <c:v>2008</c:v>
                </c:pt>
                <c:pt idx="3">
                  <c:v>2009</c:v>
                </c:pt>
                <c:pt idx="4">
                  <c:v>2010</c:v>
                </c:pt>
                <c:pt idx="5">
                  <c:v>2011</c:v>
                </c:pt>
                <c:pt idx="6">
                  <c:v>2012</c:v>
                </c:pt>
                <c:pt idx="7">
                  <c:v>2013</c:v>
                </c:pt>
                <c:pt idx="8">
                  <c:v>2014</c:v>
                </c:pt>
                <c:pt idx="9">
                  <c:v>2015</c:v>
                </c:pt>
                <c:pt idx="10">
                  <c:v>2016</c:v>
                </c:pt>
              </c:strCache>
            </c:strRef>
          </c:cat>
          <c:val>
            <c:numRef>
              <c:f>Sheet2!$B$5:$B$16</c:f>
              <c:numCache>
                <c:formatCode>0.00</c:formatCode>
                <c:ptCount val="11"/>
                <c:pt idx="0">
                  <c:v>0.25292740046838402</c:v>
                </c:pt>
                <c:pt idx="1">
                  <c:v>0.19851380042462846</c:v>
                </c:pt>
                <c:pt idx="2">
                  <c:v>0.3575705731394353</c:v>
                </c:pt>
                <c:pt idx="3">
                  <c:v>0.39251592356687903</c:v>
                </c:pt>
                <c:pt idx="4">
                  <c:v>0.3251622206200433</c:v>
                </c:pt>
                <c:pt idx="5">
                  <c:v>0.32119205298013243</c:v>
                </c:pt>
                <c:pt idx="6">
                  <c:v>0.29729729729729731</c:v>
                </c:pt>
                <c:pt idx="7">
                  <c:v>0.39020537124802523</c:v>
                </c:pt>
                <c:pt idx="8">
                  <c:v>0.22222222222222224</c:v>
                </c:pt>
                <c:pt idx="9">
                  <c:v>0.53846153846153844</c:v>
                </c:pt>
                <c:pt idx="10">
                  <c:v>0.64000000000000012</c:v>
                </c:pt>
              </c:numCache>
            </c:numRef>
          </c:val>
          <c:extLst>
            <c:ext xmlns:c16="http://schemas.microsoft.com/office/drawing/2014/chart" uri="{C3380CC4-5D6E-409C-BE32-E72D297353CC}">
              <c16:uniqueId val="{00000000-ACE5-8E46-BF3A-AA3176DBCB84}"/>
            </c:ext>
          </c:extLst>
        </c:ser>
        <c:ser>
          <c:idx val="1"/>
          <c:order val="1"/>
          <c:tx>
            <c:strRef>
              <c:f>Sheet2!$C$3:$C$4</c:f>
              <c:strCache>
                <c:ptCount val="1"/>
                <c:pt idx="0">
                  <c:v>Sports</c:v>
                </c:pt>
              </c:strCache>
            </c:strRef>
          </c:tx>
          <c:spPr>
            <a:solidFill>
              <a:schemeClr val="accent2"/>
            </a:solidFill>
            <a:ln>
              <a:noFill/>
            </a:ln>
            <a:effectLst/>
          </c:spPr>
          <c:invertIfNegative val="0"/>
          <c:cat>
            <c:strRef>
              <c:f>Sheet2!$A$5:$A$16</c:f>
              <c:strCache>
                <c:ptCount val="11"/>
                <c:pt idx="0">
                  <c:v>2006</c:v>
                </c:pt>
                <c:pt idx="1">
                  <c:v>2007</c:v>
                </c:pt>
                <c:pt idx="2">
                  <c:v>2008</c:v>
                </c:pt>
                <c:pt idx="3">
                  <c:v>2009</c:v>
                </c:pt>
                <c:pt idx="4">
                  <c:v>2010</c:v>
                </c:pt>
                <c:pt idx="5">
                  <c:v>2011</c:v>
                </c:pt>
                <c:pt idx="6">
                  <c:v>2012</c:v>
                </c:pt>
                <c:pt idx="7">
                  <c:v>2013</c:v>
                </c:pt>
                <c:pt idx="8">
                  <c:v>2014</c:v>
                </c:pt>
                <c:pt idx="9">
                  <c:v>2015</c:v>
                </c:pt>
                <c:pt idx="10">
                  <c:v>2016</c:v>
                </c:pt>
              </c:strCache>
            </c:strRef>
          </c:cat>
          <c:val>
            <c:numRef>
              <c:f>Sheet2!$C$5:$C$16</c:f>
              <c:numCache>
                <c:formatCode>0.00</c:formatCode>
                <c:ptCount val="11"/>
                <c:pt idx="0">
                  <c:v>0.29524089306697987</c:v>
                </c:pt>
                <c:pt idx="1">
                  <c:v>0.27026476578411401</c:v>
                </c:pt>
                <c:pt idx="2">
                  <c:v>0.28277742815187745</c:v>
                </c:pt>
                <c:pt idx="3">
                  <c:v>0.30443257291365849</c:v>
                </c:pt>
                <c:pt idx="4">
                  <c:v>0.3139522317086349</c:v>
                </c:pt>
                <c:pt idx="5">
                  <c:v>0.34848218985786977</c:v>
                </c:pt>
                <c:pt idx="6">
                  <c:v>0.28548334949886828</c:v>
                </c:pt>
                <c:pt idx="7">
                  <c:v>0.36486161251504207</c:v>
                </c:pt>
                <c:pt idx="8">
                  <c:v>0.40077153879125593</c:v>
                </c:pt>
                <c:pt idx="9">
                  <c:v>0.40178141550312946</c:v>
                </c:pt>
                <c:pt idx="10">
                  <c:v>0.50410958904109571</c:v>
                </c:pt>
              </c:numCache>
            </c:numRef>
          </c:val>
          <c:extLst>
            <c:ext xmlns:c16="http://schemas.microsoft.com/office/drawing/2014/chart" uri="{C3380CC4-5D6E-409C-BE32-E72D297353CC}">
              <c16:uniqueId val="{00000001-ACE5-8E46-BF3A-AA3176DBCB84}"/>
            </c:ext>
          </c:extLst>
        </c:ser>
        <c:ser>
          <c:idx val="2"/>
          <c:order val="2"/>
          <c:tx>
            <c:strRef>
              <c:f>Sheet2!$D$3:$D$4</c:f>
              <c:strCache>
                <c:ptCount val="1"/>
                <c:pt idx="0">
                  <c:v>Shooter</c:v>
                </c:pt>
              </c:strCache>
            </c:strRef>
          </c:tx>
          <c:spPr>
            <a:solidFill>
              <a:schemeClr val="accent3"/>
            </a:solidFill>
            <a:ln>
              <a:noFill/>
            </a:ln>
            <a:effectLst/>
          </c:spPr>
          <c:invertIfNegative val="0"/>
          <c:cat>
            <c:strRef>
              <c:f>Sheet2!$A$5:$A$16</c:f>
              <c:strCache>
                <c:ptCount val="11"/>
                <c:pt idx="0">
                  <c:v>2006</c:v>
                </c:pt>
                <c:pt idx="1">
                  <c:v>2007</c:v>
                </c:pt>
                <c:pt idx="2">
                  <c:v>2008</c:v>
                </c:pt>
                <c:pt idx="3">
                  <c:v>2009</c:v>
                </c:pt>
                <c:pt idx="4">
                  <c:v>2010</c:v>
                </c:pt>
                <c:pt idx="5">
                  <c:v>2011</c:v>
                </c:pt>
                <c:pt idx="6">
                  <c:v>2012</c:v>
                </c:pt>
                <c:pt idx="7">
                  <c:v>2013</c:v>
                </c:pt>
                <c:pt idx="8">
                  <c:v>2014</c:v>
                </c:pt>
                <c:pt idx="9">
                  <c:v>2015</c:v>
                </c:pt>
                <c:pt idx="10">
                  <c:v>2016</c:v>
                </c:pt>
              </c:strCache>
            </c:strRef>
          </c:cat>
          <c:val>
            <c:numRef>
              <c:f>Sheet2!$D$5:$D$16</c:f>
              <c:numCache>
                <c:formatCode>0.00</c:formatCode>
                <c:ptCount val="11"/>
                <c:pt idx="0">
                  <c:v>0.22960646338285093</c:v>
                </c:pt>
                <c:pt idx="1">
                  <c:v>0.31095157657657674</c:v>
                </c:pt>
                <c:pt idx="2">
                  <c:v>0.27373550663753993</c:v>
                </c:pt>
                <c:pt idx="3">
                  <c:v>0.30290456431535245</c:v>
                </c:pt>
                <c:pt idx="4">
                  <c:v>0.30874564009817868</c:v>
                </c:pt>
                <c:pt idx="5">
                  <c:v>0.35537439613526561</c:v>
                </c:pt>
                <c:pt idx="6">
                  <c:v>0.36151523469667862</c:v>
                </c:pt>
                <c:pt idx="7">
                  <c:v>0.36863057324840764</c:v>
                </c:pt>
                <c:pt idx="8">
                  <c:v>0.39106060606060616</c:v>
                </c:pt>
                <c:pt idx="9">
                  <c:v>0.36628873771730941</c:v>
                </c:pt>
                <c:pt idx="10">
                  <c:v>0.42261251372118552</c:v>
                </c:pt>
              </c:numCache>
            </c:numRef>
          </c:val>
          <c:extLst>
            <c:ext xmlns:c16="http://schemas.microsoft.com/office/drawing/2014/chart" uri="{C3380CC4-5D6E-409C-BE32-E72D297353CC}">
              <c16:uniqueId val="{00000002-ACE5-8E46-BF3A-AA3176DBCB84}"/>
            </c:ext>
          </c:extLst>
        </c:ser>
        <c:ser>
          <c:idx val="3"/>
          <c:order val="3"/>
          <c:tx>
            <c:strRef>
              <c:f>Sheet2!$E$3:$E$4</c:f>
              <c:strCache>
                <c:ptCount val="1"/>
                <c:pt idx="0">
                  <c:v>Action</c:v>
                </c:pt>
              </c:strCache>
            </c:strRef>
          </c:tx>
          <c:spPr>
            <a:solidFill>
              <a:schemeClr val="accent4"/>
            </a:solidFill>
            <a:ln>
              <a:noFill/>
            </a:ln>
            <a:effectLst/>
          </c:spPr>
          <c:invertIfNegative val="0"/>
          <c:cat>
            <c:strRef>
              <c:f>Sheet2!$A$5:$A$16</c:f>
              <c:strCache>
                <c:ptCount val="11"/>
                <c:pt idx="0">
                  <c:v>2006</c:v>
                </c:pt>
                <c:pt idx="1">
                  <c:v>2007</c:v>
                </c:pt>
                <c:pt idx="2">
                  <c:v>2008</c:v>
                </c:pt>
                <c:pt idx="3">
                  <c:v>2009</c:v>
                </c:pt>
                <c:pt idx="4">
                  <c:v>2010</c:v>
                </c:pt>
                <c:pt idx="5">
                  <c:v>2011</c:v>
                </c:pt>
                <c:pt idx="6">
                  <c:v>2012</c:v>
                </c:pt>
                <c:pt idx="7">
                  <c:v>2013</c:v>
                </c:pt>
                <c:pt idx="8">
                  <c:v>2014</c:v>
                </c:pt>
                <c:pt idx="9">
                  <c:v>2015</c:v>
                </c:pt>
                <c:pt idx="10">
                  <c:v>2016</c:v>
                </c:pt>
              </c:strCache>
            </c:strRef>
          </c:cat>
          <c:val>
            <c:numRef>
              <c:f>Sheet2!$E$5:$E$16</c:f>
              <c:numCache>
                <c:formatCode>0.00</c:formatCode>
                <c:ptCount val="11"/>
                <c:pt idx="0">
                  <c:v>0.2296485431060373</c:v>
                </c:pt>
                <c:pt idx="1">
                  <c:v>0.24281690140845091</c:v>
                </c:pt>
                <c:pt idx="2">
                  <c:v>0.289537356111152</c:v>
                </c:pt>
                <c:pt idx="3">
                  <c:v>0.28128587830080393</c:v>
                </c:pt>
                <c:pt idx="4">
                  <c:v>0.30389323359401565</c:v>
                </c:pt>
                <c:pt idx="5">
                  <c:v>0.34498991257565575</c:v>
                </c:pt>
                <c:pt idx="6">
                  <c:v>0.35054080629301931</c:v>
                </c:pt>
                <c:pt idx="7">
                  <c:v>0.36104456157163434</c:v>
                </c:pt>
                <c:pt idx="8">
                  <c:v>0.40880630175722071</c:v>
                </c:pt>
                <c:pt idx="9">
                  <c:v>0.34865629420084848</c:v>
                </c:pt>
                <c:pt idx="10">
                  <c:v>0.31943746860873934</c:v>
                </c:pt>
              </c:numCache>
            </c:numRef>
          </c:val>
          <c:extLst>
            <c:ext xmlns:c16="http://schemas.microsoft.com/office/drawing/2014/chart" uri="{C3380CC4-5D6E-409C-BE32-E72D297353CC}">
              <c16:uniqueId val="{00000003-ACE5-8E46-BF3A-AA3176DBCB84}"/>
            </c:ext>
          </c:extLst>
        </c:ser>
        <c:dLbls>
          <c:showLegendKey val="0"/>
          <c:showVal val="0"/>
          <c:showCatName val="0"/>
          <c:showSerName val="0"/>
          <c:showPercent val="0"/>
          <c:showBubbleSize val="0"/>
        </c:dLbls>
        <c:gapWidth val="150"/>
        <c:axId val="1354809647"/>
        <c:axId val="1354811375"/>
      </c:barChart>
      <c:catAx>
        <c:axId val="1354809647"/>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b="1"/>
                  <a:t>Year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4811375"/>
        <c:crosses val="autoZero"/>
        <c:auto val="1"/>
        <c:lblAlgn val="ctr"/>
        <c:lblOffset val="100"/>
        <c:noMultiLvlLbl val="0"/>
      </c:catAx>
      <c:valAx>
        <c:axId val="135481137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b="1"/>
                  <a:t>Units sold (million)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480964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[Ex-1.8-MM-template.xlsx]Sheet6!PivotTable7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Sales of popular</a:t>
            </a:r>
            <a:r>
              <a:rPr lang="en-US" b="1" baseline="0"/>
              <a:t> genres in 2016</a:t>
            </a:r>
            <a:endParaRPr 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Sheet6!$B$3:$B$5</c:f>
              <c:strCache>
                <c:ptCount val="1"/>
                <c:pt idx="0">
                  <c:v>2016 - Sum of EU_Sales</c:v>
                </c:pt>
              </c:strCache>
            </c:strRef>
          </c:tx>
          <c:spPr>
            <a:solidFill>
              <a:schemeClr val="accent1"/>
            </a:solidFill>
            <a:ln>
              <a:noFill/>
            </a:ln>
            <a:effectLst/>
          </c:spPr>
          <c:invertIfNegative val="0"/>
          <c:cat>
            <c:strRef>
              <c:f>Sheet6!$A$6:$A$14</c:f>
              <c:strCache>
                <c:ptCount val="8"/>
                <c:pt idx="0">
                  <c:v>Action</c:v>
                </c:pt>
                <c:pt idx="1">
                  <c:v>Fighting</c:v>
                </c:pt>
                <c:pt idx="2">
                  <c:v>Platform</c:v>
                </c:pt>
                <c:pt idx="3">
                  <c:v>Racing</c:v>
                </c:pt>
                <c:pt idx="4">
                  <c:v>Role-Playing</c:v>
                </c:pt>
                <c:pt idx="5">
                  <c:v>Shooter</c:v>
                </c:pt>
                <c:pt idx="6">
                  <c:v>Sports</c:v>
                </c:pt>
                <c:pt idx="7">
                  <c:v>Strategy</c:v>
                </c:pt>
              </c:strCache>
            </c:strRef>
          </c:cat>
          <c:val>
            <c:numRef>
              <c:f>Sheet6!$B$6:$B$14</c:f>
              <c:numCache>
                <c:formatCode>General</c:formatCode>
                <c:ptCount val="8"/>
                <c:pt idx="0">
                  <c:v>6.3600000000000012</c:v>
                </c:pt>
                <c:pt idx="1">
                  <c:v>1.1499999999999999</c:v>
                </c:pt>
                <c:pt idx="2">
                  <c:v>0.87</c:v>
                </c:pt>
                <c:pt idx="3">
                  <c:v>1.1400000000000001</c:v>
                </c:pt>
                <c:pt idx="4">
                  <c:v>1.29</c:v>
                </c:pt>
                <c:pt idx="5">
                  <c:v>7.6999999999999993</c:v>
                </c:pt>
                <c:pt idx="6">
                  <c:v>7.3599999999999985</c:v>
                </c:pt>
                <c:pt idx="7">
                  <c:v>0.32000000000000006</c:v>
                </c:pt>
              </c:numCache>
            </c:numRef>
          </c:val>
          <c:extLst>
            <c:ext xmlns:c16="http://schemas.microsoft.com/office/drawing/2014/chart" uri="{C3380CC4-5D6E-409C-BE32-E72D297353CC}">
              <c16:uniqueId val="{00000000-D5CC-1248-A2AF-56B0DA9194FD}"/>
            </c:ext>
          </c:extLst>
        </c:ser>
        <c:ser>
          <c:idx val="1"/>
          <c:order val="1"/>
          <c:tx>
            <c:strRef>
              <c:f>Sheet6!$C$3:$C$5</c:f>
              <c:strCache>
                <c:ptCount val="1"/>
                <c:pt idx="0">
                  <c:v>2016 - Sum of NA_Sales</c:v>
                </c:pt>
              </c:strCache>
            </c:strRef>
          </c:tx>
          <c:spPr>
            <a:solidFill>
              <a:schemeClr val="accent2"/>
            </a:solidFill>
            <a:ln>
              <a:noFill/>
            </a:ln>
            <a:effectLst/>
          </c:spPr>
          <c:invertIfNegative val="0"/>
          <c:cat>
            <c:strRef>
              <c:f>Sheet6!$A$6:$A$14</c:f>
              <c:strCache>
                <c:ptCount val="8"/>
                <c:pt idx="0">
                  <c:v>Action</c:v>
                </c:pt>
                <c:pt idx="1">
                  <c:v>Fighting</c:v>
                </c:pt>
                <c:pt idx="2">
                  <c:v>Platform</c:v>
                </c:pt>
                <c:pt idx="3">
                  <c:v>Racing</c:v>
                </c:pt>
                <c:pt idx="4">
                  <c:v>Role-Playing</c:v>
                </c:pt>
                <c:pt idx="5">
                  <c:v>Shooter</c:v>
                </c:pt>
                <c:pt idx="6">
                  <c:v>Sports</c:v>
                </c:pt>
                <c:pt idx="7">
                  <c:v>Strategy</c:v>
                </c:pt>
              </c:strCache>
            </c:strRef>
          </c:cat>
          <c:val>
            <c:numRef>
              <c:f>Sheet6!$C$6:$C$14</c:f>
              <c:numCache>
                <c:formatCode>General</c:formatCode>
                <c:ptCount val="8"/>
                <c:pt idx="0">
                  <c:v>5.870000000000001</c:v>
                </c:pt>
                <c:pt idx="1">
                  <c:v>1.6</c:v>
                </c:pt>
                <c:pt idx="2">
                  <c:v>0.79</c:v>
                </c:pt>
                <c:pt idx="3">
                  <c:v>0.33</c:v>
                </c:pt>
                <c:pt idx="4">
                  <c:v>1.3900000000000001</c:v>
                </c:pt>
                <c:pt idx="5">
                  <c:v>7.44</c:v>
                </c:pt>
                <c:pt idx="6">
                  <c:v>4.57</c:v>
                </c:pt>
                <c:pt idx="7">
                  <c:v>0.11</c:v>
                </c:pt>
              </c:numCache>
            </c:numRef>
          </c:val>
          <c:extLst>
            <c:ext xmlns:c16="http://schemas.microsoft.com/office/drawing/2014/chart" uri="{C3380CC4-5D6E-409C-BE32-E72D297353CC}">
              <c16:uniqueId val="{00000001-D5CC-1248-A2AF-56B0DA9194FD}"/>
            </c:ext>
          </c:extLst>
        </c:ser>
        <c:dLbls>
          <c:showLegendKey val="0"/>
          <c:showVal val="0"/>
          <c:showCatName val="0"/>
          <c:showSerName val="0"/>
          <c:showPercent val="0"/>
          <c:showBubbleSize val="0"/>
        </c:dLbls>
        <c:gapWidth val="219"/>
        <c:overlap val="-27"/>
        <c:axId val="1331209807"/>
        <c:axId val="1331211711"/>
      </c:barChart>
      <c:catAx>
        <c:axId val="133120980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50" b="1"/>
                  <a:t>Genres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1211711"/>
        <c:crosses val="autoZero"/>
        <c:auto val="1"/>
        <c:lblAlgn val="ctr"/>
        <c:lblOffset val="100"/>
        <c:noMultiLvlLbl val="0"/>
      </c:catAx>
      <c:valAx>
        <c:axId val="133121171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Sales in</a:t>
                </a:r>
                <a:r>
                  <a:rPr lang="en-US" b="1" baseline="0"/>
                  <a:t> (millions)</a:t>
                </a:r>
                <a:endParaRPr lang="en-US"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120980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327</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molla</dc:creator>
  <cp:keywords/>
  <dc:description/>
  <cp:lastModifiedBy>mohammed molla</cp:lastModifiedBy>
  <cp:revision>4</cp:revision>
  <dcterms:created xsi:type="dcterms:W3CDTF">2024-10-09T18:07:00Z</dcterms:created>
  <dcterms:modified xsi:type="dcterms:W3CDTF">2024-10-10T17:27:00Z</dcterms:modified>
</cp:coreProperties>
</file>